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EA37" w14:textId="67FF3364" w:rsidR="008F555F" w:rsidRDefault="00AE2E78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Antonella la Grasta</w:t>
      </w:r>
    </w:p>
    <w:p w14:paraId="5B1EFD45" w14:textId="77777777" w:rsidR="007445B6" w:rsidRPr="007445B6" w:rsidRDefault="007445B6" w:rsidP="00F051E5">
      <w:pPr>
        <w:ind w:right="282"/>
        <w:jc w:val="center"/>
        <w:rPr>
          <w:rFonts w:ascii="Verdana" w:hAnsi="Verdana" w:cs="Arial"/>
          <w:sz w:val="20"/>
          <w:szCs w:val="20"/>
        </w:rPr>
      </w:pPr>
    </w:p>
    <w:p w14:paraId="4EE7303C" w14:textId="0086E489" w:rsidR="00362223" w:rsidRPr="00116999" w:rsidRDefault="00AE2E78" w:rsidP="00362223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La chimica a bordo</w:t>
      </w:r>
    </w:p>
    <w:p w14:paraId="480D0619" w14:textId="77777777" w:rsidR="00AE2E78" w:rsidRPr="00AE2E78" w:rsidRDefault="00AE2E78" w:rsidP="002F2FED">
      <w:pPr>
        <w:jc w:val="center"/>
        <w:rPr>
          <w:rFonts w:ascii="Verdana" w:hAnsi="Verdana"/>
          <w:b/>
        </w:rPr>
      </w:pPr>
      <w:r w:rsidRPr="00AE2E78">
        <w:rPr>
          <w:rFonts w:ascii="Verdana" w:hAnsi="Verdana"/>
          <w:b/>
        </w:rPr>
        <w:t xml:space="preserve">Corso di chimica </w:t>
      </w:r>
    </w:p>
    <w:p w14:paraId="21776F73" w14:textId="2EC49ECE" w:rsidR="003512C3" w:rsidRPr="00AE2E78" w:rsidRDefault="00AE2E78" w:rsidP="002F2FED">
      <w:pPr>
        <w:jc w:val="center"/>
        <w:rPr>
          <w:b/>
          <w:sz w:val="22"/>
          <w:szCs w:val="22"/>
        </w:rPr>
      </w:pPr>
      <w:r w:rsidRPr="00AE2E78">
        <w:rPr>
          <w:rFonts w:ascii="Verdana" w:hAnsi="Verdana"/>
          <w:b/>
        </w:rPr>
        <w:t>per l’indirizzo Trasporti e Logistica</w:t>
      </w:r>
    </w:p>
    <w:p w14:paraId="7DFB598D" w14:textId="77777777" w:rsidR="00AB754D" w:rsidRPr="002F2FED" w:rsidRDefault="00AB754D" w:rsidP="002F2FED">
      <w:pPr>
        <w:jc w:val="center"/>
        <w:rPr>
          <w:b/>
          <w:sz w:val="28"/>
          <w:szCs w:val="28"/>
        </w:rPr>
      </w:pPr>
    </w:p>
    <w:p w14:paraId="2EA78111" w14:textId="77777777" w:rsidR="00362223" w:rsidRDefault="00362223" w:rsidP="002F2FED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B0F32FA" w14:textId="77777777" w:rsidR="00AB754D" w:rsidRPr="002F2FED" w:rsidRDefault="00AB754D" w:rsidP="002F2FED">
      <w:pPr>
        <w:jc w:val="center"/>
        <w:rPr>
          <w:rFonts w:ascii="Verdana" w:hAnsi="Verdana"/>
        </w:rPr>
      </w:pPr>
    </w:p>
    <w:p w14:paraId="41239DCD" w14:textId="7F5B5DA7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AE2E78">
        <w:rPr>
          <w:rFonts w:ascii="Verdana" w:hAnsi="Verdana"/>
        </w:rPr>
        <w:t>416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 xml:space="preserve">€ </w:t>
      </w:r>
      <w:r w:rsidR="007072D0">
        <w:rPr>
          <w:rFonts w:ascii="Verdana" w:hAnsi="Verdana"/>
        </w:rPr>
        <w:t>2</w:t>
      </w:r>
      <w:r w:rsidR="00AE2E78">
        <w:rPr>
          <w:rFonts w:ascii="Verdana" w:hAnsi="Verdana"/>
        </w:rPr>
        <w:t>8</w:t>
      </w:r>
      <w:r w:rsidR="003512C3">
        <w:rPr>
          <w:rFonts w:ascii="Verdana" w:hAnsi="Verdana"/>
        </w:rPr>
        <w:t>,</w:t>
      </w:r>
      <w:r w:rsidR="00AE2E78">
        <w:rPr>
          <w:rFonts w:ascii="Verdana" w:hAnsi="Verdana"/>
        </w:rPr>
        <w:t>0</w:t>
      </w:r>
      <w:r w:rsidRPr="006A0661">
        <w:rPr>
          <w:rFonts w:ascii="Verdana" w:hAnsi="Verdana"/>
        </w:rPr>
        <w:t>0</w:t>
      </w:r>
      <w:r w:rsidRPr="006A0661">
        <w:rPr>
          <w:rFonts w:ascii="Verdana" w:hAnsi="Verdana"/>
        </w:rPr>
        <w:tab/>
        <w:t xml:space="preserve">ISBN </w:t>
      </w:r>
      <w:r w:rsidR="007072D0" w:rsidRPr="007072D0">
        <w:rPr>
          <w:rFonts w:ascii="Verdana" w:hAnsi="Verdana"/>
        </w:rPr>
        <w:t>978-88-8488-</w:t>
      </w:r>
      <w:r w:rsidR="00D304BE">
        <w:rPr>
          <w:rFonts w:ascii="Verdana" w:hAnsi="Verdana"/>
        </w:rPr>
        <w:t>46</w:t>
      </w:r>
      <w:r w:rsidR="00AE2E78">
        <w:rPr>
          <w:rFonts w:ascii="Verdana" w:hAnsi="Verdana"/>
        </w:rPr>
        <w:t>4</w:t>
      </w:r>
      <w:r w:rsidR="007072D0" w:rsidRPr="007072D0">
        <w:rPr>
          <w:rFonts w:ascii="Verdana" w:hAnsi="Verdana"/>
        </w:rPr>
        <w:t>-</w:t>
      </w:r>
      <w:r w:rsidR="00AE2E78">
        <w:rPr>
          <w:rFonts w:ascii="Verdana" w:hAnsi="Verdana"/>
        </w:rPr>
        <w:t>0</w:t>
      </w:r>
    </w:p>
    <w:p w14:paraId="0E699A6A" w14:textId="77777777" w:rsidR="00362223" w:rsidRPr="00362223" w:rsidRDefault="00362223" w:rsidP="002E7FC9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4559F4A" w14:textId="7270B0E2" w:rsidR="008F555F" w:rsidRDefault="00011781" w:rsidP="002E7FC9">
      <w:pPr>
        <w:tabs>
          <w:tab w:val="center" w:pos="4860"/>
          <w:tab w:val="left" w:pos="9214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NOVITA'</w:t>
      </w:r>
      <w:r w:rsidR="00116999">
        <w:rPr>
          <w:rFonts w:ascii="Verdana" w:hAnsi="Verdana"/>
          <w:b/>
          <w:caps/>
          <w:sz w:val="28"/>
          <w:szCs w:val="28"/>
        </w:rPr>
        <w:t xml:space="preserve">         </w:t>
      </w:r>
      <w:r w:rsidR="002E7FC9">
        <w:rPr>
          <w:rFonts w:ascii="Verdana" w:hAnsi="Verdana"/>
          <w:b/>
          <w:caps/>
          <w:sz w:val="28"/>
          <w:szCs w:val="28"/>
        </w:rPr>
        <w:tab/>
        <w:t xml:space="preserve">                                                         </w:t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3CC97FF" w14:textId="77777777" w:rsidR="00EE0B82" w:rsidRDefault="00EE0B82" w:rsidP="002E7FC9">
      <w:pPr>
        <w:jc w:val="both"/>
        <w:rPr>
          <w:rFonts w:ascii="Verdana" w:hAnsi="Verdana"/>
          <w:sz w:val="22"/>
          <w:szCs w:val="22"/>
        </w:rPr>
      </w:pPr>
    </w:p>
    <w:p w14:paraId="3AF001BB" w14:textId="603B953A" w:rsidR="00FE2AEB" w:rsidRDefault="002E7FC9" w:rsidP="003512C3">
      <w:pPr>
        <w:jc w:val="both"/>
        <w:rPr>
          <w:rFonts w:ascii="Verdana" w:hAnsi="Verdana" w:cstheme="minorHAnsi"/>
          <w:sz w:val="22"/>
          <w:szCs w:val="22"/>
        </w:rPr>
      </w:pPr>
      <w:r w:rsidRPr="002E7FC9">
        <w:rPr>
          <w:rFonts w:ascii="Verdana" w:hAnsi="Verdana" w:cstheme="minorHAnsi"/>
          <w:sz w:val="22"/>
          <w:szCs w:val="22"/>
        </w:rPr>
        <w:t>Si propone per l’adozione</w:t>
      </w:r>
      <w:r w:rsidR="00951DB6">
        <w:rPr>
          <w:rFonts w:ascii="Verdana" w:hAnsi="Verdana" w:cstheme="minorHAnsi"/>
          <w:sz w:val="22"/>
          <w:szCs w:val="22"/>
        </w:rPr>
        <w:t xml:space="preserve"> il nuovo corso di chimica di base</w:t>
      </w:r>
      <w:r w:rsidRPr="002E7FC9">
        <w:rPr>
          <w:rFonts w:ascii="Verdana" w:hAnsi="Verdana" w:cstheme="minorHAnsi"/>
          <w:sz w:val="22"/>
          <w:szCs w:val="22"/>
        </w:rPr>
        <w:t xml:space="preserve"> </w:t>
      </w:r>
      <w:r w:rsidR="00951DB6">
        <w:rPr>
          <w:rFonts w:ascii="Verdana" w:hAnsi="Verdana" w:cstheme="minorHAnsi"/>
          <w:sz w:val="22"/>
          <w:szCs w:val="22"/>
        </w:rPr>
        <w:t xml:space="preserve">declinato per l’indirizzo Trasporti e Logistica (volume unico) </w:t>
      </w:r>
      <w:r w:rsidR="00AE2E78">
        <w:rPr>
          <w:rFonts w:ascii="Verdana" w:hAnsi="Verdana" w:cstheme="minorHAnsi"/>
          <w:i/>
          <w:sz w:val="22"/>
          <w:szCs w:val="22"/>
        </w:rPr>
        <w:t>La chimica a bordo</w:t>
      </w:r>
      <w:r w:rsidR="003512C3">
        <w:rPr>
          <w:rFonts w:ascii="Verdana" w:hAnsi="Verdana" w:cstheme="minorHAnsi"/>
          <w:sz w:val="22"/>
          <w:szCs w:val="22"/>
        </w:rPr>
        <w:t xml:space="preserve"> dell’Editrice San Marco</w:t>
      </w:r>
      <w:r w:rsidR="00951DB6">
        <w:rPr>
          <w:rFonts w:ascii="Verdana" w:hAnsi="Verdana" w:cstheme="minorHAnsi"/>
          <w:sz w:val="22"/>
          <w:szCs w:val="22"/>
        </w:rPr>
        <w:t>, destinato a</w:t>
      </w:r>
      <w:r w:rsidR="00AE2E78">
        <w:rPr>
          <w:rFonts w:ascii="Verdana" w:hAnsi="Verdana" w:cstheme="minorHAnsi"/>
          <w:sz w:val="22"/>
          <w:szCs w:val="22"/>
        </w:rPr>
        <w:t>l primo biennio. Trattando man mano gli argomenti chiave della disciplina, quindi, si introducono affondi e riferimenti specifici relativi ai mezzi di trasporto, alla corrosione, alle combustioni e ai trattamenti delle acque, fondamentali per i futuri professionisti del settore.</w:t>
      </w:r>
      <w:r w:rsidR="007B7C2D" w:rsidRPr="007B7C2D">
        <w:rPr>
          <w:rFonts w:ascii="Verdana" w:hAnsi="Verdana" w:cstheme="minorHAnsi"/>
          <w:sz w:val="22"/>
          <w:szCs w:val="22"/>
        </w:rPr>
        <w:t xml:space="preserve"> </w:t>
      </w:r>
      <w:r w:rsidR="007B7C2D">
        <w:rPr>
          <w:rFonts w:ascii="Verdana" w:hAnsi="Verdana" w:cstheme="minorHAnsi"/>
          <w:sz w:val="22"/>
          <w:szCs w:val="22"/>
        </w:rPr>
        <w:t>Si tratta dell’unico libro scolastico di chimica dedicato specificatamente all’indirizzo.</w:t>
      </w:r>
    </w:p>
    <w:p w14:paraId="05DD4DE1" w14:textId="4D3BF48F" w:rsidR="00D304BE" w:rsidRDefault="00AE2E78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L’opera prende avvio con un’</w:t>
      </w:r>
      <w:proofErr w:type="spellStart"/>
      <w:r>
        <w:rPr>
          <w:rFonts w:ascii="Verdana" w:hAnsi="Verdana" w:cstheme="minorHAnsi"/>
          <w:sz w:val="22"/>
          <w:szCs w:val="22"/>
        </w:rPr>
        <w:t>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motivazionale che mostra lo stretto legame tra la chimica e i trasporti. Si affrontano poi le grandezze e le misure con attenzione a quelle più utilizzate nel testo. </w:t>
      </w:r>
      <w:proofErr w:type="spellStart"/>
      <w:r>
        <w:rPr>
          <w:rFonts w:ascii="Verdana" w:hAnsi="Verdana" w:cstheme="minorHAnsi"/>
          <w:sz w:val="22"/>
          <w:szCs w:val="22"/>
        </w:rPr>
        <w:t>L’UdA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2 introduce gli stati di aggregazione</w:t>
      </w:r>
      <w:r w:rsidR="00445887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le leggi dei gas</w:t>
      </w:r>
      <w:r w:rsidR="00445887">
        <w:rPr>
          <w:rFonts w:ascii="Verdana" w:hAnsi="Verdana" w:cstheme="minorHAnsi"/>
          <w:sz w:val="22"/>
          <w:szCs w:val="22"/>
        </w:rPr>
        <w:t>,</w:t>
      </w:r>
      <w:r>
        <w:rPr>
          <w:rFonts w:ascii="Verdana" w:hAnsi="Verdana" w:cstheme="minorHAnsi"/>
          <w:sz w:val="22"/>
          <w:szCs w:val="22"/>
        </w:rPr>
        <w:t xml:space="preserve"> </w:t>
      </w:r>
      <w:r w:rsidR="00445887">
        <w:rPr>
          <w:rFonts w:ascii="Verdana" w:hAnsi="Verdana" w:cstheme="minorHAnsi"/>
          <w:sz w:val="22"/>
          <w:szCs w:val="22"/>
        </w:rPr>
        <w:t xml:space="preserve">le </w:t>
      </w:r>
      <w:r>
        <w:rPr>
          <w:rFonts w:ascii="Verdana" w:hAnsi="Verdana" w:cstheme="minorHAnsi"/>
          <w:sz w:val="22"/>
          <w:szCs w:val="22"/>
        </w:rPr>
        <w:t xml:space="preserve">sostanze pure e </w:t>
      </w:r>
      <w:r w:rsidR="00445887">
        <w:rPr>
          <w:rFonts w:ascii="Verdana" w:hAnsi="Verdana" w:cstheme="minorHAnsi"/>
          <w:sz w:val="22"/>
          <w:szCs w:val="22"/>
        </w:rPr>
        <w:t xml:space="preserve">le </w:t>
      </w:r>
      <w:r>
        <w:rPr>
          <w:rFonts w:ascii="Verdana" w:hAnsi="Verdana" w:cstheme="minorHAnsi"/>
          <w:sz w:val="22"/>
          <w:szCs w:val="22"/>
        </w:rPr>
        <w:t>miscele</w:t>
      </w:r>
      <w:r w:rsidR="00445887">
        <w:rPr>
          <w:rFonts w:ascii="Verdana" w:hAnsi="Verdana" w:cstheme="minorHAnsi"/>
          <w:sz w:val="22"/>
          <w:szCs w:val="22"/>
        </w:rPr>
        <w:t xml:space="preserve"> con riferimento all’aria e ai fenomeni atmosferici</w:t>
      </w:r>
      <w:r>
        <w:rPr>
          <w:rFonts w:ascii="Verdana" w:hAnsi="Verdana" w:cstheme="minorHAnsi"/>
          <w:sz w:val="22"/>
          <w:szCs w:val="22"/>
        </w:rPr>
        <w:t>.</w:t>
      </w:r>
      <w:r w:rsidR="007B7C2D" w:rsidRPr="007B7C2D">
        <w:rPr>
          <w:rFonts w:ascii="Verdana" w:hAnsi="Verdana" w:cstheme="minorHAnsi"/>
          <w:sz w:val="22"/>
          <w:szCs w:val="22"/>
        </w:rPr>
        <w:t xml:space="preserve"> </w:t>
      </w:r>
    </w:p>
    <w:p w14:paraId="703D44FF" w14:textId="77F7BEB6" w:rsidR="00463A65" w:rsidRDefault="00AE2E78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 xml:space="preserve">Si procede poi con i modelli atomici, la tavola periodica degli elementi e l’analisi di onde, luci e suoni correlandole alla comunicazione e al segnalamento luminoso. </w:t>
      </w:r>
      <w:proofErr w:type="spellStart"/>
      <w:r>
        <w:rPr>
          <w:rFonts w:ascii="Verdana" w:hAnsi="Verdana" w:cstheme="minorHAnsi"/>
          <w:sz w:val="22"/>
          <w:szCs w:val="22"/>
        </w:rPr>
        <w:t>L’UdA</w:t>
      </w:r>
      <w:proofErr w:type="spellEnd"/>
      <w:r>
        <w:rPr>
          <w:rFonts w:ascii="Verdana" w:hAnsi="Verdana" w:cstheme="minorHAnsi"/>
          <w:sz w:val="22"/>
          <w:szCs w:val="22"/>
        </w:rPr>
        <w:t xml:space="preserve"> 4 tratta i </w:t>
      </w:r>
      <w:r w:rsidR="00463A65">
        <w:rPr>
          <w:rFonts w:ascii="Verdana" w:hAnsi="Verdana" w:cstheme="minorHAnsi"/>
          <w:sz w:val="22"/>
          <w:szCs w:val="22"/>
        </w:rPr>
        <w:t xml:space="preserve">legami chimici, le interazioni tra </w:t>
      </w:r>
      <w:r w:rsidR="004219F1">
        <w:rPr>
          <w:rFonts w:ascii="Verdana" w:hAnsi="Verdana" w:cstheme="minorHAnsi"/>
          <w:sz w:val="22"/>
          <w:szCs w:val="22"/>
        </w:rPr>
        <w:t xml:space="preserve">le </w:t>
      </w:r>
      <w:r w:rsidR="00463A65">
        <w:rPr>
          <w:rFonts w:ascii="Verdana" w:hAnsi="Verdana" w:cstheme="minorHAnsi"/>
          <w:sz w:val="22"/>
          <w:szCs w:val="22"/>
        </w:rPr>
        <w:t>molecole e i materiali più diffusi. Si introducono poi la nomenclatura tradizionale dei composti inorganici ed elementi di chimica organica. Un intero focus è dedicato al petrolio e ai suoi derivati. Si passa infine alla reattività attraverso lo studio delle reazioni chimiche, basi di elettrochimica, le moli e i calcoli stechiometrici. La corrosione e le combustioni rivestono un ruolo significativo. Infine</w:t>
      </w:r>
      <w:r w:rsidR="00A77C16">
        <w:rPr>
          <w:rFonts w:ascii="Verdana" w:hAnsi="Verdana" w:cstheme="minorHAnsi"/>
          <w:sz w:val="22"/>
          <w:szCs w:val="22"/>
        </w:rPr>
        <w:t>,</w:t>
      </w:r>
      <w:r w:rsidR="00463A65">
        <w:rPr>
          <w:rFonts w:ascii="Verdana" w:hAnsi="Verdana" w:cstheme="minorHAnsi"/>
          <w:sz w:val="22"/>
          <w:szCs w:val="22"/>
        </w:rPr>
        <w:t xml:space="preserve"> l’opera si chiude con un focus dedicato alle acque, considerando i processi di potabilizzazione, i trattamenti a bordo e la gestione delle acque reflue.</w:t>
      </w:r>
    </w:p>
    <w:p w14:paraId="08DC5A59" w14:textId="000FC4A6" w:rsidR="00463A65" w:rsidRDefault="007B7C2D" w:rsidP="00AE5DC7">
      <w:pPr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L’</w:t>
      </w:r>
      <w:r w:rsidR="00463A65">
        <w:rPr>
          <w:rFonts w:ascii="Verdana" w:hAnsi="Verdana" w:cstheme="minorHAnsi"/>
          <w:sz w:val="22"/>
          <w:szCs w:val="22"/>
        </w:rPr>
        <w:t>opera offre moltissimi strumenti per una didattica moderna e</w:t>
      </w:r>
      <w:r w:rsidR="00A77C16">
        <w:rPr>
          <w:rFonts w:ascii="Verdana" w:hAnsi="Verdana" w:cstheme="minorHAnsi"/>
          <w:sz w:val="22"/>
          <w:szCs w:val="22"/>
        </w:rPr>
        <w:t xml:space="preserve"> stimolante</w:t>
      </w:r>
      <w:r w:rsidR="00463A65">
        <w:rPr>
          <w:rFonts w:ascii="Verdana" w:hAnsi="Verdana" w:cstheme="minorHAnsi"/>
          <w:sz w:val="22"/>
          <w:szCs w:val="22"/>
        </w:rPr>
        <w:t>:</w:t>
      </w:r>
    </w:p>
    <w:p w14:paraId="5EFBA5B4" w14:textId="7930A270" w:rsidR="00463A65" w:rsidRDefault="00463A65" w:rsidP="00463A65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7B7C2D">
        <w:rPr>
          <w:rFonts w:ascii="Verdana" w:hAnsi="Verdana" w:cstheme="minorHAnsi"/>
          <w:b/>
          <w:bCs/>
        </w:rPr>
        <w:t>video tutorial</w:t>
      </w:r>
      <w:r>
        <w:rPr>
          <w:rFonts w:ascii="Verdana" w:hAnsi="Verdana" w:cstheme="minorHAnsi"/>
        </w:rPr>
        <w:t xml:space="preserve"> degli esercizi e delle attività più ostiche;</w:t>
      </w:r>
    </w:p>
    <w:p w14:paraId="59D4AA3B" w14:textId="49060456" w:rsidR="00463A65" w:rsidRDefault="00463A65" w:rsidP="00463A65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7B7C2D">
        <w:rPr>
          <w:rFonts w:ascii="Verdana" w:hAnsi="Verdana" w:cstheme="minorHAnsi"/>
          <w:b/>
          <w:bCs/>
        </w:rPr>
        <w:t>laboratori</w:t>
      </w:r>
      <w:r>
        <w:rPr>
          <w:rFonts w:ascii="Verdana" w:hAnsi="Verdana" w:cstheme="minorHAnsi"/>
        </w:rPr>
        <w:t xml:space="preserve">, molti dei quali accompagnati da </w:t>
      </w:r>
      <w:r w:rsidRPr="007B7C2D">
        <w:rPr>
          <w:rFonts w:ascii="Verdana" w:hAnsi="Verdana" w:cstheme="minorHAnsi"/>
          <w:b/>
          <w:bCs/>
        </w:rPr>
        <w:t>video</w:t>
      </w:r>
      <w:r>
        <w:rPr>
          <w:rFonts w:ascii="Verdana" w:hAnsi="Verdana" w:cstheme="minorHAnsi"/>
        </w:rPr>
        <w:t xml:space="preserve"> dei passaggi e dei risultati;</w:t>
      </w:r>
    </w:p>
    <w:p w14:paraId="06E12B77" w14:textId="62503A76" w:rsidR="00463A65" w:rsidRDefault="00463A65" w:rsidP="00463A65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7B7C2D">
        <w:rPr>
          <w:rFonts w:ascii="Verdana" w:hAnsi="Verdana" w:cstheme="minorHAnsi"/>
          <w:b/>
          <w:bCs/>
        </w:rPr>
        <w:t>simulazioni digitali</w:t>
      </w:r>
      <w:r>
        <w:rPr>
          <w:rFonts w:ascii="Verdana" w:hAnsi="Verdana" w:cstheme="minorHAnsi"/>
        </w:rPr>
        <w:t xml:space="preserve"> interattive dei fenomeni chimici;</w:t>
      </w:r>
    </w:p>
    <w:p w14:paraId="3ADFB382" w14:textId="63BCCBCC" w:rsidR="00463A65" w:rsidRDefault="00463A65" w:rsidP="007B7C2D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7B7C2D">
        <w:rPr>
          <w:rFonts w:ascii="Verdana" w:hAnsi="Verdana" w:cstheme="minorHAnsi"/>
          <w:b/>
          <w:bCs/>
        </w:rPr>
        <w:t>compiti di realtà</w:t>
      </w:r>
      <w:r>
        <w:rPr>
          <w:rFonts w:ascii="Verdana" w:hAnsi="Verdana" w:cstheme="minorHAnsi"/>
        </w:rPr>
        <w:t xml:space="preserve">, </w:t>
      </w:r>
      <w:proofErr w:type="spellStart"/>
      <w:r w:rsidRPr="007B7C2D">
        <w:rPr>
          <w:rFonts w:ascii="Verdana" w:hAnsi="Verdana" w:cstheme="minorHAnsi"/>
          <w:b/>
          <w:bCs/>
        </w:rPr>
        <w:t>brainstoming</w:t>
      </w:r>
      <w:proofErr w:type="spellEnd"/>
      <w:r>
        <w:rPr>
          <w:rFonts w:ascii="Verdana" w:hAnsi="Verdana" w:cstheme="minorHAnsi"/>
        </w:rPr>
        <w:t xml:space="preserve"> e </w:t>
      </w:r>
      <w:proofErr w:type="spellStart"/>
      <w:r w:rsidRPr="007B7C2D">
        <w:rPr>
          <w:rFonts w:ascii="Verdana" w:hAnsi="Verdana" w:cstheme="minorHAnsi"/>
          <w:b/>
          <w:bCs/>
        </w:rPr>
        <w:t>problem</w:t>
      </w:r>
      <w:proofErr w:type="spellEnd"/>
      <w:r w:rsidRPr="007B7C2D">
        <w:rPr>
          <w:rFonts w:ascii="Verdana" w:hAnsi="Verdana" w:cstheme="minorHAnsi"/>
          <w:b/>
          <w:bCs/>
        </w:rPr>
        <w:t xml:space="preserve"> solving</w:t>
      </w:r>
      <w:r>
        <w:rPr>
          <w:rFonts w:ascii="Verdana" w:hAnsi="Verdana" w:cstheme="minorHAnsi"/>
        </w:rPr>
        <w:t>;</w:t>
      </w:r>
    </w:p>
    <w:p w14:paraId="19226EEB" w14:textId="5DF6FB69" w:rsidR="00463A65" w:rsidRDefault="00463A65" w:rsidP="004219F1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7B7C2D">
        <w:rPr>
          <w:rFonts w:ascii="Verdana" w:hAnsi="Verdana" w:cstheme="minorHAnsi"/>
          <w:b/>
          <w:bCs/>
        </w:rPr>
        <w:t>esercizi</w:t>
      </w:r>
      <w:r>
        <w:rPr>
          <w:rFonts w:ascii="Verdana" w:hAnsi="Verdana" w:cstheme="minorHAnsi"/>
        </w:rPr>
        <w:t xml:space="preserve"> guidati correlati da altri da svolgere in autonomia</w:t>
      </w:r>
      <w:r w:rsidR="004219F1">
        <w:rPr>
          <w:rFonts w:ascii="Verdana" w:hAnsi="Verdana" w:cstheme="minorHAnsi"/>
        </w:rPr>
        <w:t>;</w:t>
      </w:r>
    </w:p>
    <w:p w14:paraId="6717CAC0" w14:textId="68BC2354" w:rsidR="004219F1" w:rsidRDefault="004219F1" w:rsidP="004219F1">
      <w:pPr>
        <w:pStyle w:val="Paragrafoelenco"/>
        <w:numPr>
          <w:ilvl w:val="0"/>
          <w:numId w:val="6"/>
        </w:numPr>
        <w:jc w:val="both"/>
        <w:rPr>
          <w:rFonts w:ascii="Verdana" w:hAnsi="Verdana" w:cstheme="minorHAnsi"/>
        </w:rPr>
      </w:pPr>
      <w:r w:rsidRPr="007B7C2D">
        <w:rPr>
          <w:rFonts w:ascii="Verdana" w:hAnsi="Verdana" w:cstheme="minorHAnsi"/>
          <w:b/>
          <w:bCs/>
        </w:rPr>
        <w:t>mappe</w:t>
      </w:r>
      <w:r>
        <w:rPr>
          <w:rFonts w:ascii="Verdana" w:hAnsi="Verdana" w:cstheme="minorHAnsi"/>
        </w:rPr>
        <w:t xml:space="preserve">, </w:t>
      </w:r>
      <w:proofErr w:type="spellStart"/>
      <w:r w:rsidRPr="007B7C2D">
        <w:rPr>
          <w:rFonts w:ascii="Verdana" w:hAnsi="Verdana" w:cstheme="minorHAnsi"/>
          <w:b/>
          <w:bCs/>
        </w:rPr>
        <w:t>audiosintesi</w:t>
      </w:r>
      <w:proofErr w:type="spellEnd"/>
      <w:r>
        <w:rPr>
          <w:rFonts w:ascii="Verdana" w:hAnsi="Verdana" w:cstheme="minorHAnsi"/>
        </w:rPr>
        <w:t xml:space="preserve"> ed </w:t>
      </w:r>
      <w:r w:rsidRPr="007B7C2D">
        <w:rPr>
          <w:rFonts w:ascii="Verdana" w:hAnsi="Verdana" w:cstheme="minorHAnsi"/>
          <w:b/>
          <w:bCs/>
        </w:rPr>
        <w:t>esercizi visivi</w:t>
      </w:r>
      <w:r>
        <w:rPr>
          <w:rFonts w:ascii="Verdana" w:hAnsi="Verdana" w:cstheme="minorHAnsi"/>
        </w:rPr>
        <w:t xml:space="preserve"> per una didattica inclusiva.</w:t>
      </w:r>
    </w:p>
    <w:p w14:paraId="14A43F09" w14:textId="731B4088" w:rsidR="004219F1" w:rsidRPr="004219F1" w:rsidRDefault="004219F1" w:rsidP="004219F1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I tanti strumenti di aiuto e guida allo studio e l’uso di caratteri ad alta leggibilità permettono di </w:t>
      </w:r>
      <w:r w:rsidR="007B7C2D">
        <w:rPr>
          <w:rFonts w:ascii="Verdana" w:hAnsi="Verdana" w:cstheme="minorHAnsi"/>
        </w:rPr>
        <w:t>adoperare</w:t>
      </w:r>
      <w:r>
        <w:rPr>
          <w:rFonts w:ascii="Verdana" w:hAnsi="Verdana" w:cstheme="minorHAnsi"/>
        </w:rPr>
        <w:t xml:space="preserve"> un unico strumento realmente inclusivo per tutta la classe.</w:t>
      </w:r>
    </w:p>
    <w:p w14:paraId="1F0D0317" w14:textId="20B4690D" w:rsidR="004219F1" w:rsidRDefault="004219F1" w:rsidP="004219F1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L’opera pone anche particolare attenzione all’</w:t>
      </w:r>
      <w:r w:rsidRPr="004219F1">
        <w:rPr>
          <w:rFonts w:ascii="Verdana" w:hAnsi="Verdana" w:cstheme="minorHAnsi"/>
          <w:b/>
          <w:bCs/>
        </w:rPr>
        <w:t xml:space="preserve">Educazione civica </w:t>
      </w:r>
      <w:r>
        <w:rPr>
          <w:rFonts w:ascii="Verdana" w:hAnsi="Verdana" w:cstheme="minorHAnsi"/>
        </w:rPr>
        <w:t>attraverso schede dedicate, correlate ai contenuti. Tra questi, sono protagonisti i temi della transizione energetica, i nuovi materiali e gli obiettivi dell’Agenda 2030.</w:t>
      </w:r>
    </w:p>
    <w:p w14:paraId="442EE5B9" w14:textId="4428F1EB" w:rsidR="004219F1" w:rsidRDefault="004219F1" w:rsidP="004219F1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L’attenzione a un’economia circolare è un filo rosso nel testo per favorire pratiche ecosostenibili nel settore.</w:t>
      </w:r>
    </w:p>
    <w:p w14:paraId="71D58A5A" w14:textId="26781F1F" w:rsidR="004219F1" w:rsidRPr="004219F1" w:rsidRDefault="004219F1" w:rsidP="004219F1">
      <w:p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L’opera si completa online grazie a contenuti digitali e alla versione digitale del libro. Per l’insegnante è disponibile una </w:t>
      </w:r>
      <w:r w:rsidRPr="004219F1">
        <w:rPr>
          <w:rFonts w:ascii="Verdana" w:hAnsi="Verdana" w:cstheme="minorHAnsi"/>
          <w:b/>
          <w:bCs/>
        </w:rPr>
        <w:t>Guida</w:t>
      </w:r>
      <w:r>
        <w:rPr>
          <w:rFonts w:ascii="Verdana" w:hAnsi="Verdana" w:cstheme="minorHAnsi"/>
        </w:rPr>
        <w:t xml:space="preserve"> contenente materiali utili a rendere più efficace l’azione didattica.</w:t>
      </w:r>
    </w:p>
    <w:sectPr w:rsidR="004219F1" w:rsidRPr="004219F1" w:rsidSect="002E7FC9">
      <w:headerReference w:type="default" r:id="rId7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BBAD3" w14:textId="77777777" w:rsidR="004929A3" w:rsidRDefault="004929A3">
      <w:r>
        <w:separator/>
      </w:r>
    </w:p>
  </w:endnote>
  <w:endnote w:type="continuationSeparator" w:id="0">
    <w:p w14:paraId="53FA27B2" w14:textId="77777777" w:rsidR="004929A3" w:rsidRDefault="0049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661B" w14:textId="77777777" w:rsidR="004929A3" w:rsidRDefault="004929A3">
      <w:r>
        <w:separator/>
      </w:r>
    </w:p>
  </w:footnote>
  <w:footnote w:type="continuationSeparator" w:id="0">
    <w:p w14:paraId="4691F0B3" w14:textId="77777777" w:rsidR="004929A3" w:rsidRDefault="0049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5ED9" w14:textId="77777777" w:rsidR="002E7FC9" w:rsidRPr="000D60BD" w:rsidRDefault="002E7FC9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2A185B"/>
    <w:multiLevelType w:val="hybridMultilevel"/>
    <w:tmpl w:val="FB662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F7A"/>
    <w:multiLevelType w:val="hybridMultilevel"/>
    <w:tmpl w:val="0F52F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2CD7"/>
    <w:multiLevelType w:val="hybridMultilevel"/>
    <w:tmpl w:val="DF1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1052">
    <w:abstractNumId w:val="1"/>
  </w:num>
  <w:num w:numId="2" w16cid:durableId="754669703">
    <w:abstractNumId w:val="0"/>
  </w:num>
  <w:num w:numId="3" w16cid:durableId="1661494922">
    <w:abstractNumId w:val="4"/>
  </w:num>
  <w:num w:numId="4" w16cid:durableId="838811004">
    <w:abstractNumId w:val="3"/>
  </w:num>
  <w:num w:numId="5" w16cid:durableId="825825517">
    <w:abstractNumId w:val="5"/>
  </w:num>
  <w:num w:numId="6" w16cid:durableId="147503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3534D"/>
    <w:rsid w:val="00035951"/>
    <w:rsid w:val="0005285A"/>
    <w:rsid w:val="00054AF2"/>
    <w:rsid w:val="00060F8C"/>
    <w:rsid w:val="00074B26"/>
    <w:rsid w:val="0007671D"/>
    <w:rsid w:val="0008686D"/>
    <w:rsid w:val="000A34C1"/>
    <w:rsid w:val="000D60BD"/>
    <w:rsid w:val="000E3390"/>
    <w:rsid w:val="000F30A6"/>
    <w:rsid w:val="00116999"/>
    <w:rsid w:val="00117D59"/>
    <w:rsid w:val="00120F2F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00C22"/>
    <w:rsid w:val="00240E9B"/>
    <w:rsid w:val="002429AE"/>
    <w:rsid w:val="00265211"/>
    <w:rsid w:val="00283FD3"/>
    <w:rsid w:val="002B4551"/>
    <w:rsid w:val="002D77F7"/>
    <w:rsid w:val="002E0590"/>
    <w:rsid w:val="002E7FC9"/>
    <w:rsid w:val="002F2FED"/>
    <w:rsid w:val="002F5903"/>
    <w:rsid w:val="00322DB0"/>
    <w:rsid w:val="00323350"/>
    <w:rsid w:val="00325917"/>
    <w:rsid w:val="00336BE4"/>
    <w:rsid w:val="003512C3"/>
    <w:rsid w:val="00360366"/>
    <w:rsid w:val="00362223"/>
    <w:rsid w:val="00366B90"/>
    <w:rsid w:val="00387A25"/>
    <w:rsid w:val="003910EA"/>
    <w:rsid w:val="003A13B2"/>
    <w:rsid w:val="003B5EF8"/>
    <w:rsid w:val="003C683D"/>
    <w:rsid w:val="00407767"/>
    <w:rsid w:val="004219F1"/>
    <w:rsid w:val="004263AE"/>
    <w:rsid w:val="00445887"/>
    <w:rsid w:val="0045670F"/>
    <w:rsid w:val="00463A65"/>
    <w:rsid w:val="004929A3"/>
    <w:rsid w:val="004A2718"/>
    <w:rsid w:val="004B4B58"/>
    <w:rsid w:val="004B4D78"/>
    <w:rsid w:val="004C1FEC"/>
    <w:rsid w:val="004C4E3D"/>
    <w:rsid w:val="004E4C93"/>
    <w:rsid w:val="004E5E8D"/>
    <w:rsid w:val="004F3114"/>
    <w:rsid w:val="004F73E5"/>
    <w:rsid w:val="005204D9"/>
    <w:rsid w:val="005B42A6"/>
    <w:rsid w:val="005C2FD2"/>
    <w:rsid w:val="005C4562"/>
    <w:rsid w:val="005F56D9"/>
    <w:rsid w:val="005F73A1"/>
    <w:rsid w:val="00626CE2"/>
    <w:rsid w:val="0063634B"/>
    <w:rsid w:val="0069276F"/>
    <w:rsid w:val="006A5E5A"/>
    <w:rsid w:val="006F4558"/>
    <w:rsid w:val="00701202"/>
    <w:rsid w:val="00703205"/>
    <w:rsid w:val="007072D0"/>
    <w:rsid w:val="00726378"/>
    <w:rsid w:val="007445B6"/>
    <w:rsid w:val="007446BD"/>
    <w:rsid w:val="0075061C"/>
    <w:rsid w:val="007B7C2D"/>
    <w:rsid w:val="007E100A"/>
    <w:rsid w:val="007E181D"/>
    <w:rsid w:val="007E2E5D"/>
    <w:rsid w:val="007F6024"/>
    <w:rsid w:val="008541E9"/>
    <w:rsid w:val="00873924"/>
    <w:rsid w:val="008841C8"/>
    <w:rsid w:val="0089709E"/>
    <w:rsid w:val="008B1CE9"/>
    <w:rsid w:val="008B3C38"/>
    <w:rsid w:val="008B52D0"/>
    <w:rsid w:val="008C5FCC"/>
    <w:rsid w:val="008D037D"/>
    <w:rsid w:val="008E3C1D"/>
    <w:rsid w:val="008F555F"/>
    <w:rsid w:val="00951DB6"/>
    <w:rsid w:val="0098061D"/>
    <w:rsid w:val="009B4001"/>
    <w:rsid w:val="009C2A70"/>
    <w:rsid w:val="009D1556"/>
    <w:rsid w:val="009F7A54"/>
    <w:rsid w:val="00A00FF9"/>
    <w:rsid w:val="00A24B07"/>
    <w:rsid w:val="00A271E1"/>
    <w:rsid w:val="00A30121"/>
    <w:rsid w:val="00A56757"/>
    <w:rsid w:val="00A64C0D"/>
    <w:rsid w:val="00A77C16"/>
    <w:rsid w:val="00A81849"/>
    <w:rsid w:val="00A857EB"/>
    <w:rsid w:val="00AB754D"/>
    <w:rsid w:val="00AD2623"/>
    <w:rsid w:val="00AE2E78"/>
    <w:rsid w:val="00AE5DC7"/>
    <w:rsid w:val="00AF2EE3"/>
    <w:rsid w:val="00B40B3C"/>
    <w:rsid w:val="00B92D90"/>
    <w:rsid w:val="00B933B9"/>
    <w:rsid w:val="00BA6695"/>
    <w:rsid w:val="00BE2264"/>
    <w:rsid w:val="00BE2312"/>
    <w:rsid w:val="00C158F8"/>
    <w:rsid w:val="00C2636E"/>
    <w:rsid w:val="00C9079D"/>
    <w:rsid w:val="00C91FD7"/>
    <w:rsid w:val="00CA3F8C"/>
    <w:rsid w:val="00CB36C8"/>
    <w:rsid w:val="00CB736C"/>
    <w:rsid w:val="00CD7209"/>
    <w:rsid w:val="00CE585D"/>
    <w:rsid w:val="00CF054F"/>
    <w:rsid w:val="00CF7CC8"/>
    <w:rsid w:val="00D05C70"/>
    <w:rsid w:val="00D304BE"/>
    <w:rsid w:val="00D636DC"/>
    <w:rsid w:val="00D67076"/>
    <w:rsid w:val="00D757C7"/>
    <w:rsid w:val="00D82BAA"/>
    <w:rsid w:val="00D903E2"/>
    <w:rsid w:val="00DD192F"/>
    <w:rsid w:val="00DF33FC"/>
    <w:rsid w:val="00DF6C44"/>
    <w:rsid w:val="00E05D6F"/>
    <w:rsid w:val="00E2362B"/>
    <w:rsid w:val="00E308D9"/>
    <w:rsid w:val="00E3202C"/>
    <w:rsid w:val="00E56936"/>
    <w:rsid w:val="00E87CDC"/>
    <w:rsid w:val="00EB2E59"/>
    <w:rsid w:val="00ED30B8"/>
    <w:rsid w:val="00ED7546"/>
    <w:rsid w:val="00EE0B82"/>
    <w:rsid w:val="00EF2576"/>
    <w:rsid w:val="00F051E5"/>
    <w:rsid w:val="00F52C10"/>
    <w:rsid w:val="00F61DA0"/>
    <w:rsid w:val="00F63C64"/>
    <w:rsid w:val="00F66EB4"/>
    <w:rsid w:val="00FA4F56"/>
    <w:rsid w:val="00FD1EF6"/>
    <w:rsid w:val="00FD45E8"/>
    <w:rsid w:val="00FE23C7"/>
    <w:rsid w:val="00FE2AEB"/>
    <w:rsid w:val="00FE69A0"/>
    <w:rsid w:val="00FE6A55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FD676"/>
  <w15:docId w15:val="{27AC758A-32DB-4C15-955B-74FEF9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04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michele cella</cp:lastModifiedBy>
  <cp:revision>20</cp:revision>
  <cp:lastPrinted>2020-02-21T09:23:00Z</cp:lastPrinted>
  <dcterms:created xsi:type="dcterms:W3CDTF">2019-03-28T15:04:00Z</dcterms:created>
  <dcterms:modified xsi:type="dcterms:W3CDTF">2023-03-24T14:47:00Z</dcterms:modified>
</cp:coreProperties>
</file>