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D0FB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9700885" w14:textId="77777777" w:rsidR="008F555F" w:rsidRDefault="00EE0B82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Marco Maganuco</w:t>
      </w:r>
    </w:p>
    <w:p w14:paraId="5A03C044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5CF3C48C" w14:textId="77777777" w:rsidR="00362223" w:rsidRPr="00362223" w:rsidRDefault="00EE0B8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TECNOLOGIE MECCANICHE E APPLICAZIONI</w:t>
      </w:r>
      <w:r w:rsidR="00362223">
        <w:rPr>
          <w:rFonts w:ascii="Verdana" w:hAnsi="Verdana"/>
          <w:b/>
          <w:sz w:val="32"/>
          <w:szCs w:val="32"/>
        </w:rPr>
        <w:t xml:space="preserve"> </w:t>
      </w:r>
      <w:r w:rsidR="0024142D">
        <w:rPr>
          <w:rFonts w:ascii="Verdana" w:hAnsi="Verdana"/>
          <w:b/>
          <w:sz w:val="36"/>
          <w:szCs w:val="36"/>
        </w:rPr>
        <w:t>2</w:t>
      </w:r>
    </w:p>
    <w:p w14:paraId="0EC81284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2C7B1BC2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24142D">
        <w:rPr>
          <w:b/>
          <w:sz w:val="28"/>
          <w:szCs w:val="28"/>
        </w:rPr>
        <w:t>quarto</w:t>
      </w:r>
      <w:r w:rsidR="00EE0B82">
        <w:rPr>
          <w:b/>
          <w:sz w:val="28"/>
          <w:szCs w:val="28"/>
        </w:rPr>
        <w:t xml:space="preserve">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09E4B819" w14:textId="77777777" w:rsidR="00BE2312" w:rsidRDefault="00BE2312" w:rsidP="00362223">
      <w:pPr>
        <w:jc w:val="center"/>
        <w:rPr>
          <w:rFonts w:ascii="Verdana" w:hAnsi="Verdana"/>
        </w:rPr>
      </w:pPr>
    </w:p>
    <w:p w14:paraId="267749A9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4951A32C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5BEDB376" w14:textId="6BEA3174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</w:t>
      </w:r>
      <w:r w:rsidR="0024142D">
        <w:rPr>
          <w:rFonts w:ascii="Verdana" w:hAnsi="Verdana"/>
        </w:rPr>
        <w:t>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F9700B">
        <w:rPr>
          <w:rFonts w:ascii="Verdana" w:hAnsi="Verdana"/>
        </w:rPr>
        <w:t>3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24142D">
        <w:rPr>
          <w:rFonts w:ascii="Verdana" w:hAnsi="Verdana"/>
        </w:rPr>
        <w:t>372</w:t>
      </w:r>
      <w:r>
        <w:rPr>
          <w:rFonts w:ascii="Verdana" w:hAnsi="Verdana"/>
        </w:rPr>
        <w:t>-</w:t>
      </w:r>
      <w:r w:rsidR="0024142D">
        <w:rPr>
          <w:rFonts w:ascii="Verdana" w:hAnsi="Verdana"/>
        </w:rPr>
        <w:t>8</w:t>
      </w:r>
    </w:p>
    <w:p w14:paraId="490AA5F6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88D9E04" w14:textId="77777777"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20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2BF3DC84" w14:textId="77777777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455F7E5B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7B7F510E" w14:textId="77777777" w:rsidR="005F73A1" w:rsidRDefault="008F555F" w:rsidP="00397EF4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BE2312">
        <w:rPr>
          <w:rFonts w:ascii="Verdana" w:hAnsi="Verdana"/>
          <w:sz w:val="22"/>
          <w:szCs w:val="22"/>
        </w:rPr>
        <w:t xml:space="preserve">il </w:t>
      </w:r>
      <w:r w:rsidR="00B60FC0">
        <w:rPr>
          <w:rFonts w:ascii="Verdana" w:hAnsi="Verdana"/>
          <w:sz w:val="22"/>
          <w:szCs w:val="22"/>
        </w:rPr>
        <w:t>secondo</w:t>
      </w:r>
      <w:r w:rsidR="00BE2312">
        <w:rPr>
          <w:rFonts w:ascii="Verdana" w:hAnsi="Verdana"/>
          <w:sz w:val="22"/>
          <w:szCs w:val="22"/>
        </w:rPr>
        <w:t xml:space="preserve"> volume d</w:t>
      </w:r>
      <w:r w:rsidR="00B60FC0">
        <w:rPr>
          <w:rFonts w:ascii="Verdana" w:hAnsi="Verdana"/>
          <w:sz w:val="22"/>
          <w:szCs w:val="22"/>
        </w:rPr>
        <w:t xml:space="preserve">el </w:t>
      </w:r>
      <w:r w:rsidR="00EE0B82">
        <w:rPr>
          <w:rFonts w:ascii="Verdana" w:hAnsi="Verdana"/>
          <w:sz w:val="22"/>
          <w:szCs w:val="22"/>
        </w:rPr>
        <w:t>corso di Tecnologie Meccaniche e Applicazioni</w:t>
      </w:r>
      <w:r w:rsidR="00362223" w:rsidRPr="00362223">
        <w:rPr>
          <w:rFonts w:ascii="Verdana" w:hAnsi="Verdana"/>
          <w:sz w:val="22"/>
          <w:szCs w:val="22"/>
        </w:rPr>
        <w:t xml:space="preserve">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B60FC0">
        <w:rPr>
          <w:rFonts w:ascii="Verdana" w:hAnsi="Verdana"/>
          <w:sz w:val="22"/>
          <w:szCs w:val="22"/>
        </w:rPr>
        <w:t>quarto</w:t>
      </w:r>
      <w:r w:rsidR="00EE0B82">
        <w:rPr>
          <w:rFonts w:ascii="Verdana" w:hAnsi="Verdana"/>
          <w:sz w:val="22"/>
          <w:szCs w:val="22"/>
        </w:rPr>
        <w:t xml:space="preserve"> anno</w:t>
      </w:r>
      <w:r w:rsidR="00362223" w:rsidRPr="00362223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B60FC0">
        <w:rPr>
          <w:rFonts w:ascii="Verdana" w:hAnsi="Verdana"/>
          <w:sz w:val="22"/>
          <w:szCs w:val="22"/>
        </w:rPr>
        <w:t xml:space="preserve">, a proseguimento dell'apprezzato volume per il terzo anno. </w:t>
      </w:r>
      <w:r w:rsidR="00AF2EE3">
        <w:rPr>
          <w:rFonts w:ascii="Verdana" w:hAnsi="Verdana"/>
          <w:sz w:val="22"/>
          <w:szCs w:val="22"/>
        </w:rPr>
        <w:t>La casa editrice fa seguire, a scorrimento come dichiarato a catalogo e sul</w:t>
      </w:r>
      <w:r w:rsidR="00FE23C7">
        <w:rPr>
          <w:rFonts w:ascii="Verdana" w:hAnsi="Verdana"/>
          <w:sz w:val="22"/>
          <w:szCs w:val="22"/>
        </w:rPr>
        <w:t xml:space="preserve"> retro del</w:t>
      </w:r>
      <w:r w:rsidR="00AF2EE3">
        <w:rPr>
          <w:rFonts w:ascii="Verdana" w:hAnsi="Verdana"/>
          <w:sz w:val="22"/>
          <w:szCs w:val="22"/>
        </w:rPr>
        <w:t xml:space="preserve">la copertina del libro, </w:t>
      </w:r>
      <w:r w:rsidR="00B60FC0">
        <w:rPr>
          <w:rFonts w:ascii="Verdana" w:hAnsi="Verdana"/>
          <w:sz w:val="22"/>
          <w:szCs w:val="22"/>
        </w:rPr>
        <w:t>il terzo ed ultimo volume corrispondente al</w:t>
      </w:r>
      <w:r w:rsidR="00AF2EE3">
        <w:rPr>
          <w:rFonts w:ascii="Verdana" w:hAnsi="Verdana"/>
          <w:sz w:val="22"/>
          <w:szCs w:val="22"/>
        </w:rPr>
        <w:t xml:space="preserve"> </w:t>
      </w:r>
      <w:r w:rsidR="00B60FC0">
        <w:rPr>
          <w:rFonts w:ascii="Verdana" w:hAnsi="Verdana"/>
          <w:sz w:val="22"/>
          <w:szCs w:val="22"/>
        </w:rPr>
        <w:t>quinto anno della disciplina.</w:t>
      </w:r>
    </w:p>
    <w:p w14:paraId="5E558AC8" w14:textId="77777777" w:rsidR="00441101" w:rsidRPr="008D4D33" w:rsidRDefault="00441101" w:rsidP="00397EF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Questo secondo volume, come già il primo, </w:t>
      </w:r>
      <w:r w:rsidR="00EE0B82" w:rsidRPr="00EE0B82">
        <w:rPr>
          <w:rFonts w:ascii="Verdana" w:hAnsi="Verdana"/>
          <w:sz w:val="22"/>
          <w:szCs w:val="22"/>
        </w:rPr>
        <w:t xml:space="preserve">propone una </w:t>
      </w:r>
      <w:r w:rsidR="00EE0B82" w:rsidRPr="00D757C7">
        <w:rPr>
          <w:rFonts w:ascii="Verdana" w:hAnsi="Verdana"/>
          <w:bCs/>
          <w:sz w:val="22"/>
          <w:szCs w:val="22"/>
        </w:rPr>
        <w:t>trattazione organica e lineare</w:t>
      </w:r>
      <w:r w:rsidR="00EE0B82" w:rsidRPr="00EE0B82">
        <w:rPr>
          <w:rFonts w:ascii="Verdana" w:hAnsi="Verdana"/>
          <w:b/>
          <w:bCs/>
          <w:sz w:val="22"/>
          <w:szCs w:val="22"/>
        </w:rPr>
        <w:t xml:space="preserve"> </w:t>
      </w:r>
      <w:r w:rsidR="00EE0B82" w:rsidRPr="00EE0B82">
        <w:rPr>
          <w:rFonts w:ascii="Verdana" w:hAnsi="Verdana"/>
          <w:sz w:val="22"/>
          <w:szCs w:val="22"/>
        </w:rPr>
        <w:t>delle tematiche attinenti alla tecnologia meccanica, in modo chiaro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preciso e rigoroso, nell’intento di indurre a</w:t>
      </w:r>
      <w:r w:rsidR="00035951">
        <w:rPr>
          <w:rFonts w:ascii="Verdana" w:hAnsi="Verdana"/>
          <w:sz w:val="22"/>
          <w:szCs w:val="22"/>
        </w:rPr>
        <w:t>d un consapevole</w:t>
      </w:r>
      <w:r w:rsidR="00EE0B82" w:rsidRPr="00EE0B82">
        <w:rPr>
          <w:rFonts w:ascii="Verdana" w:hAnsi="Verdana"/>
          <w:sz w:val="22"/>
          <w:szCs w:val="22"/>
        </w:rPr>
        <w:t xml:space="preserve"> ragionamento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anziché richiedere una sterile memorizzazione.</w:t>
      </w:r>
      <w:r w:rsidR="00AF2EE3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I contenuti sono organizzati in Unità di Apprendimento (UdA), finalizzate all'</w:t>
      </w:r>
      <w:r w:rsidRPr="00441101">
        <w:rPr>
          <w:rFonts w:ascii="Verdana" w:hAnsi="Verdana" w:cs="MinionPro-Bold"/>
          <w:b/>
          <w:bCs/>
          <w:sz w:val="22"/>
          <w:szCs w:val="22"/>
        </w:rPr>
        <w:t>acquisizione di competenze</w:t>
      </w:r>
      <w:r>
        <w:rPr>
          <w:rFonts w:ascii="Verdana" w:hAnsi="Verdana" w:cs="MinionPro-Regular"/>
          <w:sz w:val="22"/>
          <w:szCs w:val="22"/>
        </w:rPr>
        <w:t xml:space="preserve">, </w:t>
      </w:r>
      <w:r w:rsidRPr="00441101">
        <w:rPr>
          <w:rFonts w:ascii="Verdana" w:hAnsi="Verdana" w:cs="MinionPro-Regular"/>
          <w:sz w:val="22"/>
          <w:szCs w:val="22"/>
        </w:rPr>
        <w:t>in linea con la recente riforma degli Is</w:t>
      </w:r>
      <w:r>
        <w:rPr>
          <w:rFonts w:ascii="Verdana" w:hAnsi="Verdana" w:cs="MinionPro-Regular"/>
          <w:sz w:val="22"/>
          <w:szCs w:val="22"/>
        </w:rPr>
        <w:t xml:space="preserve">tituti Professionali e l'intero </w:t>
      </w:r>
      <w:r w:rsidRPr="00441101">
        <w:rPr>
          <w:rFonts w:ascii="Verdana" w:hAnsi="Verdana" w:cs="MinionPro-Regular"/>
          <w:sz w:val="22"/>
          <w:szCs w:val="22"/>
        </w:rPr>
        <w:t>progetto recepisce e integra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le Indicazioni e i Profili dei nuovi Istituti Professionali facendo riferimento a metodologie di apprendimento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 xml:space="preserve">di tipo </w:t>
      </w:r>
      <w:r w:rsidRPr="00441101">
        <w:rPr>
          <w:rFonts w:ascii="Verdana" w:hAnsi="Verdana" w:cs="MinionPro-Bold"/>
          <w:b/>
          <w:bCs/>
          <w:sz w:val="22"/>
          <w:szCs w:val="22"/>
        </w:rPr>
        <w:t>induttivo</w:t>
      </w:r>
      <w:r w:rsidRPr="00441101">
        <w:rPr>
          <w:rFonts w:ascii="Verdana" w:hAnsi="Verdana" w:cs="MinionPro-Regular"/>
          <w:sz w:val="22"/>
          <w:szCs w:val="22"/>
        </w:rPr>
        <w:t>.</w:t>
      </w:r>
    </w:p>
    <w:p w14:paraId="12BA0EE0" w14:textId="77777777"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 xml:space="preserve">Questo secondo volume affronta, in particolare, i temi legati alla </w:t>
      </w:r>
      <w:r w:rsidRPr="00441101">
        <w:rPr>
          <w:rFonts w:ascii="Verdana" w:hAnsi="Verdana" w:cs="MinionPro-Bold"/>
          <w:b/>
          <w:bCs/>
          <w:sz w:val="22"/>
          <w:szCs w:val="22"/>
        </w:rPr>
        <w:t>meccanica applicata</w:t>
      </w:r>
      <w:r>
        <w:rPr>
          <w:rFonts w:ascii="Verdana" w:hAnsi="Verdana" w:cs="MinionPro-Regular"/>
          <w:sz w:val="22"/>
          <w:szCs w:val="22"/>
        </w:rPr>
        <w:t xml:space="preserve">, in termini di </w:t>
      </w:r>
      <w:r w:rsidRPr="00441101">
        <w:rPr>
          <w:rFonts w:ascii="Verdana" w:hAnsi="Verdana" w:cs="MinionPro-Regular"/>
          <w:sz w:val="22"/>
          <w:szCs w:val="22"/>
        </w:rPr>
        <w:t>conservazione dell'energia, attriti e macchine semp</w:t>
      </w:r>
      <w:r>
        <w:rPr>
          <w:rFonts w:ascii="Verdana" w:hAnsi="Verdana" w:cs="MinionPro-Regular"/>
          <w:sz w:val="22"/>
          <w:szCs w:val="22"/>
        </w:rPr>
        <w:t xml:space="preserve">lici (leve, carrucole, ecc.), e </w:t>
      </w:r>
      <w:r w:rsidRPr="00441101">
        <w:rPr>
          <w:rFonts w:ascii="Verdana" w:hAnsi="Verdana" w:cs="MinionPro-Regular"/>
          <w:sz w:val="22"/>
          <w:szCs w:val="22"/>
        </w:rPr>
        <w:t xml:space="preserve">alle </w:t>
      </w:r>
      <w:r w:rsidRPr="00441101">
        <w:rPr>
          <w:rFonts w:ascii="Verdana" w:hAnsi="Verdana" w:cs="MinionPro-Bold"/>
          <w:b/>
          <w:bCs/>
          <w:sz w:val="22"/>
          <w:szCs w:val="22"/>
        </w:rPr>
        <w:t>sollecitazioni semplici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e composte </w:t>
      </w:r>
      <w:r w:rsidRPr="00441101">
        <w:rPr>
          <w:rFonts w:ascii="Verdana" w:hAnsi="Verdana" w:cs="MinionPro-Regular"/>
          <w:sz w:val="22"/>
          <w:szCs w:val="22"/>
        </w:rPr>
        <w:t>subite dai materiali (trazione, compressione, flessotorsione, ecc.).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 xml:space="preserve">Il testo approfondisce poi i componenti che permettono la </w:t>
      </w:r>
      <w:r>
        <w:rPr>
          <w:rFonts w:ascii="Verdana" w:hAnsi="Verdana" w:cs="MinionPro-Bold"/>
          <w:b/>
          <w:bCs/>
          <w:sz w:val="22"/>
          <w:szCs w:val="22"/>
        </w:rPr>
        <w:t xml:space="preserve">guida del </w:t>
      </w:r>
      <w:r w:rsidRPr="00441101">
        <w:rPr>
          <w:rFonts w:ascii="Verdana" w:hAnsi="Verdana" w:cs="MinionPro-Bold"/>
          <w:b/>
          <w:bCs/>
          <w:sz w:val="22"/>
          <w:szCs w:val="22"/>
        </w:rPr>
        <w:t>moto</w:t>
      </w:r>
      <w:r>
        <w:rPr>
          <w:rFonts w:ascii="Verdana" w:hAnsi="Verdana" w:cs="MinionPro-Regular"/>
          <w:sz w:val="22"/>
          <w:szCs w:val="22"/>
        </w:rPr>
        <w:t xml:space="preserve">, soffermandosi in particolar </w:t>
      </w:r>
      <w:r w:rsidRPr="00441101">
        <w:rPr>
          <w:rFonts w:ascii="Verdana" w:hAnsi="Verdana" w:cs="MinionPro-Regular"/>
          <w:sz w:val="22"/>
          <w:szCs w:val="22"/>
        </w:rPr>
        <w:t>modo su cuscinetti radenti e volventi, e la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>trasmissione del moto</w:t>
      </w:r>
      <w:r w:rsidRPr="00441101">
        <w:rPr>
          <w:rFonts w:ascii="Verdana" w:hAnsi="Verdana" w:cs="MinionPro-Regular"/>
          <w:sz w:val="22"/>
          <w:szCs w:val="22"/>
        </w:rPr>
        <w:t>, p</w:t>
      </w:r>
      <w:r>
        <w:rPr>
          <w:rFonts w:ascii="Verdana" w:hAnsi="Verdana" w:cs="MinionPro-Regular"/>
          <w:sz w:val="22"/>
          <w:szCs w:val="22"/>
        </w:rPr>
        <w:t xml:space="preserve">onendo l'attenzione soprattutto </w:t>
      </w:r>
      <w:r w:rsidRPr="00441101">
        <w:rPr>
          <w:rFonts w:ascii="Verdana" w:hAnsi="Verdana" w:cs="MinionPro-Regular"/>
          <w:sz w:val="22"/>
          <w:szCs w:val="22"/>
        </w:rPr>
        <w:t>su ruote di frizione, ruote d</w:t>
      </w:r>
      <w:r>
        <w:rPr>
          <w:rFonts w:ascii="Verdana" w:hAnsi="Verdana" w:cs="MinionPro-Regular"/>
          <w:sz w:val="22"/>
          <w:szCs w:val="22"/>
        </w:rPr>
        <w:t xml:space="preserve">entate, cinghie, catene e funi. </w:t>
      </w:r>
      <w:r w:rsidRPr="00441101">
        <w:rPr>
          <w:rFonts w:ascii="Verdana" w:hAnsi="Verdana" w:cs="MinionPro-Regular"/>
          <w:sz w:val="22"/>
          <w:szCs w:val="22"/>
        </w:rPr>
        <w:t>Segue la trattazione dell'</w:t>
      </w:r>
      <w:r w:rsidRPr="00441101">
        <w:rPr>
          <w:rFonts w:ascii="Verdana" w:hAnsi="Verdana" w:cs="MinionPro-Bold"/>
          <w:b/>
          <w:bCs/>
          <w:sz w:val="22"/>
          <w:szCs w:val="22"/>
        </w:rPr>
        <w:t>automazione a fluido</w:t>
      </w:r>
      <w:r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(pneumatica, elettropneum</w:t>
      </w:r>
      <w:r>
        <w:rPr>
          <w:rFonts w:ascii="Verdana" w:hAnsi="Verdana" w:cs="MinionPro-Regular"/>
          <w:sz w:val="22"/>
          <w:szCs w:val="22"/>
        </w:rPr>
        <w:t xml:space="preserve">atica, ecc.), affrontata con un </w:t>
      </w:r>
      <w:r w:rsidRPr="00441101">
        <w:rPr>
          <w:rFonts w:ascii="Verdana" w:hAnsi="Verdana" w:cs="MinionPro-Regular"/>
          <w:sz w:val="22"/>
          <w:szCs w:val="22"/>
        </w:rPr>
        <w:t>taglio non solo teorico ma anche applicativo, fornendo le basi per l</w:t>
      </w:r>
      <w:r>
        <w:rPr>
          <w:rFonts w:ascii="Verdana" w:hAnsi="Verdana" w:cs="MinionPro-Regular"/>
          <w:sz w:val="22"/>
          <w:szCs w:val="22"/>
        </w:rPr>
        <w:t xml:space="preserve">e esercitazioni di laboratorio. </w:t>
      </w:r>
      <w:r w:rsidRPr="00441101">
        <w:rPr>
          <w:rFonts w:ascii="Verdana" w:hAnsi="Verdana" w:cs="MinionPro-Regular"/>
          <w:sz w:val="22"/>
          <w:szCs w:val="22"/>
        </w:rPr>
        <w:t xml:space="preserve">Il volume si chiude, infine, presentando alcuni fondamentali argomenti di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fisica tecnica </w:t>
      </w:r>
      <w:r>
        <w:rPr>
          <w:rFonts w:ascii="Verdana" w:hAnsi="Verdana" w:cs="MinionPro-Regular"/>
          <w:sz w:val="22"/>
          <w:szCs w:val="22"/>
        </w:rPr>
        <w:t xml:space="preserve">quali la termologia, </w:t>
      </w:r>
      <w:r w:rsidRPr="00441101">
        <w:rPr>
          <w:rFonts w:ascii="Verdana" w:hAnsi="Verdana" w:cs="MinionPro-Regular"/>
          <w:sz w:val="22"/>
          <w:szCs w:val="22"/>
        </w:rPr>
        <w:t>l'energia e la termodinamica, applicate anche a casi concreti come i motori alternativi a due</w:t>
      </w:r>
    </w:p>
    <w:p w14:paraId="06D9504A" w14:textId="77777777"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>e quattro tempi.</w:t>
      </w:r>
    </w:p>
    <w:p w14:paraId="59E9E11A" w14:textId="77777777"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>L'intera trattazione è accompagnata da tabelle analitiche, immagini descrit</w:t>
      </w:r>
      <w:r>
        <w:rPr>
          <w:rFonts w:ascii="Verdana" w:hAnsi="Verdana" w:cs="MinionPro-Regular"/>
          <w:sz w:val="22"/>
          <w:szCs w:val="22"/>
        </w:rPr>
        <w:t xml:space="preserve">tive, schemi, tavole tecniche e </w:t>
      </w:r>
      <w:r w:rsidRPr="00441101">
        <w:rPr>
          <w:rFonts w:ascii="Verdana" w:hAnsi="Verdana" w:cs="MinionPro-Regular"/>
          <w:sz w:val="22"/>
          <w:szCs w:val="22"/>
        </w:rPr>
        <w:t xml:space="preserve">numerosi esercizi svolti che facilitano il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consolidamento dei concetti appresi </w:t>
      </w:r>
      <w:r>
        <w:rPr>
          <w:rFonts w:ascii="Verdana" w:hAnsi="Verdana" w:cs="MinionPro-Regular"/>
          <w:sz w:val="22"/>
          <w:szCs w:val="22"/>
        </w:rPr>
        <w:t xml:space="preserve">e da domande di ripasso </w:t>
      </w:r>
      <w:r w:rsidRPr="00441101">
        <w:rPr>
          <w:rFonts w:ascii="Verdana" w:hAnsi="Verdana" w:cs="MinionPro-Regular"/>
          <w:sz w:val="22"/>
          <w:szCs w:val="22"/>
        </w:rPr>
        <w:t xml:space="preserve">e mappe concettuali ad alta leggibilità, molto utili per la </w:t>
      </w:r>
      <w:r w:rsidRPr="00441101">
        <w:rPr>
          <w:rFonts w:ascii="Verdana" w:hAnsi="Verdana" w:cs="MinionPro-Bold"/>
          <w:b/>
          <w:bCs/>
          <w:sz w:val="22"/>
          <w:szCs w:val="22"/>
        </w:rPr>
        <w:t>didattica inclusiva</w:t>
      </w:r>
      <w:r>
        <w:rPr>
          <w:rFonts w:ascii="Verdana" w:hAnsi="Verdana" w:cs="MinionPro-Regular"/>
          <w:sz w:val="22"/>
          <w:szCs w:val="22"/>
        </w:rPr>
        <w:t xml:space="preserve">. </w:t>
      </w:r>
      <w:r w:rsidRPr="00441101">
        <w:rPr>
          <w:rFonts w:ascii="Verdana" w:hAnsi="Verdana" w:cs="MinionPro-Regular"/>
          <w:sz w:val="22"/>
          <w:szCs w:val="22"/>
        </w:rPr>
        <w:t>Al termine di ogni argomento sono proposti interessanti esercizi di verifi</w:t>
      </w:r>
      <w:r>
        <w:rPr>
          <w:rFonts w:ascii="Verdana" w:hAnsi="Verdana" w:cs="MinionPro-Regular"/>
          <w:sz w:val="22"/>
          <w:szCs w:val="22"/>
        </w:rPr>
        <w:t xml:space="preserve">ca, sia in formato quiz, sia di </w:t>
      </w:r>
      <w:r w:rsidRPr="00441101">
        <w:rPr>
          <w:rFonts w:ascii="Verdana" w:hAnsi="Verdana" w:cs="MinionPro-Regular"/>
          <w:sz w:val="22"/>
          <w:szCs w:val="22"/>
        </w:rPr>
        <w:t>vere e proprie situazioni reali in cui applicare i concetti appresi attraverso il ragionamento (</w:t>
      </w:r>
      <w:r w:rsidRPr="00441101">
        <w:rPr>
          <w:rFonts w:ascii="Verdana" w:hAnsi="Verdana" w:cs="MinionPro-Bold"/>
          <w:b/>
          <w:bCs/>
          <w:sz w:val="22"/>
          <w:szCs w:val="22"/>
        </w:rPr>
        <w:t>compiti di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>realtà</w:t>
      </w:r>
      <w:r w:rsidRPr="00441101">
        <w:rPr>
          <w:rFonts w:ascii="Verdana" w:hAnsi="Verdana" w:cs="MinionPro-Regular"/>
          <w:sz w:val="22"/>
          <w:szCs w:val="22"/>
        </w:rPr>
        <w:t>).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C91FD7">
        <w:rPr>
          <w:rFonts w:ascii="Verdana" w:hAnsi="Verdana" w:cs="MinionPro-Bold"/>
          <w:bCs/>
          <w:sz w:val="22"/>
          <w:szCs w:val="22"/>
        </w:rPr>
        <w:t>In appendice</w:t>
      </w:r>
      <w:r>
        <w:rPr>
          <w:rFonts w:ascii="Verdana" w:hAnsi="Verdana" w:cs="MinionPro-Bold"/>
          <w:bCs/>
          <w:sz w:val="22"/>
          <w:szCs w:val="22"/>
        </w:rPr>
        <w:t xml:space="preserve">, sono proposti un </w:t>
      </w:r>
      <w:r w:rsidRPr="0069276F">
        <w:rPr>
          <w:rFonts w:ascii="Verdana" w:hAnsi="Verdana" w:cs="MinionPro-Bold"/>
          <w:b/>
          <w:bCs/>
          <w:sz w:val="22"/>
          <w:szCs w:val="22"/>
        </w:rPr>
        <w:t>g</w:t>
      </w:r>
      <w:r w:rsidRPr="00D757C7">
        <w:rPr>
          <w:rFonts w:ascii="Verdana" w:hAnsi="Verdana" w:cs="MinionPro-Bold"/>
          <w:b/>
          <w:bCs/>
          <w:sz w:val="22"/>
          <w:szCs w:val="22"/>
        </w:rPr>
        <w:t>lossario</w:t>
      </w:r>
      <w:r>
        <w:rPr>
          <w:rFonts w:ascii="Verdana" w:hAnsi="Verdana" w:cs="MinionPro-Bold"/>
          <w:bCs/>
          <w:sz w:val="22"/>
          <w:szCs w:val="22"/>
        </w:rPr>
        <w:t xml:space="preserve"> per chiarire </w:t>
      </w:r>
      <w:r w:rsidRPr="00C91FD7">
        <w:rPr>
          <w:rFonts w:ascii="Verdana" w:hAnsi="Verdana" w:cs="MinionPro-Bold"/>
          <w:bCs/>
          <w:sz w:val="22"/>
          <w:szCs w:val="22"/>
        </w:rPr>
        <w:t xml:space="preserve">i </w:t>
      </w:r>
      <w:r>
        <w:rPr>
          <w:rFonts w:ascii="Verdana" w:hAnsi="Verdana" w:cs="MinionPro-Bold"/>
          <w:bCs/>
          <w:sz w:val="22"/>
          <w:szCs w:val="22"/>
        </w:rPr>
        <w:t>punti</w:t>
      </w:r>
      <w:r w:rsidRPr="00C91FD7">
        <w:rPr>
          <w:rFonts w:ascii="Verdana" w:hAnsi="Verdana" w:cs="MinionPro-Bold"/>
          <w:bCs/>
          <w:sz w:val="22"/>
          <w:szCs w:val="22"/>
        </w:rPr>
        <w:t xml:space="preserve"> più complessi e </w:t>
      </w:r>
      <w:r>
        <w:rPr>
          <w:rFonts w:ascii="Verdana" w:hAnsi="Verdana" w:cs="MinionPro-Bold"/>
          <w:bCs/>
          <w:sz w:val="22"/>
          <w:szCs w:val="22"/>
        </w:rPr>
        <w:t xml:space="preserve">un </w:t>
      </w:r>
      <w:r w:rsidRPr="00A857EB">
        <w:rPr>
          <w:rFonts w:ascii="Verdana" w:hAnsi="Verdana" w:cs="MinionPro-Bold"/>
          <w:b/>
          <w:bCs/>
          <w:sz w:val="22"/>
          <w:szCs w:val="22"/>
        </w:rPr>
        <w:t>breve dizionario</w:t>
      </w:r>
      <w:r>
        <w:rPr>
          <w:rFonts w:ascii="Verdana" w:hAnsi="Verdana" w:cs="MinionPro-Bold"/>
          <w:bCs/>
          <w:sz w:val="22"/>
          <w:szCs w:val="22"/>
        </w:rPr>
        <w:t xml:space="preserve"> contenente </w:t>
      </w:r>
      <w:r w:rsidRPr="00D757C7">
        <w:rPr>
          <w:rFonts w:ascii="Verdana" w:hAnsi="Verdana" w:cs="MinionPro-Bold"/>
          <w:bCs/>
          <w:sz w:val="22"/>
          <w:szCs w:val="22"/>
        </w:rPr>
        <w:t>i</w:t>
      </w:r>
      <w:r w:rsidRPr="00A857EB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principali </w:t>
      </w:r>
      <w:r w:rsidRPr="00D757C7">
        <w:rPr>
          <w:rFonts w:ascii="Verdana" w:hAnsi="Verdana" w:cs="MinionPro-Bold"/>
          <w:bCs/>
          <w:sz w:val="22"/>
          <w:szCs w:val="22"/>
        </w:rPr>
        <w:t>termini tecnici</w:t>
      </w:r>
      <w:r w:rsidRPr="00C91FD7"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>del settore in</w:t>
      </w:r>
      <w:r w:rsidRPr="00F61DA0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lingua </w:t>
      </w:r>
      <w:r w:rsidRPr="00C91FD7">
        <w:rPr>
          <w:rFonts w:ascii="Verdana" w:hAnsi="Verdana" w:cs="MinionPro-Bold"/>
          <w:b/>
          <w:bCs/>
          <w:sz w:val="22"/>
          <w:szCs w:val="22"/>
        </w:rPr>
        <w:t>inglese</w:t>
      </w:r>
      <w:r w:rsidRPr="00C91FD7">
        <w:rPr>
          <w:rFonts w:ascii="Verdana" w:hAnsi="Verdana" w:cs="MinionPro-Regular"/>
          <w:sz w:val="22"/>
          <w:szCs w:val="22"/>
        </w:rPr>
        <w:t>.</w:t>
      </w:r>
    </w:p>
    <w:p w14:paraId="7C6D8173" w14:textId="77777777" w:rsidR="00441101" w:rsidRPr="00441101" w:rsidRDefault="003B5EF8" w:rsidP="00397EF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441101">
        <w:rPr>
          <w:rFonts w:ascii="Verdana" w:hAnsi="Verdana"/>
          <w:sz w:val="22"/>
          <w:szCs w:val="22"/>
        </w:rPr>
        <w:t>in forma mista "</w:t>
      </w:r>
      <w:r w:rsidR="008D037D" w:rsidRPr="00441101">
        <w:rPr>
          <w:rFonts w:ascii="Verdana" w:hAnsi="Verdana"/>
          <w:b/>
          <w:sz w:val="22"/>
          <w:szCs w:val="22"/>
        </w:rPr>
        <w:t>Interactive E-Book</w:t>
      </w:r>
      <w:r w:rsidR="008D037D" w:rsidRPr="00441101">
        <w:rPr>
          <w:rFonts w:ascii="Verdana" w:hAnsi="Verdana"/>
          <w:sz w:val="22"/>
          <w:szCs w:val="22"/>
        </w:rPr>
        <w:t xml:space="preserve">" </w:t>
      </w:r>
      <w:r w:rsidRPr="00441101">
        <w:rPr>
          <w:rFonts w:ascii="Verdana" w:hAnsi="Verdana"/>
          <w:sz w:val="22"/>
          <w:szCs w:val="22"/>
        </w:rPr>
        <w:t xml:space="preserve">sul sito web dell'editore, da ulteriori approfondimenti </w:t>
      </w:r>
      <w:r w:rsidR="00441101" w:rsidRPr="00441101">
        <w:rPr>
          <w:rFonts w:ascii="Verdana" w:hAnsi="Verdana" w:cs="MinionPro-Regular"/>
          <w:sz w:val="22"/>
          <w:szCs w:val="22"/>
        </w:rPr>
        <w:t>di selezionati temi di interesse</w:t>
      </w:r>
      <w:r w:rsidR="00441101" w:rsidRPr="00441101">
        <w:rPr>
          <w:rFonts w:ascii="Verdana" w:hAnsi="Verdana"/>
          <w:sz w:val="22"/>
          <w:szCs w:val="22"/>
        </w:rPr>
        <w:t>.</w:t>
      </w:r>
    </w:p>
    <w:p w14:paraId="100C2545" w14:textId="77777777" w:rsidR="003B5EF8" w:rsidRPr="00441101" w:rsidRDefault="003B5EF8" w:rsidP="00397EF4">
      <w:pPr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>Per i docenti è prevista una</w:t>
      </w:r>
      <w:r w:rsidR="00035951" w:rsidRPr="00441101">
        <w:rPr>
          <w:rFonts w:ascii="Verdana" w:hAnsi="Verdana"/>
          <w:sz w:val="22"/>
          <w:szCs w:val="22"/>
        </w:rPr>
        <w:t xml:space="preserve"> completa </w:t>
      </w:r>
      <w:r w:rsidRPr="00441101">
        <w:rPr>
          <w:rFonts w:ascii="Verdana" w:hAnsi="Verdana"/>
          <w:b/>
          <w:sz w:val="22"/>
          <w:szCs w:val="22"/>
        </w:rPr>
        <w:t>guida</w:t>
      </w:r>
      <w:r w:rsidRPr="00441101">
        <w:rPr>
          <w:rFonts w:ascii="Verdana" w:hAnsi="Verdana"/>
          <w:sz w:val="22"/>
          <w:szCs w:val="22"/>
        </w:rPr>
        <w:t xml:space="preserve"> contenente</w:t>
      </w:r>
      <w:r w:rsidR="0089709E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le soluzioni degli esercizi </w:t>
      </w:r>
      <w:r w:rsidR="00EE0B82" w:rsidRPr="00441101">
        <w:rPr>
          <w:rFonts w:ascii="Verdana" w:hAnsi="Verdana"/>
          <w:sz w:val="22"/>
          <w:szCs w:val="22"/>
        </w:rPr>
        <w:t>e la programmazione didattica, con l’esplicitazione dell</w:t>
      </w:r>
      <w:r w:rsidR="00FE69A0" w:rsidRPr="00441101">
        <w:rPr>
          <w:rFonts w:ascii="Verdana" w:hAnsi="Verdana"/>
          <w:sz w:val="22"/>
          <w:szCs w:val="22"/>
        </w:rPr>
        <w:t xml:space="preserve">e </w:t>
      </w:r>
      <w:r w:rsidR="00726378" w:rsidRPr="00441101">
        <w:rPr>
          <w:rFonts w:ascii="Verdana" w:hAnsi="Verdana"/>
          <w:b/>
          <w:sz w:val="22"/>
          <w:szCs w:val="22"/>
        </w:rPr>
        <w:t>abilità</w:t>
      </w:r>
      <w:r w:rsidR="00726378" w:rsidRPr="00441101">
        <w:rPr>
          <w:rFonts w:ascii="Verdana" w:hAnsi="Verdana"/>
          <w:sz w:val="22"/>
          <w:szCs w:val="22"/>
        </w:rPr>
        <w:t xml:space="preserve">, </w:t>
      </w:r>
      <w:r w:rsidR="00EE0B82" w:rsidRPr="00441101">
        <w:rPr>
          <w:rFonts w:ascii="Verdana" w:hAnsi="Verdana"/>
          <w:sz w:val="22"/>
          <w:szCs w:val="22"/>
        </w:rPr>
        <w:t>delle</w:t>
      </w:r>
      <w:r w:rsidR="00726378" w:rsidRPr="00441101">
        <w:rPr>
          <w:rFonts w:ascii="Verdana" w:hAnsi="Verdana"/>
          <w:sz w:val="22"/>
          <w:szCs w:val="22"/>
        </w:rPr>
        <w:t xml:space="preserve"> </w:t>
      </w:r>
      <w:r w:rsidR="00726378" w:rsidRPr="00441101">
        <w:rPr>
          <w:rFonts w:ascii="Verdana" w:hAnsi="Verdana"/>
          <w:b/>
          <w:sz w:val="22"/>
          <w:szCs w:val="22"/>
        </w:rPr>
        <w:t>conoscenze</w:t>
      </w:r>
      <w:r w:rsidR="00726378" w:rsidRPr="00441101">
        <w:rPr>
          <w:rFonts w:ascii="Verdana" w:hAnsi="Verdana"/>
          <w:sz w:val="22"/>
          <w:szCs w:val="22"/>
        </w:rPr>
        <w:t xml:space="preserve"> e </w:t>
      </w:r>
      <w:r w:rsidR="00EE0B82" w:rsidRPr="00441101">
        <w:rPr>
          <w:rFonts w:ascii="Verdana" w:hAnsi="Verdana"/>
          <w:sz w:val="22"/>
          <w:szCs w:val="22"/>
        </w:rPr>
        <w:t>del</w:t>
      </w:r>
      <w:r w:rsidR="00726378" w:rsidRPr="00441101">
        <w:rPr>
          <w:rFonts w:ascii="Verdana" w:hAnsi="Verdana"/>
          <w:sz w:val="22"/>
          <w:szCs w:val="22"/>
        </w:rPr>
        <w:t xml:space="preserve">le </w:t>
      </w:r>
      <w:r w:rsidR="00726378" w:rsidRPr="00441101">
        <w:rPr>
          <w:rFonts w:ascii="Verdana" w:hAnsi="Verdana"/>
          <w:b/>
          <w:sz w:val="22"/>
          <w:szCs w:val="22"/>
        </w:rPr>
        <w:t>competenze</w:t>
      </w:r>
      <w:r w:rsidR="00FE69A0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perseguite per ogni </w:t>
      </w:r>
      <w:r w:rsidR="00726378" w:rsidRPr="00441101">
        <w:rPr>
          <w:rFonts w:ascii="Verdana" w:hAnsi="Verdana"/>
          <w:sz w:val="22"/>
          <w:szCs w:val="22"/>
        </w:rPr>
        <w:t>Unità di Apprendimento</w:t>
      </w:r>
      <w:r w:rsidRPr="00441101">
        <w:rPr>
          <w:rFonts w:ascii="Verdana" w:hAnsi="Verdana"/>
          <w:sz w:val="22"/>
          <w:szCs w:val="22"/>
        </w:rPr>
        <w:t>, agevolando il compito del docente nella definizione del piano annuale delle attività.</w:t>
      </w:r>
    </w:p>
    <w:p w14:paraId="3CFE91B9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1669" w14:textId="77777777" w:rsidR="002B5BD7" w:rsidRDefault="002B5BD7">
      <w:r>
        <w:separator/>
      </w:r>
    </w:p>
  </w:endnote>
  <w:endnote w:type="continuationSeparator" w:id="0">
    <w:p w14:paraId="795CC333" w14:textId="77777777" w:rsidR="002B5BD7" w:rsidRDefault="002B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9BA5" w14:textId="77777777" w:rsidR="002B5BD7" w:rsidRDefault="002B5BD7">
      <w:r>
        <w:separator/>
      </w:r>
    </w:p>
  </w:footnote>
  <w:footnote w:type="continuationSeparator" w:id="0">
    <w:p w14:paraId="38A51D67" w14:textId="77777777" w:rsidR="002B5BD7" w:rsidRDefault="002B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14A6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3459">
    <w:abstractNumId w:val="1"/>
  </w:num>
  <w:num w:numId="2" w16cid:durableId="638651649">
    <w:abstractNumId w:val="0"/>
  </w:num>
  <w:num w:numId="3" w16cid:durableId="168358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97EF4"/>
    <w:rsid w:val="003B5EF8"/>
    <w:rsid w:val="003C683D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113C5"/>
    <w:rsid w:val="00626CE2"/>
    <w:rsid w:val="0069276F"/>
    <w:rsid w:val="006A5E5A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73924"/>
    <w:rsid w:val="008841C8"/>
    <w:rsid w:val="0089709E"/>
    <w:rsid w:val="008B52D0"/>
    <w:rsid w:val="008C5FCC"/>
    <w:rsid w:val="008D037D"/>
    <w:rsid w:val="008D4D33"/>
    <w:rsid w:val="008F555F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079F3"/>
    <w:rsid w:val="00F24D7B"/>
    <w:rsid w:val="00F61DA0"/>
    <w:rsid w:val="00F66EB4"/>
    <w:rsid w:val="00F9700B"/>
    <w:rsid w:val="00FA4F5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9828C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6</cp:revision>
  <cp:lastPrinted>2019-02-26T11:51:00Z</cp:lastPrinted>
  <dcterms:created xsi:type="dcterms:W3CDTF">2020-03-19T10:50:00Z</dcterms:created>
  <dcterms:modified xsi:type="dcterms:W3CDTF">2023-12-05T09:57:00Z</dcterms:modified>
</cp:coreProperties>
</file>