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709FE457" w:rsidR="008F555F" w:rsidRDefault="00064EF6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E. Cerutti – D. Oberti</w:t>
      </w:r>
    </w:p>
    <w:p w14:paraId="66912462" w14:textId="21CC2DD5" w:rsidR="00362223" w:rsidRPr="00362223" w:rsidRDefault="00064EF6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LE SCIENZE DEL CORPO UMANO VOL. B</w:t>
      </w:r>
    </w:p>
    <w:p w14:paraId="696B8AC5" w14:textId="5B2949A6" w:rsidR="008D037D" w:rsidRPr="008841C2" w:rsidRDefault="00064EF6" w:rsidP="008841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Anatomia, fisiologia e igiene dell’apparato stomatognatico</w:t>
      </w:r>
    </w:p>
    <w:p w14:paraId="0F368711" w14:textId="2D962746" w:rsidR="008841C2" w:rsidRDefault="00064EF6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per odontotecnici</w:t>
      </w:r>
    </w:p>
    <w:p w14:paraId="78D1EBCF" w14:textId="77777777" w:rsidR="00064EF6" w:rsidRDefault="00064EF6" w:rsidP="00362223">
      <w:pPr>
        <w:jc w:val="center"/>
        <w:rPr>
          <w:rFonts w:ascii="Verdana" w:hAnsi="Verdana"/>
        </w:rPr>
      </w:pPr>
    </w:p>
    <w:p w14:paraId="5DB79AE1" w14:textId="4107D86A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 w:rsidR="008841C2">
        <w:rPr>
          <w:rFonts w:ascii="Verdana" w:hAnsi="Verdana"/>
        </w:rPr>
        <w:t xml:space="preserve"> + </w:t>
      </w:r>
      <w:r>
        <w:rPr>
          <w:rFonts w:ascii="Verdana" w:hAnsi="Verdana"/>
        </w:rPr>
        <w:t>Guida docente</w:t>
      </w:r>
    </w:p>
    <w:p w14:paraId="0FE06738" w14:textId="77777777" w:rsidR="008841C2" w:rsidRPr="00362223" w:rsidRDefault="008841C2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4F39B0D0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064EF6">
        <w:rPr>
          <w:rFonts w:ascii="Verdana" w:hAnsi="Verdana"/>
        </w:rPr>
        <w:t>216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064EF6">
        <w:rPr>
          <w:rFonts w:ascii="Verdana" w:hAnsi="Verdana"/>
        </w:rPr>
        <w:t>0</w:t>
      </w:r>
      <w:r w:rsidRPr="006A0661">
        <w:rPr>
          <w:rFonts w:ascii="Verdana" w:hAnsi="Verdana"/>
        </w:rPr>
        <w:t>,</w:t>
      </w:r>
      <w:r w:rsidR="00064EF6">
        <w:rPr>
          <w:rFonts w:ascii="Verdana" w:hAnsi="Verdana"/>
        </w:rPr>
        <w:t>5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064EF6">
        <w:rPr>
          <w:rFonts w:ascii="Verdana" w:hAnsi="Verdana"/>
        </w:rPr>
        <w:t>482-4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9A3C61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230418E7" w14:textId="77777777" w:rsidR="00064EF6" w:rsidRDefault="008F555F" w:rsidP="00764261">
      <w:pPr>
        <w:jc w:val="both"/>
        <w:rPr>
          <w:rFonts w:ascii="Verdana" w:hAnsi="Verdana"/>
          <w:sz w:val="22"/>
          <w:szCs w:val="22"/>
        </w:rPr>
      </w:pPr>
      <w:r w:rsidRPr="00064EF6">
        <w:rPr>
          <w:rFonts w:ascii="Verdana" w:hAnsi="Verdana"/>
          <w:sz w:val="22"/>
          <w:szCs w:val="22"/>
        </w:rPr>
        <w:t xml:space="preserve">Si propone per l’adozione questa </w:t>
      </w:r>
      <w:r w:rsidR="005F73A1" w:rsidRPr="00064EF6">
        <w:rPr>
          <w:rFonts w:ascii="Verdana" w:hAnsi="Verdana"/>
          <w:sz w:val="22"/>
          <w:szCs w:val="22"/>
        </w:rPr>
        <w:t xml:space="preserve">nuova </w:t>
      </w:r>
      <w:r w:rsidR="00D1524F" w:rsidRPr="00064EF6">
        <w:rPr>
          <w:rFonts w:ascii="Verdana" w:hAnsi="Verdana"/>
          <w:sz w:val="22"/>
          <w:szCs w:val="22"/>
        </w:rPr>
        <w:t>opera, dedicata al</w:t>
      </w:r>
      <w:r w:rsidR="002A5943" w:rsidRPr="00064EF6">
        <w:rPr>
          <w:rFonts w:ascii="Verdana" w:hAnsi="Verdana"/>
          <w:sz w:val="22"/>
          <w:szCs w:val="22"/>
        </w:rPr>
        <w:t>l’insegnamento della materia “</w:t>
      </w:r>
      <w:r w:rsidR="00064EF6" w:rsidRPr="00064EF6">
        <w:rPr>
          <w:rFonts w:ascii="Verdana" w:hAnsi="Verdana"/>
          <w:b/>
          <w:bCs/>
          <w:sz w:val="22"/>
          <w:szCs w:val="22"/>
        </w:rPr>
        <w:t>Anatomia, Fisiologia, Igiene</w:t>
      </w:r>
      <w:r w:rsidR="002A5943" w:rsidRPr="00064EF6">
        <w:rPr>
          <w:rFonts w:ascii="Verdana" w:hAnsi="Verdana"/>
          <w:sz w:val="22"/>
          <w:szCs w:val="22"/>
        </w:rPr>
        <w:t>” per il</w:t>
      </w:r>
      <w:r w:rsidR="00F14197" w:rsidRPr="00064EF6">
        <w:rPr>
          <w:rFonts w:ascii="Verdana" w:hAnsi="Verdana"/>
          <w:sz w:val="22"/>
          <w:szCs w:val="22"/>
        </w:rPr>
        <w:t xml:space="preserve"> </w:t>
      </w:r>
      <w:r w:rsidR="00064EF6" w:rsidRPr="00064EF6">
        <w:rPr>
          <w:rFonts w:ascii="Verdana" w:hAnsi="Verdana"/>
          <w:sz w:val="22"/>
          <w:szCs w:val="22"/>
        </w:rPr>
        <w:t>terzo</w:t>
      </w:r>
      <w:r w:rsidR="00F14197" w:rsidRPr="00064EF6">
        <w:rPr>
          <w:rFonts w:ascii="Verdana" w:hAnsi="Verdana"/>
          <w:sz w:val="22"/>
          <w:szCs w:val="22"/>
        </w:rPr>
        <w:t xml:space="preserve"> anno </w:t>
      </w:r>
      <w:r w:rsidR="005F73A1" w:rsidRPr="00064EF6">
        <w:rPr>
          <w:rFonts w:ascii="Verdana" w:hAnsi="Verdana"/>
          <w:sz w:val="22"/>
          <w:szCs w:val="22"/>
        </w:rPr>
        <w:t xml:space="preserve">degli </w:t>
      </w:r>
      <w:r w:rsidR="005F73A1" w:rsidRPr="00064EF6">
        <w:rPr>
          <w:rFonts w:ascii="Verdana" w:hAnsi="Verdana"/>
          <w:b/>
          <w:bCs/>
          <w:sz w:val="22"/>
          <w:szCs w:val="22"/>
        </w:rPr>
        <w:t xml:space="preserve">Istituti </w:t>
      </w:r>
      <w:r w:rsidR="00064EF6" w:rsidRPr="00064EF6">
        <w:rPr>
          <w:rFonts w:ascii="Verdana" w:hAnsi="Verdana"/>
          <w:b/>
          <w:bCs/>
          <w:sz w:val="22"/>
          <w:szCs w:val="22"/>
        </w:rPr>
        <w:t>Professionali</w:t>
      </w:r>
      <w:r w:rsidR="00F14197" w:rsidRPr="00064EF6">
        <w:rPr>
          <w:rFonts w:ascii="Verdana" w:hAnsi="Verdana"/>
          <w:sz w:val="22"/>
          <w:szCs w:val="22"/>
        </w:rPr>
        <w:t xml:space="preserve"> a indirizzo</w:t>
      </w:r>
      <w:r w:rsidR="00064EF6" w:rsidRPr="00064EF6">
        <w:rPr>
          <w:rFonts w:ascii="Verdana" w:hAnsi="Verdana"/>
          <w:sz w:val="22"/>
          <w:szCs w:val="22"/>
        </w:rPr>
        <w:t xml:space="preserve"> </w:t>
      </w:r>
      <w:r w:rsidR="00064EF6" w:rsidRPr="00064EF6">
        <w:rPr>
          <w:rFonts w:ascii="Verdana" w:hAnsi="Verdana"/>
          <w:b/>
          <w:bCs/>
          <w:sz w:val="22"/>
          <w:szCs w:val="22"/>
        </w:rPr>
        <w:t>Arti ausiliarie delle professioni sanitarie: Odontotecnico</w:t>
      </w:r>
      <w:r w:rsidR="00064EF6" w:rsidRPr="00064EF6">
        <w:rPr>
          <w:rFonts w:ascii="Verdana" w:hAnsi="Verdana"/>
          <w:sz w:val="22"/>
          <w:szCs w:val="22"/>
        </w:rPr>
        <w:t>.</w:t>
      </w:r>
    </w:p>
    <w:p w14:paraId="494B9C54" w14:textId="6DDC158F" w:rsidR="00064EF6" w:rsidRPr="00064EF6" w:rsidRDefault="00064EF6" w:rsidP="0076426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volume mira ad </w:t>
      </w:r>
      <w:r w:rsidRPr="00064EF6">
        <w:rPr>
          <w:rFonts w:ascii="Verdana" w:hAnsi="Verdana" w:cs="Candara"/>
          <w:color w:val="000000"/>
          <w:sz w:val="22"/>
          <w:szCs w:val="22"/>
        </w:rPr>
        <w:t>approfondi</w:t>
      </w:r>
      <w:r>
        <w:rPr>
          <w:rFonts w:ascii="Verdana" w:hAnsi="Verdana" w:cs="Candara"/>
          <w:color w:val="000000"/>
          <w:sz w:val="22"/>
          <w:szCs w:val="22"/>
        </w:rPr>
        <w:t>r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e le basi scientifiche della disciplina, introdotte nel </w:t>
      </w:r>
      <w:r>
        <w:rPr>
          <w:rFonts w:ascii="Verdana" w:hAnsi="Verdana" w:cs="Candara"/>
          <w:color w:val="000000"/>
          <w:sz w:val="22"/>
          <w:szCs w:val="22"/>
        </w:rPr>
        <w:t xml:space="preserve">biennio, </w:t>
      </w:r>
      <w:r w:rsidRPr="00064EF6">
        <w:rPr>
          <w:rFonts w:ascii="Verdana" w:hAnsi="Verdana" w:cs="Candara"/>
          <w:color w:val="000000"/>
          <w:sz w:val="22"/>
          <w:szCs w:val="22"/>
        </w:rPr>
        <w:t>concentrando l’attenzione su tutto ciò che attiene all’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apparato stomatognatico</w:t>
      </w:r>
      <w:r>
        <w:rPr>
          <w:rFonts w:ascii="Verdana" w:hAnsi="Verdana" w:cs="Candara"/>
          <w:color w:val="000000"/>
          <w:sz w:val="22"/>
          <w:szCs w:val="22"/>
        </w:rPr>
        <w:t xml:space="preserve">, fornendo così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tutte le conoscenze, abilità e competenze </w:t>
      </w:r>
      <w:r>
        <w:rPr>
          <w:rFonts w:ascii="Verdana" w:hAnsi="Verdana" w:cs="Candara"/>
          <w:color w:val="000000"/>
          <w:sz w:val="22"/>
          <w:szCs w:val="22"/>
        </w:rPr>
        <w:t>della materia utili al futuro odontotecnico</w:t>
      </w:r>
      <w:r w:rsidRPr="00064EF6">
        <w:rPr>
          <w:rFonts w:ascii="Verdana" w:hAnsi="Verdana" w:cs="Candara"/>
          <w:color w:val="000000"/>
          <w:sz w:val="22"/>
          <w:szCs w:val="22"/>
        </w:rPr>
        <w:t>.</w:t>
      </w:r>
    </w:p>
    <w:p w14:paraId="74B9275E" w14:textId="1DB1ACF8" w:rsidR="00064EF6" w:rsidRPr="00064EF6" w:rsidRDefault="00064EF6" w:rsidP="00764261">
      <w:pPr>
        <w:autoSpaceDE w:val="0"/>
        <w:autoSpaceDN w:val="0"/>
        <w:adjustRightInd w:val="0"/>
        <w:jc w:val="both"/>
        <w:rPr>
          <w:rFonts w:ascii="Verdana" w:hAnsi="Verdana" w:cs="Candara"/>
          <w:color w:val="000000"/>
          <w:sz w:val="22"/>
          <w:szCs w:val="22"/>
        </w:rPr>
      </w:pPr>
      <w:r w:rsidRPr="00064EF6">
        <w:rPr>
          <w:rFonts w:ascii="Verdana" w:hAnsi="Verdana" w:cs="Candara"/>
          <w:color w:val="000000"/>
          <w:sz w:val="22"/>
          <w:szCs w:val="22"/>
        </w:rPr>
        <w:t xml:space="preserve">Il testo si apre con una UDA che introduce al tema della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salute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e della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malattia</w:t>
      </w:r>
      <w:r w:rsidRPr="00064EF6">
        <w:rPr>
          <w:rFonts w:ascii="Verdana" w:hAnsi="Verdana" w:cs="Candara"/>
          <w:color w:val="000000"/>
          <w:sz w:val="22"/>
          <w:szCs w:val="22"/>
        </w:rPr>
        <w:t>, con particolare attenzione all’ambiente</w:t>
      </w:r>
      <w:r>
        <w:rPr>
          <w:rFonts w:ascii="Verdana" w:hAnsi="Verdana" w:cs="Candara"/>
          <w:color w:val="000000"/>
          <w:sz w:val="22"/>
          <w:szCs w:val="22"/>
        </w:rPr>
        <w:t xml:space="preserve">, alle malattie e all’inquinamento. </w:t>
      </w:r>
    </w:p>
    <w:p w14:paraId="666ECD53" w14:textId="0F6D22A8" w:rsidR="00064EF6" w:rsidRPr="00064EF6" w:rsidRDefault="00064EF6" w:rsidP="00764261">
      <w:pPr>
        <w:autoSpaceDE w:val="0"/>
        <w:autoSpaceDN w:val="0"/>
        <w:adjustRightInd w:val="0"/>
        <w:jc w:val="both"/>
        <w:rPr>
          <w:rFonts w:ascii="Verdana" w:hAnsi="Verdana" w:cs="Candara"/>
          <w:color w:val="000000"/>
          <w:sz w:val="22"/>
          <w:szCs w:val="22"/>
        </w:rPr>
      </w:pPr>
      <w:r w:rsidRPr="00064EF6">
        <w:rPr>
          <w:rFonts w:ascii="Verdana" w:hAnsi="Verdana" w:cs="Candara"/>
          <w:color w:val="000000"/>
          <w:sz w:val="22"/>
          <w:szCs w:val="22"/>
        </w:rPr>
        <w:t xml:space="preserve">Il volume prosegue </w:t>
      </w:r>
      <w:r>
        <w:rPr>
          <w:rFonts w:ascii="Verdana" w:hAnsi="Verdana" w:cs="Candara"/>
          <w:color w:val="000000"/>
          <w:sz w:val="22"/>
          <w:szCs w:val="22"/>
        </w:rPr>
        <w:t xml:space="preserve">poi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entrando nel vivo dell’apparato stomatognatico: l’UDA 2 è dedicata 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ossa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,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muscoli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e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articolazioni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, mentre l’UDA 3 alla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cavità orale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(bocca, labbra, guance, arcate alveolo-dentali, lingua, ecc.). L’UDA 4 approfondisce l’elemento principale per ogni odontotecnico, i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denti</w:t>
      </w:r>
      <w:r w:rsidRPr="00064EF6">
        <w:rPr>
          <w:rFonts w:ascii="Verdana" w:hAnsi="Verdana" w:cs="Candara"/>
          <w:color w:val="000000"/>
          <w:sz w:val="22"/>
          <w:szCs w:val="22"/>
        </w:rPr>
        <w:t>, analizzandoli dal punto di vista istologico e morfologico, soffermandosi sul loro sviluppo e invecchiamento e ponendo attenzione al rapporto tra le superfici masticatorie (occlusione).</w:t>
      </w:r>
      <w:r w:rsidR="00764261">
        <w:rPr>
          <w:rFonts w:ascii="Verdana" w:hAnsi="Verdana" w:cs="Candara"/>
          <w:color w:val="000000"/>
          <w:sz w:val="22"/>
          <w:szCs w:val="22"/>
        </w:rPr>
        <w:t xml:space="preserve">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L’UDA 5 affronta gli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aspetti patologici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specifici dell’apparato stomatognatico: dopo aver introdotto i principali microrganismi patogeni, approfondisce le malattie che possono colpire il dente (placca, carie, parodontite, ecc.) e il cavo orale (stomatite, candidosi, ecc.). Infine, l’UDA 6 si concentra sulla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prevenzione</w:t>
      </w:r>
      <w:r w:rsidRPr="00064EF6">
        <w:rPr>
          <w:rFonts w:ascii="Verdana" w:hAnsi="Verdana" w:cs="Candara"/>
          <w:color w:val="000000"/>
          <w:sz w:val="22"/>
          <w:szCs w:val="22"/>
        </w:rPr>
        <w:t>, affrontando pratiche di detersione, disinfezione e sterilizzazione, prima di focalizzare l’attenzione sulle pratiche di igiene orale individuali (spazzolino da denti, filo interdentale, ecc.) e professionali (detartrasi, fluoroprofilassi, sigillatura).</w:t>
      </w:r>
    </w:p>
    <w:p w14:paraId="42B32E97" w14:textId="6DE81E20" w:rsidR="00064EF6" w:rsidRDefault="00064EF6" w:rsidP="00764261">
      <w:pPr>
        <w:autoSpaceDE w:val="0"/>
        <w:autoSpaceDN w:val="0"/>
        <w:adjustRightInd w:val="0"/>
        <w:jc w:val="both"/>
        <w:rPr>
          <w:rFonts w:ascii="Verdana" w:hAnsi="Verdana" w:cs="Candara"/>
          <w:color w:val="000000"/>
          <w:sz w:val="22"/>
          <w:szCs w:val="22"/>
        </w:rPr>
      </w:pPr>
      <w:r w:rsidRPr="00064EF6">
        <w:rPr>
          <w:rFonts w:ascii="Verdana" w:hAnsi="Verdana" w:cs="Candara"/>
          <w:color w:val="000000"/>
          <w:sz w:val="22"/>
          <w:szCs w:val="22"/>
        </w:rPr>
        <w:t xml:space="preserve">Ogni UDA è introdotta da uno sfidante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compito di realtà</w:t>
      </w:r>
      <w:r w:rsidRPr="00064EF6">
        <w:rPr>
          <w:rFonts w:ascii="Verdana" w:hAnsi="Verdana" w:cs="Candara"/>
          <w:color w:val="000000"/>
          <w:sz w:val="22"/>
          <w:szCs w:val="22"/>
        </w:rPr>
        <w:t>, per stimolare l’attenzione e la curiosità dello studente, e si conclude con diverse tipologie di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 xml:space="preserve"> esercizi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(v/f, scelte multiple, ecc.), per verificare il livello di conoscenze apprese, e interessanti attività volte allo sviluppo delle capacità di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problem solving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e all’ulteriore sviluppo di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competenze interdisciplinari</w:t>
      </w:r>
      <w:r w:rsidRPr="00064EF6">
        <w:rPr>
          <w:rFonts w:ascii="Verdana" w:hAnsi="Verdana" w:cs="Candara"/>
          <w:color w:val="000000"/>
          <w:sz w:val="22"/>
          <w:szCs w:val="22"/>
        </w:rPr>
        <w:t>.</w:t>
      </w:r>
      <w:r>
        <w:rPr>
          <w:rFonts w:ascii="Verdana" w:hAnsi="Verdana" w:cs="Candara"/>
          <w:color w:val="000000"/>
          <w:sz w:val="22"/>
          <w:szCs w:val="22"/>
        </w:rPr>
        <w:t xml:space="preserve">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Ogni UDA è articolata in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Focus</w:t>
      </w:r>
      <w:r w:rsidRPr="00064EF6">
        <w:rPr>
          <w:rFonts w:ascii="Verdana" w:hAnsi="Verdana" w:cs="Candara"/>
          <w:color w:val="000000"/>
          <w:sz w:val="22"/>
          <w:szCs w:val="22"/>
        </w:rPr>
        <w:t>, ripartizioni di testo che concentrano l’attenzione su un argomento più ristretto, accompagnando lo studente passo passo nel graduale processo di apprendimento.</w:t>
      </w:r>
      <w:r>
        <w:rPr>
          <w:rFonts w:ascii="Verdana" w:hAnsi="Verdana" w:cs="Candara"/>
          <w:color w:val="000000"/>
          <w:sz w:val="22"/>
          <w:szCs w:val="22"/>
        </w:rPr>
        <w:t xml:space="preserve"> Al termine di ogni Focus sono poi presenti utili strumenti di aiuto allo studio: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una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mappa concettuale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e una </w:t>
      </w:r>
      <w:r w:rsidRPr="00064EF6">
        <w:rPr>
          <w:rFonts w:ascii="Verdana" w:hAnsi="Verdana" w:cs="Candara"/>
          <w:b/>
          <w:bCs/>
          <w:color w:val="000000"/>
          <w:sz w:val="22"/>
          <w:szCs w:val="22"/>
        </w:rPr>
        <w:t>sintesi ad alta leggibilità</w:t>
      </w:r>
      <w:r w:rsidRPr="00064EF6">
        <w:rPr>
          <w:rFonts w:ascii="Verdana" w:hAnsi="Verdana" w:cs="Candara"/>
          <w:color w:val="000000"/>
          <w:sz w:val="22"/>
          <w:szCs w:val="22"/>
        </w:rPr>
        <w:t>, accessibile anche in versione audio tramite QR code.</w:t>
      </w:r>
    </w:p>
    <w:p w14:paraId="31DDEBF2" w14:textId="447E856C" w:rsidR="00064EF6" w:rsidRPr="00064EF6" w:rsidRDefault="00064EF6" w:rsidP="00764261">
      <w:pPr>
        <w:autoSpaceDE w:val="0"/>
        <w:autoSpaceDN w:val="0"/>
        <w:adjustRightInd w:val="0"/>
        <w:jc w:val="both"/>
        <w:rPr>
          <w:rFonts w:ascii="Verdana" w:hAnsi="Verdana" w:cs="Candara"/>
          <w:color w:val="000000"/>
          <w:sz w:val="22"/>
          <w:szCs w:val="22"/>
        </w:rPr>
      </w:pPr>
      <w:r>
        <w:rPr>
          <w:rFonts w:ascii="Verdana" w:hAnsi="Verdana" w:cs="Candara"/>
          <w:color w:val="000000"/>
          <w:sz w:val="22"/>
          <w:szCs w:val="22"/>
        </w:rPr>
        <w:t xml:space="preserve">Il testo appare chiaro e semplice, 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ma sempre fedele al </w:t>
      </w:r>
      <w:r w:rsidRPr="00764261">
        <w:rPr>
          <w:rFonts w:ascii="Verdana" w:hAnsi="Verdana" w:cs="Candara"/>
          <w:color w:val="000000"/>
          <w:sz w:val="22"/>
          <w:szCs w:val="22"/>
        </w:rPr>
        <w:t>rigore scientifico</w:t>
      </w:r>
      <w:r>
        <w:rPr>
          <w:rFonts w:ascii="Verdana" w:hAnsi="Verdana" w:cs="Candara"/>
          <w:color w:val="000000"/>
          <w:sz w:val="22"/>
          <w:szCs w:val="22"/>
        </w:rPr>
        <w:t xml:space="preserve">. La piena comprensione degli argomenti è ulteriormente facilitata da un </w:t>
      </w:r>
      <w:r w:rsidRPr="00764261">
        <w:rPr>
          <w:rFonts w:ascii="Verdana" w:hAnsi="Verdana" w:cs="Candara"/>
          <w:b/>
          <w:bCs/>
          <w:color w:val="000000"/>
          <w:sz w:val="22"/>
          <w:szCs w:val="22"/>
        </w:rPr>
        <w:t>ricco apparato iconografico</w:t>
      </w:r>
      <w:r w:rsidRPr="00064EF6">
        <w:rPr>
          <w:rFonts w:ascii="Verdana" w:hAnsi="Verdana" w:cs="Candara"/>
          <w:color w:val="000000"/>
          <w:sz w:val="22"/>
          <w:szCs w:val="22"/>
        </w:rPr>
        <w:t>,</w:t>
      </w:r>
      <w:r>
        <w:rPr>
          <w:rFonts w:ascii="Verdana" w:hAnsi="Verdana" w:cs="Candara"/>
          <w:color w:val="000000"/>
          <w:sz w:val="22"/>
          <w:szCs w:val="22"/>
        </w:rPr>
        <w:t xml:space="preserve"> </w:t>
      </w:r>
      <w:r w:rsidRPr="00064EF6">
        <w:rPr>
          <w:rFonts w:ascii="Verdana" w:hAnsi="Verdana" w:cs="Candara"/>
          <w:color w:val="000000"/>
          <w:sz w:val="22"/>
          <w:szCs w:val="22"/>
        </w:rPr>
        <w:t>schemi e tabelle</w:t>
      </w:r>
      <w:r>
        <w:rPr>
          <w:rFonts w:ascii="Verdana" w:hAnsi="Verdana" w:cs="Candara"/>
          <w:color w:val="000000"/>
          <w:sz w:val="22"/>
          <w:szCs w:val="22"/>
        </w:rPr>
        <w:t>.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 </w:t>
      </w:r>
      <w:r>
        <w:rPr>
          <w:rFonts w:ascii="Verdana" w:hAnsi="Verdana" w:cs="Candara"/>
          <w:color w:val="000000"/>
          <w:sz w:val="22"/>
          <w:szCs w:val="22"/>
        </w:rPr>
        <w:t>Sono inoltre presenti stimolanti video didattici di carattere interdisciplinare e i</w:t>
      </w:r>
      <w:r w:rsidRPr="00064EF6">
        <w:rPr>
          <w:rFonts w:ascii="Verdana" w:hAnsi="Verdana" w:cs="Candara"/>
          <w:color w:val="000000"/>
          <w:sz w:val="22"/>
          <w:szCs w:val="22"/>
        </w:rPr>
        <w:t xml:space="preserve">nteressanti </w:t>
      </w:r>
      <w:r w:rsidRPr="00764261">
        <w:rPr>
          <w:rFonts w:ascii="Verdana" w:hAnsi="Verdana" w:cs="Candara"/>
          <w:b/>
          <w:bCs/>
          <w:color w:val="000000"/>
          <w:sz w:val="22"/>
          <w:szCs w:val="22"/>
        </w:rPr>
        <w:t xml:space="preserve">rubriche </w:t>
      </w:r>
      <w:r w:rsidRPr="00064EF6">
        <w:rPr>
          <w:rFonts w:ascii="Verdana" w:hAnsi="Verdana" w:cs="Candara"/>
          <w:color w:val="000000"/>
          <w:sz w:val="22"/>
          <w:szCs w:val="22"/>
        </w:rPr>
        <w:t>dedicate alla salute, all’educazione civica e alla professione</w:t>
      </w:r>
      <w:r>
        <w:rPr>
          <w:rFonts w:ascii="Verdana" w:hAnsi="Verdana" w:cs="Candara"/>
          <w:color w:val="000000"/>
          <w:sz w:val="22"/>
          <w:szCs w:val="22"/>
        </w:rPr>
        <w:t>.</w:t>
      </w:r>
    </w:p>
    <w:p w14:paraId="459CEBD7" w14:textId="71DDEE15" w:rsidR="0089709E" w:rsidRPr="00064EF6" w:rsidRDefault="003B5EF8" w:rsidP="00764261">
      <w:pPr>
        <w:jc w:val="both"/>
        <w:rPr>
          <w:rFonts w:ascii="Verdana" w:hAnsi="Verdana"/>
          <w:sz w:val="22"/>
          <w:szCs w:val="22"/>
        </w:rPr>
      </w:pPr>
      <w:r w:rsidRPr="00064EF6">
        <w:rPr>
          <w:rFonts w:ascii="Verdana" w:hAnsi="Verdana"/>
          <w:sz w:val="22"/>
          <w:szCs w:val="22"/>
        </w:rPr>
        <w:t xml:space="preserve">Per i docenti è prevista una </w:t>
      </w:r>
      <w:r w:rsidRPr="00064EF6">
        <w:rPr>
          <w:rFonts w:ascii="Verdana" w:hAnsi="Verdana"/>
          <w:b/>
          <w:bCs/>
          <w:sz w:val="22"/>
          <w:szCs w:val="22"/>
        </w:rPr>
        <w:t>guida</w:t>
      </w:r>
      <w:r w:rsidRPr="00064EF6">
        <w:rPr>
          <w:rFonts w:ascii="Verdana" w:hAnsi="Verdana"/>
          <w:sz w:val="22"/>
          <w:szCs w:val="22"/>
        </w:rPr>
        <w:t xml:space="preserve"> contenent</w:t>
      </w:r>
      <w:r w:rsidR="00064EF6" w:rsidRPr="00064EF6">
        <w:rPr>
          <w:rFonts w:ascii="Verdana" w:hAnsi="Verdana"/>
          <w:sz w:val="22"/>
          <w:szCs w:val="22"/>
        </w:rPr>
        <w:t xml:space="preserve">i suggerimenti per la programmazione didattica, </w:t>
      </w:r>
      <w:r w:rsidRPr="00064EF6">
        <w:rPr>
          <w:rFonts w:ascii="Verdana" w:hAnsi="Verdana"/>
          <w:sz w:val="22"/>
          <w:szCs w:val="22"/>
        </w:rPr>
        <w:t>le soluzioni degli esercizi in volume</w:t>
      </w:r>
      <w:r w:rsidR="00064EF6" w:rsidRPr="00064EF6">
        <w:rPr>
          <w:rFonts w:ascii="Verdana" w:hAnsi="Verdana"/>
          <w:sz w:val="22"/>
          <w:szCs w:val="22"/>
        </w:rPr>
        <w:t xml:space="preserve">, proposte per le prove di verifica da somministrare (anche semplificate ma equipollenti) </w:t>
      </w:r>
      <w:r w:rsidRPr="00064EF6">
        <w:rPr>
          <w:rFonts w:ascii="Verdana" w:hAnsi="Verdana"/>
          <w:sz w:val="22"/>
          <w:szCs w:val="22"/>
        </w:rPr>
        <w:t xml:space="preserve">e altro materiale didattico. </w:t>
      </w:r>
    </w:p>
    <w:sectPr w:rsidR="0089709E" w:rsidRPr="00064EF6" w:rsidSect="00BC3CB3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0B59" w14:textId="77777777" w:rsidR="00BC3CB3" w:rsidRDefault="00BC3CB3">
      <w:r>
        <w:separator/>
      </w:r>
    </w:p>
  </w:endnote>
  <w:endnote w:type="continuationSeparator" w:id="0">
    <w:p w14:paraId="251C9FE4" w14:textId="77777777" w:rsidR="00BC3CB3" w:rsidRDefault="00BC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AB25" w14:textId="77777777" w:rsidR="00BC3CB3" w:rsidRDefault="00BC3CB3">
      <w:r>
        <w:separator/>
      </w:r>
    </w:p>
  </w:footnote>
  <w:footnote w:type="continuationSeparator" w:id="0">
    <w:p w14:paraId="11A4293C" w14:textId="77777777" w:rsidR="00BC3CB3" w:rsidRDefault="00BC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2466F"/>
    <w:rsid w:val="0003534D"/>
    <w:rsid w:val="00064EF6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A435F"/>
    <w:rsid w:val="002A5943"/>
    <w:rsid w:val="002A5A67"/>
    <w:rsid w:val="002B4551"/>
    <w:rsid w:val="002C1D87"/>
    <w:rsid w:val="002D77F7"/>
    <w:rsid w:val="002E0590"/>
    <w:rsid w:val="002E135C"/>
    <w:rsid w:val="002F00EE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01349"/>
    <w:rsid w:val="00626CE2"/>
    <w:rsid w:val="00695E03"/>
    <w:rsid w:val="00703205"/>
    <w:rsid w:val="00707A8F"/>
    <w:rsid w:val="00726378"/>
    <w:rsid w:val="007446BD"/>
    <w:rsid w:val="0075061C"/>
    <w:rsid w:val="00764261"/>
    <w:rsid w:val="00795B94"/>
    <w:rsid w:val="007D0EA8"/>
    <w:rsid w:val="007E181D"/>
    <w:rsid w:val="007E2E5D"/>
    <w:rsid w:val="007F6024"/>
    <w:rsid w:val="008541E9"/>
    <w:rsid w:val="00873924"/>
    <w:rsid w:val="008841C2"/>
    <w:rsid w:val="008841C8"/>
    <w:rsid w:val="0089709E"/>
    <w:rsid w:val="008B52D0"/>
    <w:rsid w:val="008C5FCC"/>
    <w:rsid w:val="008D037D"/>
    <w:rsid w:val="008F555F"/>
    <w:rsid w:val="0098061D"/>
    <w:rsid w:val="009A3C61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D2623"/>
    <w:rsid w:val="00AF2F56"/>
    <w:rsid w:val="00B241B1"/>
    <w:rsid w:val="00B40B3C"/>
    <w:rsid w:val="00B933B9"/>
    <w:rsid w:val="00B93804"/>
    <w:rsid w:val="00BA6695"/>
    <w:rsid w:val="00BC3CB3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C0F2F"/>
    <w:rsid w:val="00DC7C9E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14197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7</cp:revision>
  <cp:lastPrinted>2024-03-28T11:38:00Z</cp:lastPrinted>
  <dcterms:created xsi:type="dcterms:W3CDTF">2024-03-28T11:24:00Z</dcterms:created>
  <dcterms:modified xsi:type="dcterms:W3CDTF">2024-04-02T10:29:00Z</dcterms:modified>
</cp:coreProperties>
</file>