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media/image2.jpeg" ContentType="image/jpeg"/>
  <Override PartName="/word/media/image3.png" ContentType="image/pn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jc w:val="center"/>
        <w:rPr>
          <w:b/>
          <w:b/>
          <w:color w:val="2C2276"/>
          <w:sz w:val="36"/>
        </w:rPr>
      </w:pPr>
      <w:r>
        <w:rPr>
          <w:b/>
          <w:color w:val="2C2276"/>
          <w:sz w:val="36"/>
        </w:rPr>
        <w:t>Sleutelfactor Toxiciteit</w:t>
      </w:r>
    </w:p>
    <w:p>
      <w:pPr>
        <w:pStyle w:val="Normal"/>
        <w:jc w:val="center"/>
        <w:rPr>
          <w:b/>
          <w:b/>
          <w:color w:val="2C2276"/>
          <w:sz w:val="36"/>
        </w:rPr>
      </w:pPr>
      <w:r>
        <w:rPr>
          <w:b/>
          <w:color w:val="2C2276"/>
          <w:sz w:val="36"/>
        </w:rPr>
      </w:r>
    </w:p>
    <w:p>
      <w:pPr>
        <w:pStyle w:val="Normal"/>
        <w:jc w:val="center"/>
        <w:rPr/>
      </w:pPr>
      <w:r>
        <w:rPr/>
        <w:drawing>
          <wp:inline distT="0" distB="0" distL="0" distR="0">
            <wp:extent cx="1597025" cy="114617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97025" cy="1146175"/>
                    </a:xfrm>
                    <a:prstGeom prst="rect">
                      <a:avLst/>
                    </a:prstGeom>
                  </pic:spPr>
                </pic:pic>
              </a:graphicData>
            </a:graphic>
          </wp:inline>
        </w:drawing>
      </w:r>
    </w:p>
    <w:p>
      <w:pPr>
        <w:pStyle w:val="Normal"/>
        <w:jc w:val="center"/>
        <w:rPr>
          <w:b/>
          <w:b/>
          <w:sz w:val="36"/>
        </w:rPr>
      </w:pPr>
      <w:r>
        <w:rPr>
          <w:b/>
          <w:sz w:val="36"/>
        </w:rPr>
      </w:r>
    </w:p>
    <w:p>
      <w:pPr>
        <w:pStyle w:val="Normal"/>
        <w:jc w:val="center"/>
        <w:rPr>
          <w:b/>
          <w:b/>
          <w:color w:val="2C2276"/>
          <w:sz w:val="36"/>
        </w:rPr>
      </w:pPr>
      <w:r>
        <w:rPr>
          <w:b/>
          <w:color w:val="2C2276"/>
          <w:sz w:val="36"/>
        </w:rPr>
        <w:t>Welke oplossingsrichtingen zijn er voor een waterkwaliteitsprobleem met een bepaalde oorsprong</w:t>
      </w:r>
    </w:p>
    <w:p>
      <w:pPr>
        <w:pStyle w:val="Normal"/>
        <w:jc w:val="center"/>
        <w:rPr>
          <w:b/>
          <w:b/>
          <w:color w:val="2C2276"/>
          <w:sz w:val="36"/>
        </w:rPr>
      </w:pPr>
      <w:r>
        <w:rPr>
          <w:b/>
          <w:color w:val="2C2276"/>
          <w:sz w:val="36"/>
        </w:rPr>
      </w:r>
    </w:p>
    <w:p>
      <w:pPr>
        <w:pStyle w:val="Normal"/>
        <w:jc w:val="center"/>
        <w:rPr>
          <w:b/>
          <w:b/>
          <w:color w:val="009FE3"/>
          <w:sz w:val="32"/>
        </w:rPr>
      </w:pPr>
      <w:r>
        <w:rPr>
          <w:b/>
          <w:color w:val="009FE3"/>
          <w:sz w:val="32"/>
        </w:rPr>
        <w:t xml:space="preserve">Achtergronddocument voor de Oplossingsrichtingen Database </w:t>
      </w:r>
    </w:p>
    <w:p>
      <w:pPr>
        <w:pStyle w:val="Normal"/>
        <w:rPr/>
      </w:pPr>
      <w:r>
        <w:rPr/>
      </w:r>
    </w:p>
    <w:tbl>
      <w:tblPr>
        <w:tblStyle w:val="TableGrid"/>
        <w:tblW w:w="8303" w:type="dxa"/>
        <w:jc w:val="left"/>
        <w:tblInd w:w="0" w:type="dxa"/>
        <w:tblCellMar>
          <w:top w:w="0" w:type="dxa"/>
          <w:left w:w="108" w:type="dxa"/>
          <w:bottom w:w="0" w:type="dxa"/>
          <w:right w:w="108" w:type="dxa"/>
        </w:tblCellMar>
        <w:tblLook w:val="04a0" w:noVBand="1" w:noHBand="0" w:lastColumn="0" w:firstColumn="1" w:lastRow="0" w:firstRow="1"/>
      </w:tblPr>
      <w:tblGrid>
        <w:gridCol w:w="2035"/>
        <w:gridCol w:w="1566"/>
        <w:gridCol w:w="1565"/>
        <w:gridCol w:w="1570"/>
        <w:gridCol w:w="1567"/>
      </w:tblGrid>
      <w:tr>
        <w:trPr/>
        <w:tc>
          <w:tcPr>
            <w:tcW w:w="5166" w:type="dxa"/>
            <w:gridSpan w:val="3"/>
            <w:tcBorders/>
            <w:shd w:color="auto" w:fill="BDD6EE" w:themeFill="accent1" w:themeFillTint="66" w:val="clear"/>
          </w:tcPr>
          <w:p>
            <w:pPr>
              <w:pStyle w:val="Normal"/>
              <w:widowControl w:val="false"/>
              <w:rPr/>
            </w:pPr>
            <w:r>
              <w:rPr/>
              <w:t>Gezien door:</w:t>
            </w:r>
          </w:p>
        </w:tc>
        <w:tc>
          <w:tcPr>
            <w:tcW w:w="1570" w:type="dxa"/>
            <w:tcBorders/>
            <w:shd w:color="auto" w:fill="BDD6EE" w:themeFill="accent1" w:themeFillTint="66" w:val="clear"/>
          </w:tcPr>
          <w:p>
            <w:pPr>
              <w:pStyle w:val="Normal"/>
              <w:widowControl w:val="false"/>
              <w:rPr/>
            </w:pPr>
            <w:r>
              <w:rPr/>
              <w:t>Wat?</w:t>
            </w:r>
          </w:p>
        </w:tc>
        <w:tc>
          <w:tcPr>
            <w:tcW w:w="1567" w:type="dxa"/>
            <w:tcBorders/>
            <w:shd w:color="auto" w:fill="BDD6EE" w:themeFill="accent1" w:themeFillTint="66" w:val="clear"/>
          </w:tcPr>
          <w:p>
            <w:pPr>
              <w:pStyle w:val="Normal"/>
              <w:widowControl w:val="false"/>
              <w:rPr/>
            </w:pPr>
            <w:r>
              <w:rPr/>
              <w:t>Goedkeuring?</w:t>
            </w:r>
          </w:p>
        </w:tc>
      </w:tr>
      <w:tr>
        <w:trPr/>
        <w:tc>
          <w:tcPr>
            <w:tcW w:w="2035" w:type="dxa"/>
            <w:tcBorders/>
          </w:tcPr>
          <w:p>
            <w:pPr>
              <w:pStyle w:val="Normal"/>
              <w:widowControl w:val="false"/>
              <w:rPr/>
            </w:pPr>
            <w:r>
              <w:rPr/>
              <w:t>Tessa Pronk</w:t>
            </w:r>
          </w:p>
        </w:tc>
        <w:tc>
          <w:tcPr>
            <w:tcW w:w="1566" w:type="dxa"/>
            <w:tcBorders/>
          </w:tcPr>
          <w:p>
            <w:pPr>
              <w:pStyle w:val="Normal"/>
              <w:widowControl w:val="false"/>
              <w:rPr/>
            </w:pPr>
            <w:r>
              <w:rPr/>
              <w:t>KWR</w:t>
            </w:r>
          </w:p>
        </w:tc>
        <w:tc>
          <w:tcPr>
            <w:tcW w:w="1565" w:type="dxa"/>
            <w:tcBorders/>
          </w:tcPr>
          <w:p>
            <w:pPr>
              <w:pStyle w:val="Normal"/>
              <w:widowControl w:val="false"/>
              <w:rPr/>
            </w:pPr>
            <w:r>
              <w:rPr/>
              <w:t>December 2020</w:t>
            </w:r>
          </w:p>
        </w:tc>
        <w:tc>
          <w:tcPr>
            <w:tcW w:w="1570" w:type="dxa"/>
            <w:tcBorders/>
          </w:tcPr>
          <w:p>
            <w:pPr>
              <w:pStyle w:val="Normal"/>
              <w:widowControl w:val="false"/>
              <w:rPr/>
            </w:pPr>
            <w:r>
              <w:rPr/>
              <w:t>Inhoud en tekst</w:t>
            </w:r>
          </w:p>
        </w:tc>
        <w:tc>
          <w:tcPr>
            <w:tcW w:w="1567" w:type="dxa"/>
            <w:tcBorders/>
          </w:tcPr>
          <w:p>
            <w:pPr>
              <w:pStyle w:val="Normal"/>
              <w:widowControl w:val="false"/>
              <w:rPr/>
            </w:pPr>
            <w:r>
              <w:rPr/>
            </w:r>
          </w:p>
        </w:tc>
      </w:tr>
      <w:tr>
        <w:trPr/>
        <w:tc>
          <w:tcPr>
            <w:tcW w:w="2035" w:type="dxa"/>
            <w:tcBorders/>
            <w:shd w:color="auto" w:fill="FFFFFF" w:themeFill="background1" w:val="clear"/>
          </w:tcPr>
          <w:p>
            <w:pPr>
              <w:pStyle w:val="Normal"/>
              <w:widowControl w:val="false"/>
              <w:rPr/>
            </w:pPr>
            <w:r>
              <w:rPr/>
              <w:t>Leo Posthuma</w:t>
            </w:r>
          </w:p>
        </w:tc>
        <w:tc>
          <w:tcPr>
            <w:tcW w:w="1566" w:type="dxa"/>
            <w:tcBorders/>
            <w:shd w:color="auto" w:fill="FFFFFF" w:themeFill="background1" w:val="clear"/>
          </w:tcPr>
          <w:p>
            <w:pPr>
              <w:pStyle w:val="Normal"/>
              <w:widowControl w:val="false"/>
              <w:rPr/>
            </w:pPr>
            <w:r>
              <w:rPr/>
              <w:t>RIVM</w:t>
            </w:r>
          </w:p>
        </w:tc>
        <w:tc>
          <w:tcPr>
            <w:tcW w:w="1565" w:type="dxa"/>
            <w:tcBorders/>
            <w:shd w:color="auto" w:fill="FFFFFF" w:themeFill="background1" w:val="clear"/>
          </w:tcPr>
          <w:p>
            <w:pPr>
              <w:pStyle w:val="Normal"/>
              <w:widowControl w:val="false"/>
              <w:rPr/>
            </w:pPr>
            <w:r>
              <w:rPr/>
              <w:t>Januari 2021</w:t>
            </w:r>
          </w:p>
        </w:tc>
        <w:tc>
          <w:tcPr>
            <w:tcW w:w="1570" w:type="dxa"/>
            <w:tcBorders/>
            <w:shd w:color="auto" w:fill="FFFFFF" w:themeFill="background1" w:val="clear"/>
          </w:tcPr>
          <w:p>
            <w:pPr>
              <w:pStyle w:val="Normal"/>
              <w:widowControl w:val="false"/>
              <w:rPr/>
            </w:pPr>
            <w:r>
              <w:rPr/>
              <w:t>Inhoud en tekst</w:t>
            </w:r>
          </w:p>
        </w:tc>
        <w:tc>
          <w:tcPr>
            <w:tcW w:w="1567" w:type="dxa"/>
            <w:tcBorders/>
            <w:shd w:color="auto" w:fill="FFFFFF" w:themeFill="background1" w:val="clear"/>
          </w:tcPr>
          <w:p>
            <w:pPr>
              <w:pStyle w:val="Normal"/>
              <w:widowControl w:val="false"/>
              <w:rPr/>
            </w:pPr>
            <w:r>
              <w:rPr/>
            </w:r>
          </w:p>
        </w:tc>
      </w:tr>
      <w:tr>
        <w:trPr/>
        <w:tc>
          <w:tcPr>
            <w:tcW w:w="2035" w:type="dxa"/>
            <w:tcBorders/>
            <w:shd w:color="auto" w:fill="FFFFFF" w:themeFill="background1" w:val="clear"/>
          </w:tcPr>
          <w:p>
            <w:pPr>
              <w:pStyle w:val="Normal"/>
              <w:widowControl w:val="false"/>
              <w:rPr/>
            </w:pPr>
            <w:r>
              <w:rPr/>
              <w:t>Sanne van den Berg</w:t>
            </w:r>
          </w:p>
        </w:tc>
        <w:tc>
          <w:tcPr>
            <w:tcW w:w="1566" w:type="dxa"/>
            <w:tcBorders/>
            <w:shd w:color="auto" w:fill="FFFFFF" w:themeFill="background1" w:val="clear"/>
          </w:tcPr>
          <w:p>
            <w:pPr>
              <w:pStyle w:val="Normal"/>
              <w:widowControl w:val="false"/>
              <w:rPr/>
            </w:pPr>
            <w:r>
              <w:rPr/>
              <w:t>WEnR</w:t>
            </w:r>
          </w:p>
        </w:tc>
        <w:tc>
          <w:tcPr>
            <w:tcW w:w="1565" w:type="dxa"/>
            <w:tcBorders/>
            <w:shd w:color="auto" w:fill="FFFFFF" w:themeFill="background1" w:val="clear"/>
          </w:tcPr>
          <w:p>
            <w:pPr>
              <w:pStyle w:val="Normal"/>
              <w:widowControl w:val="false"/>
              <w:rPr/>
            </w:pPr>
            <w:r>
              <w:rPr/>
              <w:t>Januari 2021</w:t>
            </w:r>
          </w:p>
        </w:tc>
        <w:tc>
          <w:tcPr>
            <w:tcW w:w="1570" w:type="dxa"/>
            <w:tcBorders/>
            <w:shd w:color="auto" w:fill="FFFFFF" w:themeFill="background1" w:val="clear"/>
          </w:tcPr>
          <w:p>
            <w:pPr>
              <w:pStyle w:val="Normal"/>
              <w:widowControl w:val="false"/>
              <w:rPr/>
            </w:pPr>
            <w:r>
              <w:rPr/>
              <w:t>Inhoud en tekst</w:t>
            </w:r>
          </w:p>
        </w:tc>
        <w:tc>
          <w:tcPr>
            <w:tcW w:w="1567" w:type="dxa"/>
            <w:tcBorders/>
            <w:shd w:color="auto" w:fill="FFFFFF" w:themeFill="background1" w:val="clear"/>
          </w:tcPr>
          <w:p>
            <w:pPr>
              <w:pStyle w:val="Normal"/>
              <w:widowControl w:val="false"/>
              <w:rPr/>
            </w:pPr>
            <w:r>
              <w:rPr/>
              <w:t>Ja</w:t>
            </w:r>
          </w:p>
        </w:tc>
      </w:tr>
      <w:tr>
        <w:trPr/>
        <w:tc>
          <w:tcPr>
            <w:tcW w:w="2035" w:type="dxa"/>
            <w:tcBorders/>
            <w:shd w:color="auto" w:fill="FFFFFF" w:themeFill="background1" w:val="clear"/>
          </w:tcPr>
          <w:p>
            <w:pPr>
              <w:pStyle w:val="Normal"/>
              <w:widowControl w:val="false"/>
              <w:rPr/>
            </w:pPr>
            <w:r>
              <w:rPr/>
              <w:t>Leonard Osté</w:t>
            </w:r>
          </w:p>
        </w:tc>
        <w:tc>
          <w:tcPr>
            <w:tcW w:w="1566" w:type="dxa"/>
            <w:tcBorders/>
            <w:shd w:color="auto" w:fill="FFFFFF" w:themeFill="background1" w:val="clear"/>
          </w:tcPr>
          <w:p>
            <w:pPr>
              <w:pStyle w:val="Normal"/>
              <w:widowControl w:val="false"/>
              <w:rPr/>
            </w:pPr>
            <w:r>
              <w:rPr/>
              <w:t>Deltares</w:t>
            </w:r>
          </w:p>
        </w:tc>
        <w:tc>
          <w:tcPr>
            <w:tcW w:w="1565" w:type="dxa"/>
            <w:tcBorders/>
            <w:shd w:color="auto" w:fill="FFFFFF" w:themeFill="background1" w:val="clear"/>
          </w:tcPr>
          <w:p>
            <w:pPr>
              <w:pStyle w:val="Normal"/>
              <w:widowControl w:val="false"/>
              <w:rPr/>
            </w:pPr>
            <w:r>
              <w:rPr/>
              <w:t>Maart 2021</w:t>
            </w:r>
          </w:p>
        </w:tc>
        <w:tc>
          <w:tcPr>
            <w:tcW w:w="1570" w:type="dxa"/>
            <w:tcBorders/>
            <w:shd w:color="auto" w:fill="FFFFFF" w:themeFill="background1" w:val="clear"/>
          </w:tcPr>
          <w:p>
            <w:pPr>
              <w:pStyle w:val="Normal"/>
              <w:widowControl w:val="false"/>
              <w:rPr/>
            </w:pPr>
            <w:r>
              <w:rPr/>
              <w:t>Inhoud en tekst</w:t>
            </w:r>
          </w:p>
        </w:tc>
        <w:tc>
          <w:tcPr>
            <w:tcW w:w="1567" w:type="dxa"/>
            <w:tcBorders/>
            <w:shd w:color="auto" w:fill="FFFFFF" w:themeFill="background1" w:val="clear"/>
          </w:tcPr>
          <w:p>
            <w:pPr>
              <w:pStyle w:val="Normal"/>
              <w:widowControl w:val="false"/>
              <w:rPr/>
            </w:pPr>
            <w:r>
              <w:rPr/>
              <w:t>Ja als groeidocument</w:t>
            </w:r>
          </w:p>
        </w:tc>
      </w:tr>
      <w:tr>
        <w:trPr/>
        <w:tc>
          <w:tcPr>
            <w:tcW w:w="2035" w:type="dxa"/>
            <w:tcBorders/>
          </w:tcPr>
          <w:p>
            <w:pPr>
              <w:pStyle w:val="Normal"/>
              <w:widowControl w:val="false"/>
              <w:rPr/>
            </w:pPr>
            <w:r>
              <w:rPr/>
            </w:r>
          </w:p>
        </w:tc>
        <w:tc>
          <w:tcPr>
            <w:tcW w:w="1566" w:type="dxa"/>
            <w:tcBorders/>
          </w:tcPr>
          <w:p>
            <w:pPr>
              <w:pStyle w:val="Normal"/>
              <w:widowControl w:val="false"/>
              <w:rPr/>
            </w:pPr>
            <w:r>
              <w:rPr/>
            </w:r>
          </w:p>
        </w:tc>
        <w:tc>
          <w:tcPr>
            <w:tcW w:w="1565" w:type="dxa"/>
            <w:tcBorders/>
          </w:tcPr>
          <w:p>
            <w:pPr>
              <w:pStyle w:val="Normal"/>
              <w:widowControl w:val="false"/>
              <w:rPr/>
            </w:pPr>
            <w:r>
              <w:rPr/>
            </w:r>
          </w:p>
        </w:tc>
        <w:tc>
          <w:tcPr>
            <w:tcW w:w="1570" w:type="dxa"/>
            <w:tcBorders/>
          </w:tcPr>
          <w:p>
            <w:pPr>
              <w:pStyle w:val="Normal"/>
              <w:widowControl w:val="false"/>
              <w:rPr/>
            </w:pPr>
            <w:r>
              <w:rPr/>
            </w:r>
          </w:p>
        </w:tc>
        <w:tc>
          <w:tcPr>
            <w:tcW w:w="1567" w:type="dxa"/>
            <w:tcBorders/>
          </w:tcPr>
          <w:p>
            <w:pPr>
              <w:pStyle w:val="Normal"/>
              <w:widowControl w:val="false"/>
              <w:rPr/>
            </w:pPr>
            <w:r>
              <w:rPr/>
            </w:r>
          </w:p>
        </w:tc>
      </w:tr>
      <w:tr>
        <w:trPr/>
        <w:tc>
          <w:tcPr>
            <w:tcW w:w="2035" w:type="dxa"/>
            <w:tcBorders/>
          </w:tcPr>
          <w:p>
            <w:pPr>
              <w:pStyle w:val="Normal"/>
              <w:widowControl w:val="false"/>
              <w:rPr/>
            </w:pPr>
            <w:r>
              <w:rPr/>
            </w:r>
          </w:p>
        </w:tc>
        <w:tc>
          <w:tcPr>
            <w:tcW w:w="1566" w:type="dxa"/>
            <w:tcBorders/>
          </w:tcPr>
          <w:p>
            <w:pPr>
              <w:pStyle w:val="Normal"/>
              <w:widowControl w:val="false"/>
              <w:rPr/>
            </w:pPr>
            <w:r>
              <w:rPr/>
            </w:r>
          </w:p>
        </w:tc>
        <w:tc>
          <w:tcPr>
            <w:tcW w:w="1565" w:type="dxa"/>
            <w:tcBorders/>
          </w:tcPr>
          <w:p>
            <w:pPr>
              <w:pStyle w:val="Normal"/>
              <w:widowControl w:val="false"/>
              <w:rPr/>
            </w:pPr>
            <w:r>
              <w:rPr/>
            </w:r>
          </w:p>
        </w:tc>
        <w:tc>
          <w:tcPr>
            <w:tcW w:w="1570" w:type="dxa"/>
            <w:tcBorders/>
          </w:tcPr>
          <w:p>
            <w:pPr>
              <w:pStyle w:val="Normal"/>
              <w:widowControl w:val="false"/>
              <w:rPr/>
            </w:pPr>
            <w:r>
              <w:rPr/>
            </w:r>
          </w:p>
        </w:tc>
        <w:tc>
          <w:tcPr>
            <w:tcW w:w="1567" w:type="dxa"/>
            <w:tcBorders/>
          </w:tcPr>
          <w:p>
            <w:pPr>
              <w:pStyle w:val="Normal"/>
              <w:widowControl w:val="false"/>
              <w:rPr/>
            </w:pPr>
            <w:r>
              <w:rPr/>
            </w:r>
            <w:bookmarkStart w:id="0" w:name="_GoBack"/>
            <w:bookmarkStart w:id="1" w:name="_GoBack"/>
            <w:bookmarkEnd w:id="1"/>
          </w:p>
        </w:tc>
      </w:tr>
      <w:tr>
        <w:trPr/>
        <w:tc>
          <w:tcPr>
            <w:tcW w:w="2035" w:type="dxa"/>
            <w:tcBorders/>
          </w:tcPr>
          <w:p>
            <w:pPr>
              <w:pStyle w:val="Normal"/>
              <w:widowControl w:val="false"/>
              <w:rPr/>
            </w:pPr>
            <w:r>
              <w:rPr/>
            </w:r>
          </w:p>
        </w:tc>
        <w:tc>
          <w:tcPr>
            <w:tcW w:w="1566" w:type="dxa"/>
            <w:tcBorders/>
          </w:tcPr>
          <w:p>
            <w:pPr>
              <w:pStyle w:val="Normal"/>
              <w:widowControl w:val="false"/>
              <w:rPr/>
            </w:pPr>
            <w:r>
              <w:rPr/>
            </w:r>
          </w:p>
        </w:tc>
        <w:tc>
          <w:tcPr>
            <w:tcW w:w="1565" w:type="dxa"/>
            <w:tcBorders/>
          </w:tcPr>
          <w:p>
            <w:pPr>
              <w:pStyle w:val="Normal"/>
              <w:widowControl w:val="false"/>
              <w:rPr/>
            </w:pPr>
            <w:r>
              <w:rPr/>
            </w:r>
          </w:p>
        </w:tc>
        <w:tc>
          <w:tcPr>
            <w:tcW w:w="1570" w:type="dxa"/>
            <w:tcBorders/>
          </w:tcPr>
          <w:p>
            <w:pPr>
              <w:pStyle w:val="Normal"/>
              <w:widowControl w:val="false"/>
              <w:rPr/>
            </w:pPr>
            <w:r>
              <w:rPr/>
            </w:r>
          </w:p>
        </w:tc>
        <w:tc>
          <w:tcPr>
            <w:tcW w:w="1567" w:type="dxa"/>
            <w:tcBorders/>
          </w:tcPr>
          <w:p>
            <w:pPr>
              <w:pStyle w:val="Normal"/>
              <w:widowControl w:val="false"/>
              <w:rPr/>
            </w:pPr>
            <w:r>
              <w:rPr/>
            </w:r>
          </w:p>
        </w:tc>
      </w:tr>
    </w:tbl>
    <w:p>
      <w:pPr>
        <w:pStyle w:val="Normal"/>
        <w:jc w:val="left"/>
        <w:rPr/>
      </w:pPr>
      <w:r>
        <w:rPr/>
      </w:r>
    </w:p>
    <w:p>
      <w:pPr>
        <w:pStyle w:val="Normal"/>
        <w:jc w:val="center"/>
        <w:rPr/>
      </w:pPr>
      <w:r>
        <w:rPr/>
      </w:r>
    </w:p>
    <w:p>
      <w:pPr>
        <w:pStyle w:val="Normal"/>
        <w:rPr>
          <w:b/>
          <w:b/>
          <w:color w:val="2C2276"/>
        </w:rPr>
      </w:pPr>
      <w:r>
        <w:rPr>
          <w:b/>
          <w:color w:val="2C2276"/>
        </w:rPr>
        <w:t>Auteurs:</w:t>
      </w:r>
    </w:p>
    <w:p>
      <w:pPr>
        <w:pStyle w:val="Normal"/>
        <w:rPr/>
      </w:pPr>
      <w:r>
        <w:rPr/>
        <w:t>Inge van Driezum (RIVM)</w:t>
      </w:r>
    </w:p>
    <w:p>
      <w:pPr>
        <w:pStyle w:val="Normal"/>
        <w:rPr>
          <w:lang w:val="en-US"/>
        </w:rPr>
      </w:pPr>
      <w:r>
        <w:rPr>
          <w:lang w:val="en-US"/>
        </w:rPr>
        <w:t xml:space="preserve">Tessa Pronk (KWR Water Research Institute) </w:t>
      </w:r>
    </w:p>
    <w:p>
      <w:pPr>
        <w:pStyle w:val="Normal"/>
        <w:rPr>
          <w:lang w:val="en-US"/>
        </w:rPr>
      </w:pPr>
      <w:r>
        <w:rPr>
          <w:lang w:val="en-US"/>
        </w:rPr>
      </w:r>
    </w:p>
    <w:p>
      <w:pPr>
        <w:pStyle w:val="Normal"/>
        <w:rPr/>
      </w:pPr>
      <w:r>
        <w:rPr>
          <w:sz w:val="18"/>
        </w:rPr>
        <w:t>Versie: 15 december 2020</w:t>
      </w:r>
    </w:p>
    <w:p>
      <w:pPr>
        <w:pStyle w:val="Title"/>
        <w:rPr/>
      </w:pPr>
      <w:r>
        <w:rPr/>
        <w:t>Oplossingsrichtingen Database inleiding</w:t>
      </w:r>
    </w:p>
    <w:p>
      <w:pPr>
        <w:pStyle w:val="Normal"/>
        <w:rPr/>
      </w:pPr>
      <w:r>
        <w:rPr/>
        <w:t xml:space="preserve">Waterbeheerders kunnen maatregelen afleiden en invoeren voor de drukfactor ‘chemische verontreiniging’. De KRW is voor de aanpak van drukfactoren ‘actiegericht’. Als er sprake is van een dreigende of actuele aanwezigheid van drukfactoren, en daardoor (dreigende) achteruitgang van de waterkwaliteit, moet de waterbeheerder maatregelen treffen. Dit geldt ook wanneer er grote hoeveelheden verontreinigende stoffen aanwezig zijn of in het water terecht kunnen komen. De waterbeheerder wordt dus voor het probleem gesteld om maatregelen af te leiden voor potentieel elk mogelijk mengsel van de meer dan 170.000 stoffen die in de Europese Unie in de handel zijn, en die dus door lokale emissies en/of transport vanuit bovenstroomse bronnen in een waterlichaam terecht kunnen komen. </w:t>
      </w:r>
    </w:p>
    <w:p>
      <w:pPr>
        <w:pStyle w:val="Normal"/>
        <w:rPr/>
      </w:pPr>
      <w:r>
        <w:rPr/>
      </w:r>
    </w:p>
    <w:p>
      <w:pPr>
        <w:pStyle w:val="Normal"/>
        <w:rPr/>
      </w:pPr>
      <w:r>
        <w:rPr/>
        <w:t>De KRW is daarom ook ‘systeemgericht’: uitgangspunt voor bescherming en herstel van de waterkwaliteit zijn dus niet (bijvoorbeeld) landsgrenzen, maar de eigenschappen van het hydrologische systeem. Elk schaalniveau (het Europese continent, de stroomgebieden van de grote rivieren, de deelstroomgebieden, enz. tot aan de Nederlandse waterschappen) heeft daarbij een eigen verantwoordelijkheid. Het afleiden van maatregelen tegen chemische verontreiniging zijn daarom inhoudelijk veelomvattend (veel stoffen, veel bronnen, veel denkbare maatregelen) en organisatorisch complex (veel ‘probleem-eigenaren’ en belanghebbenden: bovenstrooms, lokaal en benedenstrooms).</w:t>
      </w:r>
    </w:p>
    <w:p>
      <w:pPr>
        <w:pStyle w:val="Normal"/>
        <w:rPr/>
      </w:pPr>
      <w:r>
        <w:rPr/>
      </w:r>
    </w:p>
    <w:p>
      <w:pPr>
        <w:pStyle w:val="Normal"/>
        <w:rPr/>
      </w:pPr>
      <w:r>
        <w:rPr/>
        <w:t xml:space="preserve">De kennis over maatregelen tegen chemische verontreiniging is momenteel erg verspreid. In de kader richtlijn water (KRW) staan verwijzingen naar andere regelgeving. Er zijn ook databestanden over de maatregelen die eerder in verband met de KRW zijn genomen. De oplossingsrichtingen database geeft een eerste impressie van mogelijke maatregelen die waterbeheerders kunnen nemen om verontreinigingen tegen te gaan of de toxische druk op het systeem te verminderen. Deze tabellen geven oplossingsrichtingen weer van maatregelen die genomen kunnen worden voor de verschillende scenario’s (industrie, drinkwaterzuiveringsinstallaties, landbouw, RWZI’s en buitenlandse rivieren). Hieruit kan een algemene maatregel en een concrete maatregelen volgen. Uit de database wordt ook duidelijk wie de maatregel kan treffen. </w:t>
      </w:r>
    </w:p>
    <w:p>
      <w:pPr>
        <w:pStyle w:val="Normal"/>
        <w:rPr/>
      </w:pPr>
      <w:r>
        <w:rPr/>
      </w:r>
    </w:p>
    <w:p>
      <w:pPr>
        <w:pStyle w:val="Normal"/>
        <w:rPr/>
      </w:pPr>
      <w:r>
        <w:rPr/>
        <w:t xml:space="preserve">We benadrukken dat dit deze database een conceptversie is en nog uitgebreid kan worden. </w:t>
      </w:r>
    </w:p>
    <w:p>
      <w:pPr>
        <w:pStyle w:val="Normal"/>
        <w:rPr/>
      </w:pPr>
      <w:r>
        <w:rPr/>
        <w:t xml:space="preserve"> </w:t>
      </w:r>
    </w:p>
    <w:p>
      <w:pPr>
        <w:pStyle w:val="Normal"/>
        <w:rPr/>
      </w:pPr>
      <w:r>
        <w:rPr/>
      </w:r>
    </w:p>
    <w:p>
      <w:pPr>
        <w:pStyle w:val="Title"/>
        <w:rPr/>
      </w:pPr>
      <w:r>
        <w:rPr/>
        <w:t xml:space="preserve">Methode en bronnen van de Maatregelen Database </w:t>
      </w:r>
    </w:p>
    <w:p>
      <w:pPr>
        <w:pStyle w:val="Normal"/>
        <w:rPr/>
      </w:pPr>
      <w:r>
        <w:rPr/>
        <w:t>De Maatregelen (of ‘oplossingsrichtingen’) staan momenteel in een Excel bestand. Verschillende scenario’s kunnen hierin worden geselecteerd, en de oplossingsrichtingen die hiermee geassocieerd zijn worden getoond per partij die actie wil ondernemen.</w:t>
      </w:r>
    </w:p>
    <w:p>
      <w:pPr>
        <w:pStyle w:val="Normal"/>
        <w:rPr/>
      </w:pPr>
      <w:r>
        <w:rPr/>
      </w:r>
    </w:p>
    <w:p>
      <w:pPr>
        <w:pStyle w:val="Normal"/>
        <w:rPr>
          <w:b/>
          <w:b/>
        </w:rPr>
      </w:pPr>
      <w:r>
        <w:rPr>
          <w:b/>
        </w:rPr>
        <w:t>Bronnen:</w:t>
      </w:r>
    </w:p>
    <w:p>
      <w:pPr>
        <w:pStyle w:val="Normal"/>
        <w:rPr/>
      </w:pPr>
      <w:r>
        <w:rPr/>
        <w:t>De oplossingsrichtingen zijn losjes gebaseerd op diverse wetteksten:</w:t>
      </w:r>
    </w:p>
    <w:p>
      <w:pPr>
        <w:pStyle w:val="Normal"/>
        <w:rPr/>
      </w:pPr>
      <w:r>
        <w:rPr/>
      </w:r>
    </w:p>
    <w:p>
      <w:pPr>
        <w:pStyle w:val="Normal"/>
        <w:rPr>
          <w:lang w:val="en-US"/>
        </w:rPr>
      </w:pPr>
      <w:r>
        <w:rPr>
          <w:lang w:val="en-US"/>
        </w:rPr>
        <w:t>1</w:t>
        <w:tab/>
        <w:t xml:space="preserve">Council Directive 98/83/EC of 3 November 1998 on the quality of water intended for human consumption </w:t>
        <w:tab/>
      </w:r>
      <w:hyperlink r:id="rId3">
        <w:r>
          <w:rPr>
            <w:rStyle w:val="Internetkoppeling"/>
            <w:lang w:val="en-US"/>
          </w:rPr>
          <w:t>https://eur-lex.europa.eu/legal-content/EN/TXT/?uri=CELEX:01998L0083-20151027</w:t>
        </w:r>
      </w:hyperlink>
      <w:r>
        <w:rPr>
          <w:lang w:val="en-US"/>
        </w:rPr>
        <w:t xml:space="preserve"> </w:t>
      </w:r>
    </w:p>
    <w:p>
      <w:pPr>
        <w:pStyle w:val="Normal"/>
        <w:rPr>
          <w:lang w:val="en-US"/>
        </w:rPr>
      </w:pPr>
      <w:r>
        <w:rPr>
          <w:lang w:val="en-US"/>
        </w:rPr>
        <w:t>2</w:t>
        <w:tab/>
        <w:t>Directive 2012/18/EU of the European Parliament and of the Council of 4 July 2012 on the control of major-accident hazards involving dangerous substances, amending and subsequently repealing Council Directive 96/82/EC Text with EEA relevance</w:t>
        <w:tab/>
      </w:r>
      <w:hyperlink r:id="rId4">
        <w:r>
          <w:rPr>
            <w:rStyle w:val="Internetkoppeling"/>
            <w:lang w:val="en-US"/>
          </w:rPr>
          <w:t>https://eur-lex.europa.eu/legal-content/EN/TXT/?qid=1561383758385&amp;uri=CELEX:32012L0018</w:t>
        </w:r>
      </w:hyperlink>
      <w:r>
        <w:rPr>
          <w:lang w:val="en-US"/>
        </w:rPr>
        <w:t xml:space="preserve"> </w:t>
      </w:r>
    </w:p>
    <w:p>
      <w:pPr>
        <w:pStyle w:val="Normal"/>
        <w:rPr>
          <w:lang w:val="en-US"/>
        </w:rPr>
      </w:pPr>
      <w:r>
        <w:rPr>
          <w:lang w:val="en-US"/>
        </w:rPr>
        <w:t>3</w:t>
        <w:tab/>
        <w:t>The Bathing Water Directive (76/160/EEC);</w:t>
        <w:tab/>
      </w:r>
      <w:hyperlink r:id="rId5">
        <w:r>
          <w:rPr>
            <w:rStyle w:val="Internetkoppeling"/>
            <w:lang w:val="en-US"/>
          </w:rPr>
          <w:t>https://eur-lex.europa.eu/legal-content/EN/TXT/?uri=CELEX:01976L0160-20081211</w:t>
        </w:r>
      </w:hyperlink>
      <w:r>
        <w:rPr>
          <w:lang w:val="en-US"/>
        </w:rPr>
        <w:t xml:space="preserve">   </w:t>
      </w:r>
    </w:p>
    <w:p>
      <w:pPr>
        <w:pStyle w:val="Normal"/>
        <w:rPr/>
      </w:pPr>
      <w:r>
        <w:rPr/>
        <w:t>4</w:t>
        <w:tab/>
        <w:t>Richtlijn 2011/92/EU van het Europees Parlement en de Raad van 13 december 2011 betreffende de milieueffectbeoordeling van bepaalde openbare en particuliere projecten Voor de EER relevante tekst</w:t>
        <w:tab/>
      </w:r>
      <w:hyperlink r:id="rId6">
        <w:r>
          <w:rPr>
            <w:rStyle w:val="Internetkoppeling"/>
          </w:rPr>
          <w:t>https://eur-lex.europa.eu/legal-content/nl/TXT/?uri=CELEX:32011L0092</w:t>
        </w:r>
      </w:hyperlink>
      <w:r>
        <w:rPr/>
        <w:t xml:space="preserve"> </w:t>
      </w:r>
    </w:p>
    <w:p>
      <w:pPr>
        <w:pStyle w:val="Normal"/>
        <w:rPr>
          <w:lang w:val="en-US"/>
        </w:rPr>
      </w:pPr>
      <w:r>
        <w:rPr>
          <w:lang w:val="en-US"/>
        </w:rPr>
        <w:t>5</w:t>
        <w:tab/>
        <w:t>Council Directive of 15 July 1991 concerning the placing of plant protection products on the market (91/414/EEC)</w:t>
        <w:tab/>
      </w:r>
      <w:hyperlink r:id="rId7">
        <w:r>
          <w:rPr>
            <w:rStyle w:val="Internetkoppeling"/>
            <w:lang w:val="en-US"/>
          </w:rPr>
          <w:t>https://eur-lex.europa.eu/legal-content/EN/TXT/?uri=CELEX:01991L0414-20110601</w:t>
        </w:r>
      </w:hyperlink>
      <w:r>
        <w:rPr>
          <w:lang w:val="en-US"/>
        </w:rPr>
        <w:t xml:space="preserve"> </w:t>
      </w:r>
    </w:p>
    <w:p>
      <w:pPr>
        <w:pStyle w:val="Normal"/>
        <w:rPr/>
      </w:pPr>
      <w:r>
        <w:rPr/>
        <w:t>6</w:t>
        <w:tab/>
        <w:t>Richtlijn 91/271/EEG van de Raad van 21 mei 1991 inzake de behandeling van stedelijk afvalwater</w:t>
        <w:tab/>
      </w:r>
      <w:hyperlink r:id="rId8">
        <w:r>
          <w:rPr>
            <w:rStyle w:val="Internetkoppeling"/>
          </w:rPr>
          <w:t>https://eur-lex.europa.eu/legal-content/NL/TXT/?uri=CELEX:31991L0271</w:t>
        </w:r>
      </w:hyperlink>
      <w:r>
        <w:rPr/>
        <w:t xml:space="preserve"> </w:t>
      </w:r>
    </w:p>
    <w:p>
      <w:pPr>
        <w:pStyle w:val="Normal"/>
        <w:rPr>
          <w:lang w:val="en-US"/>
        </w:rPr>
      </w:pPr>
      <w:r>
        <w:rPr>
          <w:lang w:val="en-US"/>
        </w:rPr>
        <w:t>7</w:t>
        <w:tab/>
        <w:t>Council Directive of 12 June 1986 on the protection of the environment, and in particular of the soil, when sewage sludge is used in agriculture (86/278/EEC)</w:t>
        <w:tab/>
      </w:r>
      <w:hyperlink r:id="rId9">
        <w:r>
          <w:rPr>
            <w:rStyle w:val="Internetkoppeling"/>
            <w:lang w:val="en-US"/>
          </w:rPr>
          <w:t>https://eur-lex.europa.eu/legal-content/EN/TXT/?uri=CELEX:01986L0278-20180704</w:t>
        </w:r>
      </w:hyperlink>
      <w:r>
        <w:rPr>
          <w:lang w:val="en-US"/>
        </w:rPr>
        <w:t xml:space="preserve"> </w:t>
      </w:r>
    </w:p>
    <w:p>
      <w:pPr>
        <w:pStyle w:val="Normal"/>
        <w:rPr>
          <w:lang w:val="en-US"/>
        </w:rPr>
      </w:pPr>
      <w:r>
        <w:rPr>
          <w:lang w:val="en-US"/>
        </w:rPr>
        <w:t>8</w:t>
        <w:tab/>
        <w:t xml:space="preserve">Directive 2009/147/EC of the European Parliament and of the Council of 30 November 2009 on the conservation of wild birds (codified version) </w:t>
        <w:tab/>
      </w:r>
      <w:hyperlink r:id="rId10">
        <w:r>
          <w:rPr>
            <w:rStyle w:val="Internetkoppeling"/>
            <w:lang w:val="en-US"/>
          </w:rPr>
          <w:t>https://eur-lex.europa.eu/legal-content/EN/TXT/?uri=CELEX:02009L0147-20130701</w:t>
        </w:r>
      </w:hyperlink>
      <w:r>
        <w:rPr>
          <w:lang w:val="en-US"/>
        </w:rPr>
        <w:t xml:space="preserve"> </w:t>
      </w:r>
    </w:p>
    <w:p>
      <w:pPr>
        <w:pStyle w:val="Normal"/>
        <w:rPr>
          <w:lang w:val="en-US"/>
        </w:rPr>
      </w:pPr>
      <w:r>
        <w:rPr>
          <w:lang w:val="en-US"/>
        </w:rPr>
        <w:t>9</w:t>
        <w:tab/>
        <w:t>Council Directive of 12 December 1991 concerning the protection of waters against pollution caused by nitrates from agricultural sources (91/676/EEC)</w:t>
        <w:tab/>
      </w:r>
      <w:hyperlink r:id="rId11">
        <w:r>
          <w:rPr>
            <w:rStyle w:val="Internetkoppeling"/>
            <w:lang w:val="en-US"/>
          </w:rPr>
          <w:t>https://eur-lex.europa.eu/legal-content/EN/TXT/?uri=CELEX:01991L0676-20081211</w:t>
        </w:r>
      </w:hyperlink>
      <w:r>
        <w:rPr>
          <w:lang w:val="en-US"/>
        </w:rPr>
        <w:t xml:space="preserve"> </w:t>
      </w:r>
    </w:p>
    <w:p>
      <w:pPr>
        <w:pStyle w:val="Normal"/>
        <w:rPr>
          <w:lang w:val="en-US"/>
        </w:rPr>
      </w:pPr>
      <w:r>
        <w:rPr>
          <w:lang w:val="en-US"/>
        </w:rPr>
        <w:t>10</w:t>
        <w:tab/>
        <w:t xml:space="preserve">Council Directive 92/43/EEC of 21 May 1992 on the conservation of natural habitats and of wild fauna and flora </w:t>
        <w:tab/>
      </w:r>
      <w:hyperlink r:id="rId12">
        <w:r>
          <w:rPr>
            <w:rStyle w:val="Internetkoppeling"/>
            <w:lang w:val="en-US"/>
          </w:rPr>
          <w:t>https://eur-lex.europa.eu/legal-content/EN/TXT/?uri=CELEX:01992L0043-20130701</w:t>
        </w:r>
      </w:hyperlink>
      <w:r>
        <w:rPr>
          <w:lang w:val="en-US"/>
        </w:rPr>
        <w:t xml:space="preserve"> </w:t>
      </w:r>
    </w:p>
    <w:p>
      <w:pPr>
        <w:pStyle w:val="Normal"/>
        <w:rPr>
          <w:lang w:val="en-US"/>
        </w:rPr>
      </w:pPr>
      <w:r>
        <w:rPr>
          <w:lang w:val="en-US"/>
        </w:rPr>
        <w:t>11</w:t>
        <w:tab/>
        <w:t>Directive 2010/75/EU of the European Parliament and of the Council of 24 November 2010 on industrial emissions (integrated pollution prevention and control) (Recast) (Text with EEA relevance)</w:t>
        <w:tab/>
      </w:r>
      <w:hyperlink r:id="rId13">
        <w:r>
          <w:rPr>
            <w:rStyle w:val="Internetkoppeling"/>
            <w:lang w:val="en-US"/>
          </w:rPr>
          <w:t>https://eur-lex.europa.eu/legal-content/EN/TXT/?uri=CELEX:02010L0075-20110106</w:t>
        </w:r>
      </w:hyperlink>
      <w:r>
        <w:rPr>
          <w:lang w:val="en-US"/>
        </w:rPr>
        <w:t xml:space="preserve"> </w:t>
      </w:r>
    </w:p>
    <w:p>
      <w:pPr>
        <w:pStyle w:val="Normal"/>
        <w:rPr>
          <w:lang w:val="en-US"/>
        </w:rPr>
      </w:pPr>
      <w:r>
        <w:rPr>
          <w:lang w:val="en-US"/>
        </w:rPr>
        <w:t>12</w:t>
        <w:tab/>
        <w:t>Directive 2000/60/EC of the European Parliament and of the Council of 23 October 2000 establishing a framework for Community action in the field of water policy</w:t>
        <w:tab/>
      </w:r>
      <w:hyperlink r:id="rId14">
        <w:r>
          <w:rPr>
            <w:rStyle w:val="Internetkoppeling"/>
            <w:lang w:val="en-US"/>
          </w:rPr>
          <w:t>https://eur-lex.europa.eu/legal-content/EN/TXT/?uri=CELEX:02000L0060-20141120</w:t>
        </w:r>
      </w:hyperlink>
      <w:r>
        <w:rPr>
          <w:lang w:val="en-US"/>
        </w:rPr>
        <w:t xml:space="preserve"> </w:t>
      </w:r>
    </w:p>
    <w:p>
      <w:pPr>
        <w:pStyle w:val="Normal"/>
        <w:rPr>
          <w:lang w:val="en-US"/>
        </w:rPr>
      </w:pPr>
      <w:r>
        <w:rPr>
          <w:lang w:val="en-US"/>
        </w:rPr>
      </w:r>
    </w:p>
    <w:p>
      <w:pPr>
        <w:pStyle w:val="Normal"/>
        <w:rPr>
          <w:rFonts w:ascii="Calibri" w:hAnsi="Calibri" w:cs="Calibri"/>
          <w:color w:val="000000"/>
          <w:lang w:eastAsia="nl-NL"/>
        </w:rPr>
      </w:pPr>
      <w:r>
        <w:rPr/>
        <w:t>Daarnaast is gebruik gemaakt van de ‘maatregelen owl_gwl’ waar per waterschap een overzicht wordt geboden van genomen maatregelen. Ook kan er gezocht worden in dit bestand op maatregel categorie (‘</w:t>
      </w:r>
      <w:r>
        <w:rPr>
          <w:color w:val="000000"/>
          <w:lang w:eastAsia="nl-NL"/>
        </w:rPr>
        <w:t>Beheermaatregelen’, ‘immissiemaatregel’, ’bronmaatregel’, ’inrichtingsmaatregel’, ‘instrumentele maatregel’, ‘RO maatregel’ )</w:t>
      </w:r>
      <w:r>
        <w:rPr>
          <w:rFonts w:cs="Calibri" w:ascii="Calibri" w:hAnsi="Calibri"/>
          <w:color w:val="000000"/>
          <w:lang w:eastAsia="nl-NL"/>
        </w:rPr>
        <w:t xml:space="preserve"> </w:t>
      </w:r>
    </w:p>
    <w:p>
      <w:pPr>
        <w:pStyle w:val="Normal"/>
        <w:rPr>
          <w:rFonts w:ascii="Calibri" w:hAnsi="Calibri" w:cs="Calibri"/>
          <w:color w:val="000000"/>
          <w:lang w:eastAsia="nl-NL"/>
        </w:rPr>
      </w:pPr>
      <w:hyperlink r:id="rId15">
        <w:r>
          <w:rPr>
            <w:rStyle w:val="Internetkoppeling"/>
          </w:rPr>
          <w:t>https://www.waterkwaliteitsportaal.nl/WKP.WebApplication/General/DownloadFile?path=CustomReports/December2019Publiek/Bestanden/1.maatregelen_owl_gwl_20190923.csv</w:t>
        </w:r>
      </w:hyperlink>
      <w:r>
        <w:rPr/>
        <w:t xml:space="preserve">  </w:t>
      </w:r>
    </w:p>
    <w:p>
      <w:pPr>
        <w:pStyle w:val="Normal"/>
        <w:rPr/>
      </w:pPr>
      <w:r>
        <w:rPr/>
      </w:r>
    </w:p>
    <w:p>
      <w:pPr>
        <w:pStyle w:val="Normal"/>
        <w:rPr/>
      </w:pPr>
      <w:r>
        <w:rPr/>
        <w:t xml:space="preserve">Een bron die NIET is gebruikt, maar voor betrokkenen wel interessant is en mogelijk in een vervolgproject kan worden opgenomen, is te vinden op </w:t>
      </w:r>
      <w:hyperlink r:id="rId16">
        <w:r>
          <w:rPr>
            <w:rStyle w:val="Internetkoppeling"/>
          </w:rPr>
          <w:t>http://nwrm.eu/measure/natural-bank-stabilisation</w:t>
        </w:r>
      </w:hyperlink>
      <w:r>
        <w:rPr/>
        <w:t xml:space="preserve"> </w:t>
      </w:r>
    </w:p>
    <w:p>
      <w:pPr>
        <w:pStyle w:val="Normal"/>
        <w:rPr/>
      </w:pPr>
      <w:r>
        <w:rPr/>
      </w:r>
    </w:p>
    <w:sectPr>
      <w:headerReference w:type="default" r:id="rId17"/>
      <w:footerReference w:type="default" r:id="rId18"/>
      <w:type w:val="nextPage"/>
      <w:pgSz w:w="11906" w:h="16838"/>
      <w:pgMar w:left="1797" w:right="1797" w:header="709" w:top="1440" w:footer="709"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Carlito">
    <w:altName w:val="Calibri"/>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8"/>
      </w:rPr>
    </w:pPr>
    <w:r>
      <w:rPr>
        <w:sz w:val="18"/>
      </w:rPr>
    </w:r>
  </w:p>
  <w:p>
    <w:pPr>
      <w:pStyle w:val="Footer"/>
      <w:jc w:val="center"/>
      <w:rPr>
        <w:sz w:val="18"/>
      </w:rPr>
    </w:pPr>
    <w:r>
      <w:rPr>
        <w:sz w:val="18"/>
      </w:rPr>
    </w:r>
  </w:p>
  <w:p>
    <w:pPr>
      <w:pStyle w:val="Footer"/>
      <w:jc w:val="center"/>
      <w:rPr>
        <w:sz w:val="18"/>
      </w:rPr>
    </w:pPr>
    <w:r>
      <w:rPr>
        <w:sz w:val="18"/>
      </w:rPr>
      <w:t xml:space="preserve">Pagina </w:t>
    </w:r>
    <w:r>
      <w:rPr>
        <w:sz w:val="18"/>
      </w:rPr>
      <w:fldChar w:fldCharType="begin"/>
    </w:r>
    <w:r>
      <w:rPr>
        <w:sz w:val="18"/>
      </w:rPr>
      <w:instrText> PAGE </w:instrText>
    </w:r>
    <w:r>
      <w:rPr>
        <w:sz w:val="18"/>
      </w:rPr>
      <w:fldChar w:fldCharType="separate"/>
    </w:r>
    <w:r>
      <w:rPr>
        <w:sz w:val="18"/>
      </w:rPr>
      <w:t>3</w:t>
    </w:r>
    <w:r>
      <w:rPr>
        <w:sz w:val="18"/>
      </w:rPr>
      <w:fldChar w:fldCharType="end"/>
    </w:r>
    <w:r>
      <w:rPr>
        <w:sz w:val="18"/>
      </w:rPr>
      <w:t xml:space="preserve"> van </w:t>
    </w:r>
    <w:r>
      <w:rPr>
        <w:sz w:val="18"/>
      </w:rPr>
      <w:fldChar w:fldCharType="begin"/>
    </w:r>
    <w:r>
      <w:rPr>
        <w:sz w:val="18"/>
      </w:rPr>
      <w:instrText> NUMPAGES </w:instrText>
    </w:r>
    <w:r>
      <w:rPr>
        <w:sz w:val="18"/>
      </w:rPr>
      <w:fldChar w:fldCharType="separate"/>
    </w:r>
    <w:r>
      <w:rPr>
        <w:sz w:val="18"/>
      </w:rPr>
      <w:t>3</w:t>
    </w:r>
    <w:r>
      <w:rPr>
        <w:sz w:val="18"/>
      </w:rPr>
      <w:fldChar w:fldCharType="end"/>
    </w:r>
    <w:r>
      <w:rPr>
        <w:sz w:val="18"/>
      </w:rPr>
      <w:tab/>
      <w:tab/>
    </w:r>
    <w:r>
      <w:rPr>
        <w:b/>
        <w:i/>
        <w:color w:val="009FE3"/>
        <w:sz w:val="18"/>
      </w:rPr>
      <w:t>Sleutel factor Toxiciteit (versie 2)</w:t>
    </w:r>
    <w:r>
      <w:rPr/>
      <w:drawing>
        <wp:inline distT="0" distB="0" distL="0" distR="0">
          <wp:extent cx="721995" cy="516890"/>
          <wp:effectExtent l="0" t="0" r="0" b="0"/>
          <wp:docPr id="4"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1" descr=""/>
                  <pic:cNvPicPr>
                    <a:picLocks noChangeAspect="1" noChangeArrowheads="1"/>
                  </pic:cNvPicPr>
                </pic:nvPicPr>
                <pic:blipFill>
                  <a:blip r:embed="rId1"/>
                  <a:stretch>
                    <a:fillRect/>
                  </a:stretch>
                </pic:blipFill>
                <pic:spPr bwMode="auto">
                  <a:xfrm>
                    <a:off x="0" y="0"/>
                    <a:ext cx="721995" cy="516890"/>
                  </a:xfrm>
                  <a:prstGeom prst="rect">
                    <a:avLst/>
                  </a:prstGeom>
                </pic:spPr>
              </pic:pic>
            </a:graphicData>
          </a:graphic>
        </wp:inline>
      </w:drawing>
    </w:r>
  </w:p>
  <w:p>
    <w:pPr>
      <w:pStyle w:val="Footer"/>
      <w:jc w:val="center"/>
      <w:rPr>
        <w:sz w:val="18"/>
      </w:rPr>
    </w:pPr>
    <w:r>
      <w:rPr>
        <w:sz w:val="18"/>
      </w:rPr>
    </w:r>
  </w:p>
  <w:p>
    <w:pPr>
      <w:pStyle w:val="Footer"/>
      <w:jc w:val="center"/>
      <w:rPr>
        <w:sz w:val="18"/>
      </w:rPr>
    </w:pPr>
    <w:r>
      <w:rPr>
        <w:sz w:val="18"/>
      </w:rPr>
    </w:r>
  </w:p>
  <w:p>
    <w:pPr>
      <w:pStyle w:val="Footer"/>
      <w:jc w:val="center"/>
      <w:rPr>
        <w:sz w:val="18"/>
      </w:rPr>
    </w:pPr>
    <w:r>
      <w:rPr>
        <w:sz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mc:AlternateContent>
        <mc:Choice Requires="wps">
          <w:drawing>
            <wp:anchor behindDoc="1" distT="0" distB="0" distL="0" distR="0" simplePos="0" locked="0" layoutInCell="1" allowOverlap="1" relativeHeight="11" wp14:anchorId="0E0045A3">
              <wp:simplePos x="0" y="0"/>
              <wp:positionH relativeFrom="column">
                <wp:posOffset>-421005</wp:posOffset>
              </wp:positionH>
              <wp:positionV relativeFrom="paragraph">
                <wp:posOffset>659130</wp:posOffset>
              </wp:positionV>
              <wp:extent cx="6848475" cy="17780"/>
              <wp:effectExtent l="8890" t="8255" r="12065" b="13970"/>
              <wp:wrapNone/>
              <wp:docPr id="2" name="AutoShape 1"/>
              <a:graphic xmlns:a="http://schemas.openxmlformats.org/drawingml/2006/main">
                <a:graphicData uri="http://schemas.microsoft.com/office/word/2010/wordprocessingShape">
                  <wps:wsp>
                    <wps:cNvSpPr/>
                    <wps:spPr>
                      <a:xfrm flipV="1">
                        <a:off x="0" y="0"/>
                        <a:ext cx="6847920" cy="17280"/>
                      </a:xfrm>
                      <a:custGeom>
                        <a:avLst/>
                        <a:gdLst/>
                        <a:ahLst/>
                        <a:rect l="l" t="t" r="r" b="b"/>
                        <a:pathLst>
                          <a:path w="21600" h="21600">
                            <a:moveTo>
                              <a:pt x="0" y="0"/>
                            </a:moveTo>
                            <a:lnTo>
                              <a:pt x="21600" y="21600"/>
                            </a:lnTo>
                          </a:path>
                        </a:pathLst>
                      </a:custGeom>
                      <a:noFill/>
                      <a:ln w="15840">
                        <a:solidFill>
                          <a:srgbClr val="2c2276"/>
                        </a:solidFill>
                        <a:round/>
                      </a:ln>
                    </wps:spPr>
                    <wps:style>
                      <a:lnRef idx="0"/>
                      <a:fillRef idx="0"/>
                      <a:effectRef idx="0"/>
                      <a:fontRef idx="minor"/>
                    </wps:style>
                    <wps:bodyPr/>
                  </wps:wsp>
                </a:graphicData>
              </a:graphic>
            </wp:anchor>
          </w:drawing>
        </mc:Choice>
        <mc:Fallback>
          <w:pict/>
        </mc:Fallback>
      </mc:AlternateContent>
      <w:drawing>
        <wp:inline distT="0" distB="0" distL="0" distR="0">
          <wp:extent cx="2411730" cy="775335"/>
          <wp:effectExtent l="0" t="0" r="0" b="0"/>
          <wp:docPr id="3" name="Picture 17" descr="KIW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 descr="KIWK-logo"/>
                  <pic:cNvPicPr>
                    <a:picLocks noChangeAspect="1" noChangeArrowheads="1"/>
                  </pic:cNvPicPr>
                </pic:nvPicPr>
                <pic:blipFill>
                  <a:blip r:embed="rId1"/>
                  <a:stretch>
                    <a:fillRect/>
                  </a:stretch>
                </pic:blipFill>
                <pic:spPr bwMode="auto">
                  <a:xfrm>
                    <a:off x="0" y="0"/>
                    <a:ext cx="2411730" cy="77533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lvl>
    <w:lvl w:ilvl="1">
      <w:start w:val="1"/>
      <w:pStyle w:val="Heading2"/>
      <w:numFmt w:val="decimal"/>
      <w:lvlText w:val="%1.%2"/>
      <w:lvlJc w:val="left"/>
      <w:pPr>
        <w:tabs>
          <w:tab w:val="num" w:pos="0"/>
        </w:tabs>
        <w:ind w:left="576" w:hanging="576"/>
      </w:pPr>
    </w:lvl>
    <w:lvl w:ilvl="2">
      <w:start w:val="1"/>
      <w:pStyle w:val="Heading3"/>
      <w:numFmt w:val="decimal"/>
      <w:lvlText w:val="%1.%2.%3"/>
      <w:lvlJc w:val="left"/>
      <w:pPr>
        <w:tabs>
          <w:tab w:val="num" w:pos="0"/>
        </w:tabs>
        <w:ind w:left="720" w:hanging="720"/>
      </w:pPr>
    </w:lvl>
    <w:lvl w:ilvl="3">
      <w:start w:val="1"/>
      <w:pStyle w:val="Heading4"/>
      <w:numFmt w:val="decimal"/>
      <w:lvlText w:val="%1.%2.%3.%4"/>
      <w:lvlJc w:val="left"/>
      <w:pPr>
        <w:tabs>
          <w:tab w:val="num" w:pos="0"/>
        </w:tabs>
        <w:ind w:left="864" w:hanging="864"/>
      </w:pPr>
    </w:lvl>
    <w:lvl w:ilvl="4">
      <w:start w:val="1"/>
      <w:pStyle w:val="Heading5"/>
      <w:numFmt w:val="decimal"/>
      <w:lvlText w:val="%1.%2.%3.%4.%5"/>
      <w:lvlJc w:val="left"/>
      <w:pPr>
        <w:tabs>
          <w:tab w:val="num" w:pos="0"/>
        </w:tabs>
        <w:ind w:left="1008" w:hanging="1008"/>
      </w:pPr>
    </w:lvl>
    <w:lvl w:ilvl="5">
      <w:start w:val="1"/>
      <w:pStyle w:val="Heading6"/>
      <w:numFmt w:val="decimal"/>
      <w:lvlText w:val="%1.%2.%3.%4.%5.%6"/>
      <w:lvlJc w:val="left"/>
      <w:pPr>
        <w:tabs>
          <w:tab w:val="num" w:pos="0"/>
        </w:tabs>
        <w:ind w:left="1152" w:hanging="1152"/>
      </w:pPr>
    </w:lvl>
    <w:lvl w:ilvl="6">
      <w:start w:val="1"/>
      <w:pStyle w:val="Heading7"/>
      <w:numFmt w:val="decimal"/>
      <w:lvlText w:val="%1.%2.%3.%4.%5.%6.%7"/>
      <w:lvlJc w:val="left"/>
      <w:pPr>
        <w:tabs>
          <w:tab w:val="num" w:pos="0"/>
        </w:tabs>
        <w:ind w:left="1296" w:hanging="1296"/>
      </w:pPr>
    </w:lvl>
    <w:lvl w:ilvl="7">
      <w:start w:val="1"/>
      <w:pStyle w:val="Heading8"/>
      <w:numFmt w:val="decimal"/>
      <w:lvlText w:val="%1.%2.%3.%4.%5.%6.%7.%8"/>
      <w:lvlJc w:val="left"/>
      <w:pPr>
        <w:tabs>
          <w:tab w:val="num" w:pos="0"/>
        </w:tabs>
        <w:ind w:left="1440" w:hanging="1440"/>
      </w:pPr>
    </w:lvl>
    <w:lvl w:ilvl="8">
      <w:start w:val="1"/>
      <w:pStyle w:val="Heading9"/>
      <w:numFmt w:val="decimal"/>
      <w:lvlText w:val="%1.%2.%3.%4.%5.%6.%7.%8.%9"/>
      <w:lvlJc w:val="left"/>
      <w:pPr>
        <w:tabs>
          <w:tab w:val="num" w:pos="0"/>
        </w:tabs>
        <w:ind w:left="1584" w:hanging="1584"/>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51c31"/>
    <w:pPr>
      <w:widowControl/>
      <w:suppressAutoHyphens w:val="true"/>
      <w:bidi w:val="0"/>
      <w:spacing w:before="0" w:after="0"/>
      <w:jc w:val="both"/>
    </w:pPr>
    <w:rPr>
      <w:rFonts w:ascii="Times New Roman" w:hAnsi="Times New Roman" w:eastAsia="Times New Roman" w:cs="Times New Roman"/>
      <w:color w:val="auto"/>
      <w:kern w:val="0"/>
      <w:sz w:val="22"/>
      <w:szCs w:val="22"/>
      <w:lang w:val="nl-NL" w:eastAsia="en-US" w:bidi="ar-SA"/>
    </w:rPr>
  </w:style>
  <w:style w:type="paragraph" w:styleId="Heading1">
    <w:name w:val="Heading 1"/>
    <w:basedOn w:val="Normal"/>
    <w:next w:val="Normal"/>
    <w:link w:val="Heading1Char"/>
    <w:uiPriority w:val="9"/>
    <w:qFormat/>
    <w:rsid w:val="00a321ee"/>
    <w:pPr>
      <w:keepNext w:val="true"/>
      <w:pageBreakBefore/>
      <w:numPr>
        <w:ilvl w:val="0"/>
        <w:numId w:val="1"/>
      </w:numPr>
      <w:spacing w:before="240" w:after="60"/>
      <w:ind w:left="431" w:hanging="431"/>
      <w:outlineLvl w:val="0"/>
    </w:pPr>
    <w:rPr>
      <w:rFonts w:cs="Arial"/>
      <w:b/>
      <w:bCs/>
      <w:color w:val="2C2276"/>
      <w:kern w:val="2"/>
      <w:sz w:val="32"/>
      <w:szCs w:val="32"/>
    </w:rPr>
  </w:style>
  <w:style w:type="paragraph" w:styleId="Heading2">
    <w:name w:val="Heading 2"/>
    <w:basedOn w:val="Normal"/>
    <w:next w:val="Normal"/>
    <w:qFormat/>
    <w:rsid w:val="00a321ee"/>
    <w:pPr>
      <w:keepNext w:val="true"/>
      <w:numPr>
        <w:ilvl w:val="1"/>
        <w:numId w:val="1"/>
      </w:numPr>
      <w:spacing w:before="240" w:after="60"/>
      <w:outlineLvl w:val="1"/>
    </w:pPr>
    <w:rPr>
      <w:rFonts w:cs="Arial"/>
      <w:b/>
      <w:bCs/>
      <w:i/>
      <w:iCs/>
      <w:color w:val="009FE3"/>
      <w:sz w:val="28"/>
      <w:szCs w:val="28"/>
    </w:rPr>
  </w:style>
  <w:style w:type="paragraph" w:styleId="Heading3">
    <w:name w:val="Heading 3"/>
    <w:basedOn w:val="Normal"/>
    <w:next w:val="Normal"/>
    <w:qFormat/>
    <w:rsid w:val="0042419a"/>
    <w:pPr>
      <w:keepNext w:val="true"/>
      <w:numPr>
        <w:ilvl w:val="2"/>
        <w:numId w:val="1"/>
      </w:numPr>
      <w:spacing w:before="240" w:after="60"/>
      <w:outlineLvl w:val="2"/>
    </w:pPr>
    <w:rPr>
      <w:rFonts w:cs="Arial"/>
      <w:bCs/>
      <w:i/>
      <w:color w:val="009FE3"/>
      <w:sz w:val="26"/>
      <w:szCs w:val="26"/>
    </w:rPr>
  </w:style>
  <w:style w:type="paragraph" w:styleId="Heading4">
    <w:name w:val="Heading 4"/>
    <w:basedOn w:val="Normal"/>
    <w:next w:val="Normal"/>
    <w:qFormat/>
    <w:rsid w:val="00005b94"/>
    <w:pPr>
      <w:keepNext w:val="true"/>
      <w:numPr>
        <w:ilvl w:val="3"/>
        <w:numId w:val="1"/>
      </w:numPr>
      <w:spacing w:before="240" w:after="60"/>
      <w:outlineLvl w:val="3"/>
    </w:pPr>
    <w:rPr>
      <w:b/>
      <w:bCs/>
      <w:sz w:val="28"/>
      <w:szCs w:val="28"/>
    </w:rPr>
  </w:style>
  <w:style w:type="paragraph" w:styleId="Heading5">
    <w:name w:val="Heading 5"/>
    <w:basedOn w:val="Normal"/>
    <w:next w:val="Normal"/>
    <w:qFormat/>
    <w:rsid w:val="00005b94"/>
    <w:pPr>
      <w:numPr>
        <w:ilvl w:val="4"/>
        <w:numId w:val="1"/>
      </w:numPr>
      <w:spacing w:before="240" w:after="60"/>
      <w:outlineLvl w:val="4"/>
    </w:pPr>
    <w:rPr>
      <w:b/>
      <w:bCs/>
      <w:i/>
      <w:iCs/>
      <w:sz w:val="26"/>
      <w:szCs w:val="26"/>
    </w:rPr>
  </w:style>
  <w:style w:type="paragraph" w:styleId="Heading6">
    <w:name w:val="Heading 6"/>
    <w:basedOn w:val="Normal"/>
    <w:next w:val="Normal"/>
    <w:qFormat/>
    <w:rsid w:val="00005b94"/>
    <w:pPr>
      <w:numPr>
        <w:ilvl w:val="5"/>
        <w:numId w:val="1"/>
      </w:numPr>
      <w:spacing w:before="240" w:after="60"/>
      <w:outlineLvl w:val="5"/>
    </w:pPr>
    <w:rPr>
      <w:b/>
      <w:bCs/>
    </w:rPr>
  </w:style>
  <w:style w:type="paragraph" w:styleId="Heading7">
    <w:name w:val="Heading 7"/>
    <w:basedOn w:val="Normal"/>
    <w:next w:val="Normal"/>
    <w:qFormat/>
    <w:rsid w:val="00005b94"/>
    <w:pPr>
      <w:numPr>
        <w:ilvl w:val="6"/>
        <w:numId w:val="1"/>
      </w:numPr>
      <w:spacing w:before="240" w:after="60"/>
      <w:outlineLvl w:val="6"/>
    </w:pPr>
    <w:rPr>
      <w:sz w:val="24"/>
      <w:szCs w:val="24"/>
    </w:rPr>
  </w:style>
  <w:style w:type="paragraph" w:styleId="Heading8">
    <w:name w:val="Heading 8"/>
    <w:basedOn w:val="Normal"/>
    <w:next w:val="Normal"/>
    <w:qFormat/>
    <w:rsid w:val="00005b94"/>
    <w:pPr>
      <w:numPr>
        <w:ilvl w:val="7"/>
        <w:numId w:val="1"/>
      </w:numPr>
      <w:spacing w:before="240" w:after="60"/>
      <w:outlineLvl w:val="7"/>
    </w:pPr>
    <w:rPr>
      <w:i/>
      <w:iCs/>
      <w:sz w:val="24"/>
      <w:szCs w:val="24"/>
    </w:rPr>
  </w:style>
  <w:style w:type="paragraph" w:styleId="Heading9">
    <w:name w:val="Heading 9"/>
    <w:basedOn w:val="Normal"/>
    <w:next w:val="Normal"/>
    <w:qFormat/>
    <w:rsid w:val="00005b94"/>
    <w:pPr>
      <w:numPr>
        <w:ilvl w:val="8"/>
        <w:numId w:val="1"/>
      </w:numPr>
      <w:spacing w:before="240" w:after="60"/>
      <w:outlineLvl w:val="8"/>
    </w:pPr>
    <w:rPr>
      <w:rFonts w:ascii="Arial" w:hAnsi="Arial" w:cs="Arial"/>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a321ee"/>
    <w:rPr>
      <w:rFonts w:cs="Arial"/>
      <w:b/>
      <w:bCs/>
      <w:color w:val="2C2276"/>
      <w:kern w:val="2"/>
      <w:sz w:val="32"/>
      <w:szCs w:val="32"/>
      <w:lang w:eastAsia="en-US"/>
    </w:rPr>
  </w:style>
  <w:style w:type="character" w:styleId="Internetkoppeling" w:customStyle="1">
    <w:name w:val="Internetkoppeling"/>
    <w:uiPriority w:val="99"/>
    <w:unhideWhenUsed/>
    <w:qFormat/>
    <w:rsid w:val="004e285f"/>
    <w:rPr>
      <w:color w:val="0563C1"/>
      <w:u w:val="single"/>
    </w:rPr>
  </w:style>
  <w:style w:type="character" w:styleId="Annotationreference">
    <w:name w:val="annotation reference"/>
    <w:uiPriority w:val="99"/>
    <w:semiHidden/>
    <w:unhideWhenUsed/>
    <w:qFormat/>
    <w:rsid w:val="000b5dd0"/>
    <w:rPr>
      <w:sz w:val="16"/>
      <w:szCs w:val="16"/>
    </w:rPr>
  </w:style>
  <w:style w:type="character" w:styleId="CommentTextChar" w:customStyle="1">
    <w:name w:val="Comment Text Char"/>
    <w:basedOn w:val="DefaultParagraphFont"/>
    <w:link w:val="CommentText"/>
    <w:uiPriority w:val="99"/>
    <w:semiHidden/>
    <w:qFormat/>
    <w:rsid w:val="000b5dd0"/>
    <w:rPr/>
  </w:style>
  <w:style w:type="character" w:styleId="CommentSubjectChar" w:customStyle="1">
    <w:name w:val="Comment Subject Char"/>
    <w:link w:val="CommentSubject"/>
    <w:uiPriority w:val="99"/>
    <w:semiHidden/>
    <w:qFormat/>
    <w:rsid w:val="000b5dd0"/>
    <w:rPr>
      <w:b/>
      <w:bCs/>
    </w:rPr>
  </w:style>
  <w:style w:type="character" w:styleId="BalloonTextChar" w:customStyle="1">
    <w:name w:val="Balloon Text Char"/>
    <w:link w:val="BalloonText"/>
    <w:uiPriority w:val="99"/>
    <w:semiHidden/>
    <w:qFormat/>
    <w:rsid w:val="000b5dd0"/>
    <w:rPr>
      <w:rFonts w:ascii="Tahoma" w:hAnsi="Tahoma" w:cs="Tahoma"/>
      <w:sz w:val="16"/>
      <w:szCs w:val="16"/>
    </w:rPr>
  </w:style>
  <w:style w:type="character" w:styleId="EndNoteBibliographyTitleChar" w:customStyle="1">
    <w:name w:val="EndNote Bibliography Title Char"/>
    <w:link w:val="EndNoteBibliographyTitle"/>
    <w:qFormat/>
    <w:rsid w:val="008a23d2"/>
    <w:rPr>
      <w:szCs w:val="22"/>
      <w:lang w:eastAsia="en-US"/>
    </w:rPr>
  </w:style>
  <w:style w:type="character" w:styleId="EndNoteBibliographyChar" w:customStyle="1">
    <w:name w:val="EndNote Bibliography Char"/>
    <w:link w:val="EndNoteBibliography"/>
    <w:qFormat/>
    <w:rsid w:val="001e3a54"/>
    <w:rPr>
      <w:szCs w:val="22"/>
      <w:lang w:val="en-US" w:eastAsia="en-US"/>
    </w:rPr>
  </w:style>
  <w:style w:type="character" w:styleId="TitleChar" w:customStyle="1">
    <w:name w:val="Title Char"/>
    <w:link w:val="Title"/>
    <w:uiPriority w:val="10"/>
    <w:qFormat/>
    <w:rsid w:val="00cc659a"/>
    <w:rPr>
      <w:rFonts w:ascii="Cambria" w:hAnsi="Cambria"/>
      <w:b/>
      <w:bCs/>
      <w:color w:val="2C2276"/>
      <w:kern w:val="2"/>
      <w:sz w:val="28"/>
      <w:szCs w:val="28"/>
      <w:lang w:eastAsia="en-US"/>
    </w:rPr>
  </w:style>
  <w:style w:type="character" w:styleId="HeaderChar" w:customStyle="1">
    <w:name w:val="Header Char"/>
    <w:link w:val="Header"/>
    <w:uiPriority w:val="99"/>
    <w:qFormat/>
    <w:rsid w:val="003c6b21"/>
    <w:rPr>
      <w:sz w:val="22"/>
      <w:szCs w:val="22"/>
      <w:lang w:val="en-US" w:eastAsia="en-US"/>
    </w:rPr>
  </w:style>
  <w:style w:type="character" w:styleId="FooterChar" w:customStyle="1">
    <w:name w:val="Footer Char"/>
    <w:link w:val="Footer"/>
    <w:uiPriority w:val="99"/>
    <w:qFormat/>
    <w:rsid w:val="003c6b21"/>
    <w:rPr>
      <w:sz w:val="22"/>
      <w:szCs w:val="22"/>
      <w:lang w:val="en-US" w:eastAsia="en-US"/>
    </w:rPr>
  </w:style>
  <w:style w:type="character" w:styleId="UnresolvedMention1" w:customStyle="1">
    <w:name w:val="Unresolved Mention1"/>
    <w:uiPriority w:val="99"/>
    <w:qFormat/>
    <w:rsid w:val="004e285f"/>
    <w:rPr>
      <w:color w:val="605E5C"/>
      <w:shd w:fill="E1DFDD" w:val="clear"/>
    </w:rPr>
  </w:style>
  <w:style w:type="character" w:styleId="FootnoteTextChar" w:customStyle="1">
    <w:name w:val="Footnote Text Char"/>
    <w:link w:val="FootnoteText"/>
    <w:uiPriority w:val="99"/>
    <w:qFormat/>
    <w:rsid w:val="004e285f"/>
    <w:rPr>
      <w:rFonts w:ascii="Calibri" w:hAnsi="Calibri" w:eastAsia="Calibri" w:cs="Calibri"/>
    </w:rPr>
  </w:style>
  <w:style w:type="character" w:styleId="FootnoteCharacters">
    <w:name w:val="Footnote Characters"/>
    <w:uiPriority w:val="99"/>
    <w:semiHidden/>
    <w:unhideWhenUsed/>
    <w:qFormat/>
    <w:rsid w:val="00ff3715"/>
    <w:rPr>
      <w:vertAlign w:val="superscript"/>
    </w:rPr>
  </w:style>
  <w:style w:type="character" w:styleId="FootnoteAnchor" w:customStyle="1">
    <w:name w:val="Footnote Anchor"/>
    <w:qFormat/>
    <w:rsid w:val="004e285f"/>
    <w:rPr>
      <w:vertAlign w:val="superscript"/>
    </w:rPr>
  </w:style>
  <w:style w:type="character" w:styleId="EndnoteAnchor" w:customStyle="1">
    <w:name w:val="Endnote Anchor"/>
    <w:qFormat/>
    <w:rsid w:val="004e285f"/>
    <w:rPr>
      <w:vertAlign w:val="superscript"/>
    </w:rPr>
  </w:style>
  <w:style w:type="character" w:styleId="EndnoteCharacters">
    <w:name w:val="Endnote Characters"/>
    <w:uiPriority w:val="99"/>
    <w:semiHidden/>
    <w:unhideWhenUsed/>
    <w:qFormat/>
    <w:rsid w:val="000b4109"/>
    <w:rPr>
      <w:vertAlign w:val="superscript"/>
    </w:rPr>
  </w:style>
  <w:style w:type="character" w:styleId="BodyTextChar" w:customStyle="1">
    <w:name w:val="Body Text Char"/>
    <w:link w:val="BodyText"/>
    <w:qFormat/>
    <w:rsid w:val="004e285f"/>
    <w:rPr>
      <w:rFonts w:ascii="Calibri" w:hAnsi="Calibri" w:eastAsia="Calibri" w:cs="Calibri"/>
      <w:sz w:val="24"/>
      <w:szCs w:val="24"/>
      <w:lang w:eastAsia="en-US"/>
    </w:rPr>
  </w:style>
  <w:style w:type="character" w:styleId="FootnoteTextChar1" w:customStyle="1">
    <w:name w:val="Footnote Text Char1"/>
    <w:uiPriority w:val="99"/>
    <w:semiHidden/>
    <w:qFormat/>
    <w:rsid w:val="004e285f"/>
    <w:rPr>
      <w:lang w:val="en-US" w:eastAsia="en-US"/>
    </w:rPr>
  </w:style>
  <w:style w:type="character" w:styleId="Voetnootanker">
    <w:name w:val="Voetnootanker"/>
    <w:qFormat/>
    <w:rPr>
      <w:vertAlign w:val="superscript"/>
    </w:rPr>
  </w:style>
  <w:style w:type="character" w:styleId="EndnoteTextChar" w:customStyle="1">
    <w:name w:val="Endnote Text Char"/>
    <w:link w:val="EndnoteText"/>
    <w:uiPriority w:val="99"/>
    <w:semiHidden/>
    <w:qFormat/>
    <w:rsid w:val="000b4109"/>
    <w:rPr>
      <w:lang w:eastAsia="en-US"/>
    </w:rPr>
  </w:style>
  <w:style w:type="character" w:styleId="Eindnootanker">
    <w:name w:val="Eindnootanker"/>
    <w:qFormat/>
    <w:rPr>
      <w:vertAlign w:val="superscript"/>
    </w:rPr>
  </w:style>
  <w:style w:type="character" w:styleId="Bezochteinternetkoppeling">
    <w:name w:val="Bezochte internetkoppeling"/>
    <w:basedOn w:val="DefaultParagraphFont"/>
    <w:uiPriority w:val="99"/>
    <w:semiHidden/>
    <w:unhideWhenUsed/>
    <w:qFormat/>
    <w:rsid w:val="00587214"/>
    <w:rPr>
      <w:color w:val="954F72" w:themeColor="followedHyperlink"/>
      <w:u w:val="singl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Carlito" w:hAnsi="Carlito" w:eastAsia="Noto Sans SC Regular" w:cs="Noto Sans Devanagari"/>
      <w:sz w:val="28"/>
      <w:szCs w:val="28"/>
    </w:rPr>
  </w:style>
  <w:style w:type="paragraph" w:styleId="TextBody">
    <w:name w:val="Body Text"/>
    <w:basedOn w:val="Normal"/>
    <w:link w:val="BodyTextChar"/>
    <w:rsid w:val="004e285f"/>
    <w:pPr>
      <w:spacing w:lineRule="auto" w:line="276" w:before="0" w:after="140"/>
    </w:pPr>
    <w:rPr>
      <w:rFonts w:ascii="Calibri" w:hAnsi="Calibri" w:eastAsia="Calibri" w:cs="Calibri"/>
      <w:sz w:val="24"/>
      <w:szCs w:val="24"/>
    </w:rPr>
  </w:style>
  <w:style w:type="paragraph" w:styleId="List">
    <w:name w:val="List"/>
    <w:basedOn w:val="TextBody"/>
    <w:rsid w:val="004e285f"/>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rsid w:val="004e285f"/>
    <w:pPr>
      <w:suppressLineNumbers/>
    </w:pPr>
    <w:rPr>
      <w:rFonts w:ascii="Calibri" w:hAnsi="Calibri" w:eastAsia="Calibri" w:cs="Noto Sans Devanagari"/>
      <w:sz w:val="24"/>
      <w:szCs w:val="24"/>
    </w:rPr>
  </w:style>
  <w:style w:type="paragraph" w:styleId="Kop" w:customStyle="1">
    <w:name w:val="Kop"/>
    <w:basedOn w:val="Normal"/>
    <w:next w:val="TextBody"/>
    <w:qFormat/>
    <w:rsid w:val="004e285f"/>
    <w:pPr>
      <w:keepNext w:val="true"/>
      <w:spacing w:before="240" w:after="120"/>
    </w:pPr>
    <w:rPr>
      <w:rFonts w:ascii="Carlito" w:hAnsi="Carlito" w:eastAsia="Noto Sans SC Regular" w:cs="Noto Sans Devanagari"/>
      <w:sz w:val="28"/>
      <w:szCs w:val="28"/>
    </w:rPr>
  </w:style>
  <w:style w:type="paragraph" w:styleId="Contents2">
    <w:name w:val="TOC 2"/>
    <w:basedOn w:val="Normal"/>
    <w:next w:val="Normal"/>
    <w:autoRedefine/>
    <w:uiPriority w:val="39"/>
    <w:rsid w:val="00005b94"/>
    <w:pPr>
      <w:ind w:left="220" w:hanging="0"/>
    </w:pPr>
    <w:rPr/>
  </w:style>
  <w:style w:type="paragraph" w:styleId="Contents1">
    <w:name w:val="TOC 1"/>
    <w:basedOn w:val="Normal"/>
    <w:next w:val="Normal"/>
    <w:autoRedefine/>
    <w:uiPriority w:val="39"/>
    <w:rsid w:val="0001068a"/>
    <w:pPr>
      <w:tabs>
        <w:tab w:val="clear" w:pos="720"/>
        <w:tab w:val="left" w:pos="440" w:leader="none"/>
        <w:tab w:val="right" w:pos="8303" w:leader="dot"/>
      </w:tabs>
    </w:pPr>
    <w:rPr/>
  </w:style>
  <w:style w:type="paragraph" w:styleId="Contents3">
    <w:name w:val="TOC 3"/>
    <w:basedOn w:val="Normal"/>
    <w:next w:val="Normal"/>
    <w:autoRedefine/>
    <w:uiPriority w:val="39"/>
    <w:rsid w:val="00005b94"/>
    <w:pPr>
      <w:ind w:left="440" w:hanging="0"/>
    </w:pPr>
    <w:rPr/>
  </w:style>
  <w:style w:type="paragraph" w:styleId="Annotationtext">
    <w:name w:val="annotation text"/>
    <w:basedOn w:val="Normal"/>
    <w:link w:val="CommentTextChar"/>
    <w:uiPriority w:val="99"/>
    <w:semiHidden/>
    <w:unhideWhenUsed/>
    <w:qFormat/>
    <w:rsid w:val="000b5dd0"/>
    <w:pPr/>
    <w:rPr>
      <w:sz w:val="20"/>
      <w:szCs w:val="20"/>
    </w:rPr>
  </w:style>
  <w:style w:type="paragraph" w:styleId="Annotationsubject">
    <w:name w:val="annotation subject"/>
    <w:basedOn w:val="Annotationtext"/>
    <w:next w:val="Annotationtext"/>
    <w:link w:val="CommentSubjectChar"/>
    <w:uiPriority w:val="99"/>
    <w:semiHidden/>
    <w:unhideWhenUsed/>
    <w:qFormat/>
    <w:rsid w:val="000b5dd0"/>
    <w:pPr/>
    <w:rPr>
      <w:b/>
      <w:bCs/>
    </w:rPr>
  </w:style>
  <w:style w:type="paragraph" w:styleId="BalloonText">
    <w:name w:val="Balloon Text"/>
    <w:basedOn w:val="Normal"/>
    <w:link w:val="BalloonTextChar"/>
    <w:uiPriority w:val="99"/>
    <w:semiHidden/>
    <w:unhideWhenUsed/>
    <w:qFormat/>
    <w:rsid w:val="000b5dd0"/>
    <w:pPr/>
    <w:rPr>
      <w:rFonts w:ascii="Tahoma" w:hAnsi="Tahoma" w:cs="Tahoma"/>
      <w:sz w:val="16"/>
      <w:szCs w:val="16"/>
    </w:rPr>
  </w:style>
  <w:style w:type="paragraph" w:styleId="EndNoteBibliographyTitle" w:customStyle="1">
    <w:name w:val="EndNote Bibliography Title"/>
    <w:basedOn w:val="Normal"/>
    <w:link w:val="EndNoteBibliographyTitleChar"/>
    <w:qFormat/>
    <w:rsid w:val="008a23d2"/>
    <w:pPr>
      <w:jc w:val="center"/>
    </w:pPr>
    <w:rPr>
      <w:sz w:val="20"/>
    </w:rPr>
  </w:style>
  <w:style w:type="paragraph" w:styleId="EndNoteBibliography" w:customStyle="1">
    <w:name w:val="EndNote Bibliography"/>
    <w:basedOn w:val="Normal"/>
    <w:link w:val="EndNoteBibliographyChar"/>
    <w:qFormat/>
    <w:rsid w:val="001e3a54"/>
    <w:pPr>
      <w:ind w:left="567" w:hanging="567"/>
    </w:pPr>
    <w:rPr>
      <w:sz w:val="20"/>
      <w:lang w:val="en-US"/>
    </w:rPr>
  </w:style>
  <w:style w:type="paragraph" w:styleId="Caption1">
    <w:name w:val="caption"/>
    <w:basedOn w:val="Normal"/>
    <w:next w:val="Normal"/>
    <w:uiPriority w:val="35"/>
    <w:unhideWhenUsed/>
    <w:qFormat/>
    <w:rsid w:val="00d01e8c"/>
    <w:pPr/>
    <w:rPr>
      <w:b/>
      <w:bCs/>
      <w:sz w:val="20"/>
      <w:szCs w:val="20"/>
    </w:rPr>
  </w:style>
  <w:style w:type="paragraph" w:styleId="Default" w:customStyle="1">
    <w:name w:val="Default"/>
    <w:qFormat/>
    <w:rsid w:val="00a763a2"/>
    <w:pPr>
      <w:widowControl/>
      <w:suppressAutoHyphens w:val="true"/>
      <w:bidi w:val="0"/>
      <w:spacing w:before="0" w:after="0"/>
      <w:jc w:val="left"/>
    </w:pPr>
    <w:rPr>
      <w:rFonts w:ascii="Verdana" w:hAnsi="Verdana" w:eastAsia="Times New Roman" w:cs="Verdana"/>
      <w:color w:val="000000"/>
      <w:kern w:val="0"/>
      <w:sz w:val="24"/>
      <w:szCs w:val="24"/>
      <w:lang w:val="en-US" w:eastAsia="en-US" w:bidi="ar-SA"/>
    </w:rPr>
  </w:style>
  <w:style w:type="paragraph" w:styleId="Title">
    <w:name w:val="Title"/>
    <w:basedOn w:val="Normal"/>
    <w:next w:val="Normal"/>
    <w:link w:val="TitleChar"/>
    <w:uiPriority w:val="10"/>
    <w:qFormat/>
    <w:rsid w:val="00cc659a"/>
    <w:pPr>
      <w:spacing w:before="240" w:after="60"/>
      <w:outlineLvl w:val="0"/>
    </w:pPr>
    <w:rPr>
      <w:rFonts w:ascii="Cambria" w:hAnsi="Cambria"/>
      <w:b/>
      <w:bCs/>
      <w:color w:val="2C2276"/>
      <w:kern w:val="2"/>
      <w:sz w:val="28"/>
      <w:szCs w:val="28"/>
    </w:rPr>
  </w:style>
  <w:style w:type="paragraph" w:styleId="Kopenvoettekst">
    <w:name w:val="Kop- en voettekst"/>
    <w:basedOn w:val="Normal"/>
    <w:qFormat/>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c6b21"/>
    <w:pPr>
      <w:tabs>
        <w:tab w:val="clear" w:pos="720"/>
        <w:tab w:val="center" w:pos="4513" w:leader="none"/>
        <w:tab w:val="right" w:pos="9026" w:leader="none"/>
      </w:tabs>
    </w:pPr>
    <w:rPr/>
  </w:style>
  <w:style w:type="paragraph" w:styleId="Footer">
    <w:name w:val="Footer"/>
    <w:basedOn w:val="Normal"/>
    <w:link w:val="FooterChar"/>
    <w:uiPriority w:val="99"/>
    <w:unhideWhenUsed/>
    <w:rsid w:val="003c6b21"/>
    <w:pPr>
      <w:tabs>
        <w:tab w:val="clear" w:pos="720"/>
        <w:tab w:val="center" w:pos="4513" w:leader="none"/>
        <w:tab w:val="right" w:pos="9026" w:leader="none"/>
      </w:tabs>
    </w:pPr>
    <w:rPr/>
  </w:style>
  <w:style w:type="paragraph" w:styleId="Footnote">
    <w:name w:val="Footnote Text"/>
    <w:basedOn w:val="Normal"/>
    <w:link w:val="FootnoteTextChar"/>
    <w:uiPriority w:val="99"/>
    <w:unhideWhenUsed/>
    <w:rsid w:val="004e285f"/>
    <w:pPr/>
    <w:rPr>
      <w:rFonts w:ascii="Calibri" w:hAnsi="Calibri" w:eastAsia="Calibri" w:cs="Calibri"/>
      <w:sz w:val="20"/>
      <w:szCs w:val="20"/>
      <w:lang w:eastAsia="nl-NL"/>
    </w:rPr>
  </w:style>
  <w:style w:type="paragraph" w:styleId="ListParagraph">
    <w:name w:val="List Paragraph"/>
    <w:basedOn w:val="Normal"/>
    <w:uiPriority w:val="34"/>
    <w:qFormat/>
    <w:rsid w:val="004e285f"/>
    <w:pPr>
      <w:spacing w:before="0" w:after="0"/>
      <w:ind w:left="720" w:hanging="0"/>
      <w:contextualSpacing/>
    </w:pPr>
    <w:rPr>
      <w:rFonts w:ascii="Calibri" w:hAnsi="Calibri" w:eastAsia="Calibri" w:cs="Calibri"/>
      <w:sz w:val="24"/>
      <w:szCs w:val="24"/>
    </w:rPr>
  </w:style>
  <w:style w:type="paragraph" w:styleId="Endnote">
    <w:name w:val="Endnote Text"/>
    <w:basedOn w:val="Normal"/>
    <w:link w:val="EndnoteTextChar"/>
    <w:uiPriority w:val="99"/>
    <w:semiHidden/>
    <w:unhideWhenUsed/>
    <w:rsid w:val="000b4109"/>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da03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4e285f"/>
    <w:rPr>
      <w:lang w:eastAsia="en-US"/>
      <w:sz w:val="24"/>
      <w:szCs w:val="24"/>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StylePr w:type="firstRow">
      <w:rPr>
        <w:b/>
        <w:bCs/>
      </w:rPr>
      <w:tblPr/>
    </w:tblStylePr>
    <w:tblStylePr w:type="lastRow">
      <w:rPr>
        <w:b/>
        <w:bCs/>
      </w:rPr>
      <w:tblPr/>
      <w:tcPr>
        <w:tcBorders>
          <w:top w:val="double" w:color="FFFFFF" w:sz="4" w:space="0"/>
        </w:tcBorders>
      </w:tcPr>
    </w:tblStylePr>
    <w:tblStylePr w:type="firstCol">
      <w:rPr>
        <w:b/>
        <w:bCs/>
      </w:rPr>
      <w:tblPr/>
    </w:tblStylePr>
    <w:tblStylePr w:type="lastCol">
      <w:rPr>
        <w:b/>
        <w:bCs/>
      </w:rPr>
      <w:tbl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2c6403"/>
    <w:rPr>
      <w:rFonts w:asciiTheme="minorHAnsi" w:hAnsiTheme="minorHAnsi" w:eastAsiaTheme="minorHAnsi" w:cstheme="minorBidi"/>
      <w:lang w:eastAsia="en-US"/>
      <w:sz w:val="22"/>
      <w:szCs w:val="22"/>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Pr/>
    </w:tblStylePr>
    <w:tblStylePr w:type="lastCol">
      <w:rPr>
        <w:b/>
        <w:bCs/>
      </w:rPr>
      <w:tbl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ur-lex.europa.eu/legal-content/EN/TXT/?uri=CELEX:01998L0083-20151027" TargetMode="External"/><Relationship Id="rId4" Type="http://schemas.openxmlformats.org/officeDocument/2006/relationships/hyperlink" Target="https://eur-lex.europa.eu/legal-content/EN/TXT/?qid=1561383758385&amp;uri=CELEX:32012L0018" TargetMode="External"/><Relationship Id="rId5" Type="http://schemas.openxmlformats.org/officeDocument/2006/relationships/hyperlink" Target="https://eur-lex.europa.eu/legal-content/EN/TXT/?uri=CELEX:01976L0160-20081211" TargetMode="External"/><Relationship Id="rId6" Type="http://schemas.openxmlformats.org/officeDocument/2006/relationships/hyperlink" Target="https://eur-lex.europa.eu/legal-content/nl/TXT/?uri=CELEX:32011L0092" TargetMode="External"/><Relationship Id="rId7" Type="http://schemas.openxmlformats.org/officeDocument/2006/relationships/hyperlink" Target="https://eur-lex.europa.eu/legal-content/EN/TXT/?uri=CELEX:01991L0414-20110601" TargetMode="External"/><Relationship Id="rId8" Type="http://schemas.openxmlformats.org/officeDocument/2006/relationships/hyperlink" Target="https://eur-lex.europa.eu/legal-content/NL/TXT/?uri=CELEX:31991L0271" TargetMode="External"/><Relationship Id="rId9" Type="http://schemas.openxmlformats.org/officeDocument/2006/relationships/hyperlink" Target="https://eur-lex.europa.eu/legal-content/EN/TXT/?uri=CELEX:01986L0278-20180704" TargetMode="External"/><Relationship Id="rId10" Type="http://schemas.openxmlformats.org/officeDocument/2006/relationships/hyperlink" Target="https://eur-lex.europa.eu/legal-content/EN/TXT/?uri=CELEX:02009L0147-20130701" TargetMode="External"/><Relationship Id="rId11" Type="http://schemas.openxmlformats.org/officeDocument/2006/relationships/hyperlink" Target="https://eur-lex.europa.eu/legal-content/EN/TXT/?uri=CELEX:01991L0676-20081211" TargetMode="External"/><Relationship Id="rId12" Type="http://schemas.openxmlformats.org/officeDocument/2006/relationships/hyperlink" Target="https://eur-lex.europa.eu/legal-content/EN/TXT/?uri=CELEX:01992L0043-20130701" TargetMode="External"/><Relationship Id="rId13" Type="http://schemas.openxmlformats.org/officeDocument/2006/relationships/hyperlink" Target="https://eur-lex.europa.eu/legal-content/EN/TXT/?uri=CELEX:02010L0075-20110106" TargetMode="External"/><Relationship Id="rId14" Type="http://schemas.openxmlformats.org/officeDocument/2006/relationships/hyperlink" Target="https://eur-lex.europa.eu/legal-content/EN/TXT/?uri=CELEX:02000L0060-20141120" TargetMode="External"/><Relationship Id="rId15" Type="http://schemas.openxmlformats.org/officeDocument/2006/relationships/hyperlink" Target="https://www.waterkwaliteitsportaal.nl/WKP.WebApplication/General/DownloadFile?path=CustomReports/December2019Publiek/Bestanden/1.maatregelen_owl_gwl_20190923.csv" TargetMode="External"/><Relationship Id="rId16" Type="http://schemas.openxmlformats.org/officeDocument/2006/relationships/hyperlink" Target="http://nwrm.eu/measure/natural-bank-stabilisation"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6D999-E30E-45F1-BB82-D3B9EF13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Collabora_Office/6.4.10.22$Linux_X86_64 LibreOffice_project/8396119eba9293604603d89f887466aac876a787</Application>
  <Pages>3</Pages>
  <Words>790</Words>
  <Characters>5881</Characters>
  <CharactersWithSpaces>6647</CharactersWithSpaces>
  <Paragraphs>56</Paragraphs>
  <Company>RIVM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2021-02-19T11:44:00Z</dcterms:created>
  <dc:creator>Leo Posthuma</dc:creator>
  <dc:description/>
  <dc:language>nl-NL</dc:language>
  <cp:lastModifiedBy/>
  <dcterms:modified xsi:type="dcterms:W3CDTF">2021-03-01T11:08:53Z</dcterms:modified>
  <cp:revision>7</cp:revision>
  <dc:subject/>
  <dc:title>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RIVM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