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C26C8E" w14:textId="77777777" w:rsidR="0052375D" w:rsidRDefault="0052375D"/>
    <w:p w14:paraId="56CB886F" w14:textId="77777777" w:rsidR="0052375D" w:rsidRDefault="0052375D"/>
    <w:p w14:paraId="593DF47F" w14:textId="77777777" w:rsidR="0052375D" w:rsidRDefault="0052375D"/>
    <w:p w14:paraId="38D994BD" w14:textId="77777777" w:rsidR="0052375D" w:rsidRDefault="00BE1341">
      <w:pPr>
        <w:jc w:val="center"/>
      </w:pPr>
      <w:r>
        <w:rPr>
          <w:b/>
          <w:color w:val="2C2276"/>
          <w:sz w:val="36"/>
        </w:rPr>
        <w:t>Sleutelfactor</w:t>
      </w:r>
      <w:r>
        <w:t xml:space="preserve"> </w:t>
      </w:r>
      <w:r>
        <w:rPr>
          <w:b/>
          <w:color w:val="2C2276"/>
          <w:sz w:val="36"/>
        </w:rPr>
        <w:t>Toxiciteit</w:t>
      </w:r>
    </w:p>
    <w:p w14:paraId="0E2BE005" w14:textId="77777777" w:rsidR="0052375D" w:rsidRDefault="0052375D"/>
    <w:p w14:paraId="443DCCA0" w14:textId="77777777" w:rsidR="0052375D" w:rsidRDefault="00BE1341">
      <w:pPr>
        <w:jc w:val="center"/>
      </w:pPr>
      <w:r>
        <w:rPr>
          <w:noProof/>
          <w:lang w:eastAsia="nl-NL"/>
        </w:rPr>
        <w:drawing>
          <wp:inline distT="0" distB="0" distL="0" distR="0" wp14:anchorId="702E8130" wp14:editId="431EFDA2">
            <wp:extent cx="1591310" cy="1139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1591310" cy="1139825"/>
                    </a:xfrm>
                    <a:prstGeom prst="rect">
                      <a:avLst/>
                    </a:prstGeom>
                  </pic:spPr>
                </pic:pic>
              </a:graphicData>
            </a:graphic>
          </wp:inline>
        </w:drawing>
      </w:r>
    </w:p>
    <w:p w14:paraId="11DFE16E" w14:textId="77777777" w:rsidR="0052375D" w:rsidRDefault="0052375D"/>
    <w:p w14:paraId="54D8017E" w14:textId="77777777" w:rsidR="0052375D" w:rsidRDefault="00BE1341">
      <w:pPr>
        <w:jc w:val="center"/>
      </w:pPr>
      <w:r>
        <w:rPr>
          <w:b/>
          <w:color w:val="2C2276"/>
          <w:sz w:val="36"/>
        </w:rPr>
        <w:t>Chemische verontreiniging en maatregelen (productcode S4@@@, versie A</w:t>
      </w:r>
      <w:r>
        <w:rPr>
          <w:rStyle w:val="Voetnootanker"/>
          <w:b/>
          <w:color w:val="2C2276"/>
          <w:sz w:val="36"/>
        </w:rPr>
        <w:footnoteReference w:id="1"/>
      </w:r>
      <w:r>
        <w:rPr>
          <w:b/>
          <w:color w:val="2C2276"/>
          <w:sz w:val="36"/>
        </w:rPr>
        <w:t>)</w:t>
      </w:r>
    </w:p>
    <w:p w14:paraId="7DBE1204" w14:textId="77777777" w:rsidR="0052375D" w:rsidRDefault="0052375D"/>
    <w:p w14:paraId="7FC61C16" w14:textId="77777777" w:rsidR="0052375D" w:rsidRDefault="00BE1341">
      <w:pPr>
        <w:jc w:val="center"/>
      </w:pPr>
      <w:r>
        <w:rPr>
          <w:b/>
          <w:color w:val="009FE3"/>
          <w:sz w:val="32"/>
        </w:rPr>
        <w:t>Achtergronddocument beschikbare kennis bij de sleutelfactor Toxiciteit</w:t>
      </w:r>
    </w:p>
    <w:p w14:paraId="6E3062EA" w14:textId="77777777" w:rsidR="0052375D" w:rsidRDefault="0052375D">
      <w:bookmarkStart w:id="0" w:name="_GoBack"/>
      <w:bookmarkEnd w:id="0"/>
    </w:p>
    <w:p w14:paraId="514F8CA3" w14:textId="77777777" w:rsidR="0052375D" w:rsidRDefault="00BE1341">
      <w:pPr>
        <w:sectPr w:rsidR="0052375D" w:rsidSect="00DF6166">
          <w:headerReference w:type="default" r:id="rId9"/>
          <w:footerReference w:type="default" r:id="rId10"/>
          <w:pgSz w:w="11906" w:h="16838"/>
          <w:pgMar w:top="1440" w:right="1797" w:bottom="1440" w:left="1797" w:header="709" w:footer="709" w:gutter="0"/>
          <w:lnNumType w:countBy="1" w:restart="continuous"/>
          <w:cols w:space="708"/>
          <w:formProt w:val="0"/>
          <w:docGrid w:linePitch="360"/>
        </w:sectPr>
      </w:pPr>
      <w:r>
        <w:t>Versie: 25 februari 2021</w:t>
      </w:r>
    </w:p>
    <w:p w14:paraId="73D33D20" w14:textId="77777777" w:rsidR="0052375D" w:rsidRDefault="00BE1341">
      <w:pPr>
        <w:pStyle w:val="Title"/>
      </w:pPr>
      <w:bookmarkStart w:id="1" w:name="_Toc65239916"/>
      <w:r>
        <w:lastRenderedPageBreak/>
        <w:t>Chemische verontreinigingen en maatregelen</w:t>
      </w:r>
      <w:bookmarkEnd w:id="1"/>
    </w:p>
    <w:p w14:paraId="09DCF4C2" w14:textId="77777777" w:rsidR="0052375D" w:rsidRDefault="00BE1341">
      <w:r>
        <w:t xml:space="preserve">De sleutel factor toxiciteit is ontwikkeld, </w:t>
      </w:r>
      <w:r>
        <w:t>omdat er zorgen zijn over chemische verontreiniging en de invloeden ervan op de waterkwaliteit, meer in het bijzonder: de aquatische ecologie en de zuiveringsinspanning bij de bereiding van drinkwater uit oppervlaktewater. Analyses van de waterkwaliteit di</w:t>
      </w:r>
      <w:r>
        <w:t>e uitgevoerd worden met de methodieken van de Kader Richtlijn Water (KRW) tonen aan, dat chemische stoffen vaak worden aangetroffen, en dat er nooit sprake is van stoffen die alleen voorkomen. Het zijn altijd mengsels. De belangrijkste vragen die zich voor</w:t>
      </w:r>
      <w:r>
        <w:t>doet in het waterbeheer is dan ook of de huidige, in ruimte en tijd variërende mengsels, ongewenste effecten hebben op de waterkwaliteit, en zo ja: welke maatregelen dan genomen kunnen worden. Deze Notitie beschrijft een aantal belangrijke aspecten die van</w:t>
      </w:r>
      <w:r>
        <w:t xml:space="preserve"> belang zijn bij het afleiden van maatregelen.</w:t>
      </w:r>
    </w:p>
    <w:p w14:paraId="7CA65AF7" w14:textId="77777777" w:rsidR="0052375D" w:rsidRDefault="0052375D"/>
    <w:p w14:paraId="14FCA12E" w14:textId="77777777" w:rsidR="0052375D" w:rsidRDefault="00BE1341">
      <w:r>
        <w:t>De Notitie beschrijft de motieven voor en achtergronden van de werkwijzen, zoals die toegepast kunnen worden in het kader van de (ecologische) sleutelfactor Toxiciteit.</w:t>
      </w:r>
    </w:p>
    <w:p w14:paraId="3AC02778" w14:textId="77777777" w:rsidR="0052375D" w:rsidRDefault="0052375D">
      <w:pPr>
        <w:rPr>
          <w:i/>
        </w:rPr>
      </w:pPr>
    </w:p>
    <w:p w14:paraId="78B7048D" w14:textId="77777777" w:rsidR="0052375D" w:rsidRDefault="00BE1341">
      <w:pPr>
        <w:sectPr w:rsidR="0052375D">
          <w:headerReference w:type="default" r:id="rId11"/>
          <w:footerReference w:type="default" r:id="rId12"/>
          <w:pgSz w:w="11906" w:h="16838"/>
          <w:pgMar w:top="1440" w:right="1797" w:bottom="1440" w:left="1797" w:header="709" w:footer="709" w:gutter="0"/>
          <w:cols w:space="708"/>
          <w:formProt w:val="0"/>
          <w:docGrid w:linePitch="360"/>
        </w:sectPr>
      </w:pPr>
      <w:r>
        <w:rPr>
          <w:i/>
        </w:rPr>
        <w:t>Deze notitie is onderdeel van de Startmodule van de sleutelfactor toxiciteit. Dit onderdeel geeft informatie over de diagnose van de effecten van chemische verontreinigingen in een watersystee</w:t>
      </w:r>
      <w:r>
        <w:rPr>
          <w:i/>
        </w:rPr>
        <w:t>manalyse</w:t>
      </w:r>
      <w:r>
        <w:t xml:space="preserve"> Deze notitie heeft als doel om waterbeheerders te informeren over de achtergronden en werkwijzen die hierbij gehanteerd kunnen worden, op basis van de huidige stand van kennis.</w:t>
      </w:r>
    </w:p>
    <w:p w14:paraId="20368CE3" w14:textId="77777777" w:rsidR="0052375D" w:rsidRDefault="00BE1341">
      <w:pPr>
        <w:pStyle w:val="Title"/>
      </w:pPr>
      <w:bookmarkStart w:id="2" w:name="_Toc65239917"/>
      <w:r>
        <w:rPr>
          <w:noProof/>
          <w:lang w:eastAsia="nl-NL"/>
        </w:rPr>
        <w:lastRenderedPageBreak/>
        <w:drawing>
          <wp:anchor distT="0" distB="0" distL="114300" distR="114300" simplePos="0" relativeHeight="57" behindDoc="0" locked="0" layoutInCell="1" allowOverlap="1" wp14:anchorId="16F4F89C" wp14:editId="4EF23A75">
            <wp:simplePos x="0" y="0"/>
            <wp:positionH relativeFrom="margin">
              <wp:posOffset>-1270</wp:posOffset>
            </wp:positionH>
            <wp:positionV relativeFrom="paragraph">
              <wp:posOffset>374650</wp:posOffset>
            </wp:positionV>
            <wp:extent cx="3573145" cy="3428365"/>
            <wp:effectExtent l="0" t="0" r="0" b="0"/>
            <wp:wrapTopAndBottom/>
            <wp:docPr id="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6"/>
                    <pic:cNvPicPr>
                      <a:picLocks noChangeAspect="1" noChangeArrowheads="1"/>
                    </pic:cNvPicPr>
                  </pic:nvPicPr>
                  <pic:blipFill>
                    <a:blip r:embed="rId13"/>
                    <a:stretch>
                      <a:fillRect/>
                    </a:stretch>
                  </pic:blipFill>
                  <pic:spPr bwMode="auto">
                    <a:xfrm>
                      <a:off x="0" y="0"/>
                      <a:ext cx="3573145" cy="3428365"/>
                    </a:xfrm>
                    <a:prstGeom prst="rect">
                      <a:avLst/>
                    </a:prstGeom>
                  </pic:spPr>
                </pic:pic>
              </a:graphicData>
            </a:graphic>
          </wp:anchor>
        </w:drawing>
      </w:r>
      <w:r>
        <w:t>Grafische samenvatting</w:t>
      </w:r>
      <w:bookmarkEnd w:id="2"/>
    </w:p>
    <w:p w14:paraId="67C79716" w14:textId="77777777" w:rsidR="0052375D" w:rsidRDefault="0052375D">
      <w:pPr>
        <w:rPr>
          <w:b/>
        </w:rPr>
      </w:pPr>
    </w:p>
    <w:p w14:paraId="6EFC10CA" w14:textId="77777777" w:rsidR="0052375D" w:rsidRDefault="00BE1341">
      <w:pPr>
        <w:sectPr w:rsidR="0052375D">
          <w:headerReference w:type="default" r:id="rId14"/>
          <w:footerReference w:type="default" r:id="rId15"/>
          <w:pgSz w:w="11906" w:h="16838"/>
          <w:pgMar w:top="1440" w:right="1797" w:bottom="1440" w:left="1797" w:header="709" w:footer="709" w:gutter="0"/>
          <w:cols w:space="708"/>
          <w:formProt w:val="0"/>
          <w:docGrid w:linePitch="360"/>
        </w:sectPr>
      </w:pPr>
      <w:r>
        <w:rPr>
          <w:b/>
        </w:rPr>
        <w:t xml:space="preserve">Als chemische verontreiniging de waterkwaliteit aantast, of dreigt aan te tasten, dan moeten er volgens de Kader Richtlijn Water maatregelen worden genomen om de dreigende of actuele aantasting </w:t>
      </w:r>
      <w:r>
        <w:rPr>
          <w:b/>
        </w:rPr>
        <w:t>te voorkómen of teniet te doen. Dat vraagt samenwerking tussen waterbeheerders die verbonden zijn via de hydrologische verbanden in een watersysteem, en de belanghebbenden die invloed hebben op gebruik, emissies of gevaren van de verontreinigende stoffen.</w:t>
      </w:r>
    </w:p>
    <w:p w14:paraId="571D0181" w14:textId="77777777" w:rsidR="0052375D" w:rsidRDefault="0052375D"/>
    <w:p w14:paraId="0ECF8FE7" w14:textId="77777777" w:rsidR="0052375D" w:rsidRDefault="00BE1341">
      <w:pPr>
        <w:pStyle w:val="Title"/>
      </w:pPr>
      <w:bookmarkStart w:id="3" w:name="_Toc65239918"/>
      <w:r>
        <w:t>Colofon</w:t>
      </w:r>
      <w:bookmarkEnd w:id="3"/>
    </w:p>
    <w:p w14:paraId="4BD042D2" w14:textId="77777777" w:rsidR="0052375D" w:rsidRDefault="00BE1341">
      <w:r>
        <w:t>Deze notitie is geschreven in het kader van het project Toxiciteit van de Kennisimpuls Waterkwaliteit. In de Kennisimpuls werken Rijk, provincies, waterschappen, drinkwaterbedrijven en kennisinstituten aan meer inzicht in de kwaliteit van het gron</w:t>
      </w:r>
      <w:r>
        <w:t xml:space="preserve">d- en oppervlaktewater en de factoren die deze kwaliteit beïnvloeden. Daarmee kunnen waterbeheerders en andere partijen de juiste maatregelen nemen om de waterkwaliteit te verbeteren en de biodiversiteit te vergroten. </w:t>
      </w:r>
    </w:p>
    <w:p w14:paraId="0FA04B15" w14:textId="77777777" w:rsidR="0052375D" w:rsidRDefault="0052375D"/>
    <w:p w14:paraId="136D2179" w14:textId="77777777" w:rsidR="0052375D" w:rsidRDefault="00BE1341">
      <w:pPr>
        <w:sectPr w:rsidR="0052375D">
          <w:headerReference w:type="default" r:id="rId16"/>
          <w:footerReference w:type="default" r:id="rId17"/>
          <w:pgSz w:w="11906" w:h="16838"/>
          <w:pgMar w:top="1440" w:right="1797" w:bottom="1440" w:left="1797" w:header="709" w:footer="709" w:gutter="0"/>
          <w:cols w:space="708"/>
          <w:formProt w:val="0"/>
          <w:docGrid w:linePitch="360"/>
        </w:sectPr>
      </w:pPr>
      <w:r>
        <w:t>In het programma brengen partijen bestaande en nieuwe kennis bijeen, en maken ze deze kennis (beter) toepasbaar voor de praktijk. Hiermee verstevigen ze de basis onder het waterkwaliteitsbeleid. Het programma is gestart in 2018 en duurt vier jaar. Het word</w:t>
      </w:r>
      <w:r>
        <w:t xml:space="preserve">t gefinancierd door het ministerie van Infrastructuur en Waterstaat, STOWA, waterschappen, provincies en drinkwaterbedrijven. </w:t>
      </w:r>
    </w:p>
    <w:p w14:paraId="5CA9E550" w14:textId="77777777" w:rsidR="0052375D" w:rsidRDefault="0052375D"/>
    <w:p w14:paraId="7CCF1D67" w14:textId="77777777" w:rsidR="0052375D" w:rsidRDefault="0052375D"/>
    <w:p w14:paraId="30A7F579" w14:textId="77777777" w:rsidR="0052375D" w:rsidRDefault="0052375D"/>
    <w:p w14:paraId="368102F1" w14:textId="77777777" w:rsidR="0052375D" w:rsidRDefault="00BE1341">
      <w:pPr>
        <w:jc w:val="center"/>
        <w:rPr>
          <w:b/>
          <w:color w:val="2C2276"/>
          <w:sz w:val="36"/>
        </w:rPr>
      </w:pPr>
      <w:r>
        <w:rPr>
          <w:b/>
          <w:color w:val="2C2276"/>
          <w:sz w:val="36"/>
        </w:rPr>
        <w:t>Sleutelfactor Toxiciteit</w:t>
      </w:r>
    </w:p>
    <w:p w14:paraId="0E5AA52E" w14:textId="77777777" w:rsidR="0052375D" w:rsidRDefault="0052375D">
      <w:pPr>
        <w:jc w:val="center"/>
        <w:rPr>
          <w:b/>
          <w:color w:val="2C2276"/>
          <w:sz w:val="36"/>
        </w:rPr>
      </w:pPr>
    </w:p>
    <w:p w14:paraId="467F9014" w14:textId="77777777" w:rsidR="0052375D" w:rsidRDefault="00BE1341">
      <w:pPr>
        <w:jc w:val="center"/>
      </w:pPr>
      <w:r>
        <w:rPr>
          <w:noProof/>
          <w:lang w:eastAsia="nl-NL"/>
        </w:rPr>
        <w:drawing>
          <wp:inline distT="0" distB="0" distL="0" distR="0" wp14:anchorId="3DB986C7" wp14:editId="117445D4">
            <wp:extent cx="1591310" cy="1139825"/>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pic:cNvPicPr>
                      <a:picLocks noChangeAspect="1" noChangeArrowheads="1"/>
                    </pic:cNvPicPr>
                  </pic:nvPicPr>
                  <pic:blipFill>
                    <a:blip r:embed="rId8"/>
                    <a:stretch>
                      <a:fillRect/>
                    </a:stretch>
                  </pic:blipFill>
                  <pic:spPr bwMode="auto">
                    <a:xfrm>
                      <a:off x="0" y="0"/>
                      <a:ext cx="1591310" cy="1139825"/>
                    </a:xfrm>
                    <a:prstGeom prst="rect">
                      <a:avLst/>
                    </a:prstGeom>
                  </pic:spPr>
                </pic:pic>
              </a:graphicData>
            </a:graphic>
          </wp:inline>
        </w:drawing>
      </w:r>
    </w:p>
    <w:p w14:paraId="26C73C37" w14:textId="77777777" w:rsidR="0052375D" w:rsidRDefault="0052375D">
      <w:pPr>
        <w:jc w:val="center"/>
        <w:rPr>
          <w:b/>
          <w:sz w:val="36"/>
        </w:rPr>
      </w:pPr>
    </w:p>
    <w:p w14:paraId="445DC181" w14:textId="77777777" w:rsidR="0052375D" w:rsidRDefault="00BE1341">
      <w:pPr>
        <w:jc w:val="center"/>
        <w:rPr>
          <w:b/>
          <w:color w:val="2C2276"/>
          <w:sz w:val="36"/>
        </w:rPr>
      </w:pPr>
      <w:r>
        <w:rPr>
          <w:b/>
          <w:color w:val="2C2276"/>
          <w:sz w:val="36"/>
        </w:rPr>
        <w:t>Chemische verontreinigingen en maatregelen</w:t>
      </w:r>
    </w:p>
    <w:p w14:paraId="5BD53C31" w14:textId="77777777" w:rsidR="0052375D" w:rsidRDefault="0052375D">
      <w:pPr>
        <w:jc w:val="center"/>
        <w:rPr>
          <w:b/>
          <w:color w:val="2C2276"/>
          <w:sz w:val="36"/>
        </w:rPr>
      </w:pPr>
    </w:p>
    <w:p w14:paraId="1E7304D6" w14:textId="77777777" w:rsidR="0052375D" w:rsidRDefault="00BE1341">
      <w:pPr>
        <w:jc w:val="center"/>
        <w:rPr>
          <w:b/>
          <w:color w:val="009FE3"/>
          <w:sz w:val="32"/>
        </w:rPr>
      </w:pPr>
      <w:r>
        <w:rPr>
          <w:b/>
          <w:color w:val="009FE3"/>
          <w:sz w:val="32"/>
        </w:rPr>
        <w:t>Achtergronddocument beschikbare kennis bij de sleutel</w:t>
      </w:r>
      <w:r>
        <w:rPr>
          <w:b/>
          <w:color w:val="009FE3"/>
          <w:sz w:val="32"/>
        </w:rPr>
        <w:t>factor Toxiciteit</w:t>
      </w:r>
    </w:p>
    <w:p w14:paraId="3D8D41D6" w14:textId="77777777" w:rsidR="0052375D" w:rsidRDefault="0052375D"/>
    <w:p w14:paraId="6F237C24" w14:textId="77777777" w:rsidR="0052375D" w:rsidRDefault="0052375D"/>
    <w:p w14:paraId="3F5E6345" w14:textId="77777777" w:rsidR="0052375D" w:rsidRDefault="0052375D"/>
    <w:p w14:paraId="23132104" w14:textId="77777777" w:rsidR="0052375D" w:rsidRDefault="0052375D"/>
    <w:p w14:paraId="2FE64CDA" w14:textId="77777777" w:rsidR="0052375D" w:rsidRDefault="0052375D"/>
    <w:p w14:paraId="311F1C17" w14:textId="77777777" w:rsidR="0052375D" w:rsidRDefault="00BE1341">
      <w:r>
        <w:rPr>
          <w:highlight w:val="yellow"/>
        </w:rPr>
        <w:t>Versie: 25 februari 2021</w:t>
      </w:r>
      <w:r>
        <w:rPr>
          <w:rStyle w:val="Voetnootanker"/>
          <w:highlight w:val="yellow"/>
        </w:rPr>
        <w:footnoteReference w:id="2"/>
      </w:r>
      <w:r>
        <w:t xml:space="preserve">     </w:t>
      </w:r>
    </w:p>
    <w:p w14:paraId="1185707B" w14:textId="77777777" w:rsidR="0052375D" w:rsidRDefault="00BE1341">
      <w:r>
        <w:t>@@@[nog bewerken: literatuur-tagging door Leo, eind controle door Inge en Jappe, finaal akkoord Kernteam, dan z.s.m. formele versie opleveren=openbaar, als download onder de website]</w:t>
      </w:r>
    </w:p>
    <w:p w14:paraId="4738D528" w14:textId="77777777" w:rsidR="0052375D" w:rsidRDefault="0052375D"/>
    <w:p w14:paraId="6A563B64" w14:textId="77777777" w:rsidR="0052375D" w:rsidRDefault="0052375D"/>
    <w:p w14:paraId="09315FB2" w14:textId="77777777" w:rsidR="0052375D" w:rsidRDefault="0052375D"/>
    <w:p w14:paraId="4630E683" w14:textId="77777777" w:rsidR="0052375D" w:rsidRDefault="0052375D"/>
    <w:p w14:paraId="5D0807EE" w14:textId="77777777" w:rsidR="0052375D" w:rsidRDefault="00BE1341">
      <w:commentRangeStart w:id="4"/>
      <w:r>
        <w:t>Auteurs</w:t>
      </w:r>
      <w:commentRangeEnd w:id="4"/>
      <w:r>
        <w:commentReference w:id="4"/>
      </w:r>
      <w:r>
        <w:t>:@@@</w:t>
      </w:r>
    </w:p>
    <w:p w14:paraId="18251539" w14:textId="77777777" w:rsidR="0052375D" w:rsidRDefault="00BE1341">
      <w:pPr>
        <w:rPr>
          <w:lang w:val="en-US"/>
        </w:rPr>
        <w:sectPr w:rsidR="0052375D">
          <w:headerReference w:type="default" r:id="rId20"/>
          <w:footerReference w:type="default" r:id="rId21"/>
          <w:pgSz w:w="11906" w:h="16838"/>
          <w:pgMar w:top="1440" w:right="1797" w:bottom="1440" w:left="1797" w:header="709" w:footer="709" w:gutter="0"/>
          <w:cols w:space="708"/>
          <w:formProt w:val="0"/>
          <w:docGrid w:linePitch="360"/>
        </w:sectPr>
      </w:pPr>
      <w:r>
        <w:t>@@@ (@@@)</w:t>
      </w:r>
      <w:r>
        <w:rPr>
          <w:lang w:val="en-US"/>
        </w:rPr>
        <w:t xml:space="preserve"> </w:t>
      </w:r>
    </w:p>
    <w:p w14:paraId="61ABE46D" w14:textId="77777777" w:rsidR="0052375D" w:rsidRDefault="00BE1341">
      <w:pPr>
        <w:pStyle w:val="Title"/>
        <w:rPr>
          <w:lang w:val="en-US"/>
        </w:rPr>
      </w:pPr>
      <w:bookmarkStart w:id="5" w:name="_Toc65239919"/>
      <w:r>
        <w:lastRenderedPageBreak/>
        <w:t>Inhoudsopgave</w:t>
      </w:r>
      <w:bookmarkEnd w:id="5"/>
    </w:p>
    <w:p w14:paraId="1A6716B2" w14:textId="77777777" w:rsidR="0052375D" w:rsidRDefault="0052375D">
      <w:pPr>
        <w:rPr>
          <w:lang w:val="en-US"/>
        </w:rPr>
      </w:pPr>
    </w:p>
    <w:sdt>
      <w:sdtPr>
        <w:id w:val="-208886651"/>
        <w:docPartObj>
          <w:docPartGallery w:val="Table of Contents"/>
          <w:docPartUnique/>
        </w:docPartObj>
      </w:sdtPr>
      <w:sdtEndPr/>
      <w:sdtContent>
        <w:p w14:paraId="7FDE701E" w14:textId="77777777" w:rsidR="0052375D" w:rsidRDefault="00BE1341">
          <w:pPr>
            <w:pStyle w:val="TOC1"/>
            <w:rPr>
              <w:rFonts w:asciiTheme="minorHAnsi" w:eastAsiaTheme="minorEastAsia" w:hAnsiTheme="minorHAnsi" w:cstheme="minorBidi"/>
              <w:lang w:eastAsia="nl-NL"/>
            </w:rPr>
          </w:pPr>
          <w:r>
            <w:fldChar w:fldCharType="begin"/>
          </w:r>
          <w:r>
            <w:rPr>
              <w:rStyle w:val="Indexkoppeling"/>
              <w:webHidden/>
            </w:rPr>
            <w:instrText>TOC \z \o "1-3" \u \h</w:instrText>
          </w:r>
          <w:r>
            <w:rPr>
              <w:rStyle w:val="Indexkoppeling"/>
            </w:rPr>
            <w:fldChar w:fldCharType="separate"/>
          </w:r>
          <w:hyperlink w:anchor="_Toc65239916">
            <w:r>
              <w:rPr>
                <w:webHidden/>
              </w:rPr>
              <w:fldChar w:fldCharType="begin"/>
            </w:r>
            <w:r>
              <w:rPr>
                <w:webHidden/>
              </w:rPr>
              <w:instrText>PAGEREF _Toc65239916 \h</w:instrText>
            </w:r>
            <w:r>
              <w:rPr>
                <w:webHidden/>
              </w:rPr>
            </w:r>
            <w:r>
              <w:rPr>
                <w:webHidden/>
              </w:rPr>
              <w:fldChar w:fldCharType="separate"/>
            </w:r>
            <w:r>
              <w:rPr>
                <w:rStyle w:val="Indexkoppeling"/>
                <w:webHidden/>
              </w:rPr>
              <w:t>Chemische verontreinigingen en maatregelen</w:t>
            </w:r>
            <w:r>
              <w:rPr>
                <w:rStyle w:val="Indexkoppeling"/>
                <w:webHidden/>
              </w:rPr>
              <w:tab/>
              <w:t>2</w:t>
            </w:r>
            <w:r>
              <w:rPr>
                <w:webHidden/>
              </w:rPr>
              <w:fldChar w:fldCharType="end"/>
            </w:r>
          </w:hyperlink>
        </w:p>
        <w:p w14:paraId="13803DB7" w14:textId="77777777" w:rsidR="0052375D" w:rsidRDefault="00BE1341">
          <w:pPr>
            <w:pStyle w:val="TOC1"/>
            <w:rPr>
              <w:rFonts w:asciiTheme="minorHAnsi" w:eastAsiaTheme="minorEastAsia" w:hAnsiTheme="minorHAnsi" w:cstheme="minorBidi"/>
              <w:lang w:eastAsia="nl-NL"/>
            </w:rPr>
          </w:pPr>
          <w:hyperlink w:anchor="_Toc65239917">
            <w:r>
              <w:rPr>
                <w:webHidden/>
              </w:rPr>
              <w:fldChar w:fldCharType="begin"/>
            </w:r>
            <w:r>
              <w:rPr>
                <w:webHidden/>
              </w:rPr>
              <w:instrText>PAGEREF _Toc65239917 \h</w:instrText>
            </w:r>
            <w:r>
              <w:rPr>
                <w:webHidden/>
              </w:rPr>
            </w:r>
            <w:r>
              <w:rPr>
                <w:webHidden/>
              </w:rPr>
              <w:fldChar w:fldCharType="separate"/>
            </w:r>
            <w:r>
              <w:rPr>
                <w:rStyle w:val="Indexkoppeling"/>
                <w:webHidden/>
              </w:rPr>
              <w:t>Grafische samenvatting</w:t>
            </w:r>
            <w:r>
              <w:rPr>
                <w:rStyle w:val="Indexkoppeling"/>
                <w:webHidden/>
              </w:rPr>
              <w:tab/>
              <w:t>3</w:t>
            </w:r>
            <w:r>
              <w:rPr>
                <w:webHidden/>
              </w:rPr>
              <w:fldChar w:fldCharType="end"/>
            </w:r>
          </w:hyperlink>
        </w:p>
        <w:p w14:paraId="39CC510D" w14:textId="77777777" w:rsidR="0052375D" w:rsidRDefault="00BE1341">
          <w:pPr>
            <w:pStyle w:val="TOC1"/>
            <w:rPr>
              <w:rFonts w:asciiTheme="minorHAnsi" w:eastAsiaTheme="minorEastAsia" w:hAnsiTheme="minorHAnsi" w:cstheme="minorBidi"/>
              <w:lang w:eastAsia="nl-NL"/>
            </w:rPr>
          </w:pPr>
          <w:hyperlink w:anchor="_Toc65239918">
            <w:r>
              <w:rPr>
                <w:webHidden/>
              </w:rPr>
              <w:fldChar w:fldCharType="begin"/>
            </w:r>
            <w:r>
              <w:rPr>
                <w:webHidden/>
              </w:rPr>
              <w:instrText>PAGEREF</w:instrText>
            </w:r>
            <w:r>
              <w:rPr>
                <w:webHidden/>
              </w:rPr>
              <w:instrText xml:space="preserve"> _Toc65239918 \h</w:instrText>
            </w:r>
            <w:r>
              <w:rPr>
                <w:webHidden/>
              </w:rPr>
            </w:r>
            <w:r>
              <w:rPr>
                <w:webHidden/>
              </w:rPr>
              <w:fldChar w:fldCharType="separate"/>
            </w:r>
            <w:r>
              <w:rPr>
                <w:rStyle w:val="Indexkoppeling"/>
                <w:webHidden/>
              </w:rPr>
              <w:t>Colofon</w:t>
            </w:r>
            <w:r>
              <w:rPr>
                <w:rStyle w:val="Indexkoppeling"/>
                <w:webHidden/>
              </w:rPr>
              <w:tab/>
              <w:t>4</w:t>
            </w:r>
            <w:r>
              <w:rPr>
                <w:webHidden/>
              </w:rPr>
              <w:fldChar w:fldCharType="end"/>
            </w:r>
          </w:hyperlink>
        </w:p>
        <w:p w14:paraId="6E4E22B5" w14:textId="77777777" w:rsidR="0052375D" w:rsidRDefault="00BE1341">
          <w:pPr>
            <w:pStyle w:val="TOC1"/>
            <w:rPr>
              <w:rFonts w:asciiTheme="minorHAnsi" w:eastAsiaTheme="minorEastAsia" w:hAnsiTheme="minorHAnsi" w:cstheme="minorBidi"/>
              <w:lang w:eastAsia="nl-NL"/>
            </w:rPr>
          </w:pPr>
          <w:hyperlink w:anchor="_Toc65239919">
            <w:r>
              <w:rPr>
                <w:webHidden/>
              </w:rPr>
              <w:fldChar w:fldCharType="begin"/>
            </w:r>
            <w:r>
              <w:rPr>
                <w:webHidden/>
              </w:rPr>
              <w:instrText>PAGEREF _Toc65239919 \h</w:instrText>
            </w:r>
            <w:r>
              <w:rPr>
                <w:webHidden/>
              </w:rPr>
            </w:r>
            <w:r>
              <w:rPr>
                <w:webHidden/>
              </w:rPr>
              <w:fldChar w:fldCharType="separate"/>
            </w:r>
            <w:r>
              <w:rPr>
                <w:rStyle w:val="Indexkoppeling"/>
                <w:webHidden/>
              </w:rPr>
              <w:t>Inhoudsopgave</w:t>
            </w:r>
            <w:r>
              <w:rPr>
                <w:rStyle w:val="Indexkoppeling"/>
                <w:webHidden/>
              </w:rPr>
              <w:tab/>
              <w:t>6</w:t>
            </w:r>
            <w:r>
              <w:rPr>
                <w:webHidden/>
              </w:rPr>
              <w:fldChar w:fldCharType="end"/>
            </w:r>
          </w:hyperlink>
        </w:p>
        <w:p w14:paraId="4696626E" w14:textId="77777777" w:rsidR="0052375D" w:rsidRDefault="00BE1341">
          <w:pPr>
            <w:pStyle w:val="TOC1"/>
            <w:rPr>
              <w:rFonts w:asciiTheme="minorHAnsi" w:eastAsiaTheme="minorEastAsia" w:hAnsiTheme="minorHAnsi" w:cstheme="minorBidi"/>
              <w:lang w:eastAsia="nl-NL"/>
            </w:rPr>
          </w:pPr>
          <w:hyperlink w:anchor="_Toc65239920">
            <w:r>
              <w:rPr>
                <w:webHidden/>
              </w:rPr>
              <w:fldChar w:fldCharType="begin"/>
            </w:r>
            <w:r>
              <w:rPr>
                <w:webHidden/>
              </w:rPr>
              <w:instrText>PAGEREF _Toc65239920 \h</w:instrText>
            </w:r>
            <w:r>
              <w:rPr>
                <w:webHidden/>
              </w:rPr>
            </w:r>
            <w:r>
              <w:rPr>
                <w:webHidden/>
              </w:rPr>
              <w:fldChar w:fldCharType="separate"/>
            </w:r>
            <w:r>
              <w:rPr>
                <w:rStyle w:val="Indexkoppeling"/>
                <w:webHidden/>
              </w:rPr>
              <w:t>Begrippenlijst</w:t>
            </w:r>
            <w:r>
              <w:rPr>
                <w:rStyle w:val="Indexkoppeling"/>
                <w:webHidden/>
              </w:rPr>
              <w:tab/>
              <w:t>7</w:t>
            </w:r>
            <w:r>
              <w:rPr>
                <w:webHidden/>
              </w:rPr>
              <w:fldChar w:fldCharType="end"/>
            </w:r>
          </w:hyperlink>
        </w:p>
        <w:p w14:paraId="124AE65D" w14:textId="77777777" w:rsidR="0052375D" w:rsidRDefault="00BE1341">
          <w:pPr>
            <w:pStyle w:val="TOC1"/>
            <w:rPr>
              <w:rFonts w:asciiTheme="minorHAnsi" w:eastAsiaTheme="minorEastAsia" w:hAnsiTheme="minorHAnsi" w:cstheme="minorBidi"/>
              <w:lang w:eastAsia="nl-NL"/>
            </w:rPr>
          </w:pPr>
          <w:hyperlink w:anchor="_Toc65239921">
            <w:r>
              <w:rPr>
                <w:webHidden/>
              </w:rPr>
              <w:fldChar w:fldCharType="begin"/>
            </w:r>
            <w:r>
              <w:rPr>
                <w:webHidden/>
              </w:rPr>
              <w:instrText>PAGEREF _Toc65239921 \h</w:instrText>
            </w:r>
            <w:r>
              <w:rPr>
                <w:webHidden/>
              </w:rPr>
            </w:r>
            <w:r>
              <w:rPr>
                <w:webHidden/>
              </w:rPr>
              <w:fldChar w:fldCharType="separate"/>
            </w:r>
            <w:r>
              <w:rPr>
                <w:rStyle w:val="Indexkoppeling"/>
                <w:webHidden/>
              </w:rPr>
              <w:t>Samenvatting</w:t>
            </w:r>
            <w:r>
              <w:rPr>
                <w:rStyle w:val="Indexkoppeling"/>
                <w:webHidden/>
              </w:rPr>
              <w:tab/>
              <w:t>8</w:t>
            </w:r>
            <w:r>
              <w:rPr>
                <w:webHidden/>
              </w:rPr>
              <w:fldChar w:fldCharType="end"/>
            </w:r>
          </w:hyperlink>
        </w:p>
        <w:p w14:paraId="5E742D70" w14:textId="77777777" w:rsidR="0052375D" w:rsidRDefault="00BE1341">
          <w:pPr>
            <w:pStyle w:val="TOC1"/>
            <w:rPr>
              <w:rFonts w:asciiTheme="minorHAnsi" w:eastAsiaTheme="minorEastAsia" w:hAnsiTheme="minorHAnsi" w:cstheme="minorBidi"/>
              <w:lang w:eastAsia="nl-NL"/>
            </w:rPr>
          </w:pPr>
          <w:hyperlink w:anchor="_Toc65239922">
            <w:r>
              <w:rPr>
                <w:webHidden/>
              </w:rPr>
              <w:fldChar w:fldCharType="begin"/>
            </w:r>
            <w:r>
              <w:rPr>
                <w:webHidden/>
              </w:rPr>
              <w:instrText>PAGEREF _Toc65239922 \h</w:instrText>
            </w:r>
            <w:r>
              <w:rPr>
                <w:webHidden/>
              </w:rPr>
            </w:r>
            <w:r>
              <w:rPr>
                <w:webHidden/>
              </w:rPr>
              <w:fldChar w:fldCharType="separate"/>
            </w:r>
            <w:r>
              <w:rPr>
                <w:rStyle w:val="Indexkoppeling"/>
                <w:webHidden/>
              </w:rPr>
              <w:t>Gerelateerde documenten</w:t>
            </w:r>
            <w:r>
              <w:rPr>
                <w:rStyle w:val="Indexkoppeling"/>
                <w:webHidden/>
              </w:rPr>
              <w:tab/>
              <w:t>9</w:t>
            </w:r>
            <w:r>
              <w:rPr>
                <w:webHidden/>
              </w:rPr>
              <w:fldChar w:fldCharType="end"/>
            </w:r>
          </w:hyperlink>
        </w:p>
        <w:p w14:paraId="2A000F9C" w14:textId="77777777" w:rsidR="0052375D" w:rsidRDefault="00BE1341">
          <w:pPr>
            <w:pStyle w:val="TOC1"/>
            <w:rPr>
              <w:rFonts w:asciiTheme="minorHAnsi" w:eastAsiaTheme="minorEastAsia" w:hAnsiTheme="minorHAnsi" w:cstheme="minorBidi"/>
              <w:lang w:eastAsia="nl-NL"/>
            </w:rPr>
          </w:pPr>
          <w:hyperlink w:anchor="_Toc65239923">
            <w:r>
              <w:rPr>
                <w:rStyle w:val="Indexkoppeling"/>
                <w:webHidden/>
              </w:rPr>
              <w:t>1</w:t>
            </w:r>
            <w:r>
              <w:rPr>
                <w:rStyle w:val="Indexkoppeling"/>
                <w:rFonts w:asciiTheme="minorHAnsi" w:eastAsiaTheme="minorEastAsia" w:hAnsiTheme="minorHAnsi" w:cstheme="minorBidi"/>
                <w:lang w:eastAsia="nl-NL"/>
              </w:rPr>
              <w:tab/>
            </w:r>
            <w:r>
              <w:rPr>
                <w:rStyle w:val="Indexkoppeling"/>
              </w:rPr>
              <w:t>Inleiding</w:t>
            </w:r>
            <w:r>
              <w:rPr>
                <w:webHidden/>
              </w:rPr>
              <w:fldChar w:fldCharType="begin"/>
            </w:r>
            <w:r>
              <w:rPr>
                <w:webHidden/>
              </w:rPr>
              <w:instrText>PAGEREF _Toc65239923 \h</w:instrText>
            </w:r>
            <w:r>
              <w:rPr>
                <w:webHidden/>
              </w:rPr>
            </w:r>
            <w:r>
              <w:rPr>
                <w:webHidden/>
              </w:rPr>
              <w:fldChar w:fldCharType="separate"/>
            </w:r>
            <w:r>
              <w:rPr>
                <w:rStyle w:val="Indexkoppeling"/>
              </w:rPr>
              <w:tab/>
              <w:t>10</w:t>
            </w:r>
            <w:r>
              <w:rPr>
                <w:webHidden/>
              </w:rPr>
              <w:fldChar w:fldCharType="end"/>
            </w:r>
          </w:hyperlink>
        </w:p>
        <w:p w14:paraId="5F63990E" w14:textId="77777777" w:rsidR="0052375D" w:rsidRDefault="00BE1341">
          <w:pPr>
            <w:pStyle w:val="TOC1"/>
            <w:rPr>
              <w:rFonts w:asciiTheme="minorHAnsi" w:eastAsiaTheme="minorEastAsia" w:hAnsiTheme="minorHAnsi" w:cstheme="minorBidi"/>
              <w:lang w:eastAsia="nl-NL"/>
            </w:rPr>
          </w:pPr>
          <w:hyperlink w:anchor="_Toc65239924">
            <w:r>
              <w:rPr>
                <w:rStyle w:val="Indexkoppeling"/>
                <w:webHidden/>
              </w:rPr>
              <w:t>2</w:t>
            </w:r>
            <w:r>
              <w:rPr>
                <w:rStyle w:val="Indexkoppeling"/>
                <w:rFonts w:asciiTheme="minorHAnsi" w:eastAsiaTheme="minorEastAsia" w:hAnsiTheme="minorHAnsi" w:cstheme="minorBidi"/>
                <w:lang w:eastAsia="nl-NL"/>
              </w:rPr>
              <w:tab/>
            </w:r>
            <w:r>
              <w:rPr>
                <w:rStyle w:val="Indexkoppeling"/>
              </w:rPr>
              <w:t>Gerelateerde on</w:t>
            </w:r>
            <w:r>
              <w:rPr>
                <w:rStyle w:val="Indexkoppeling"/>
              </w:rPr>
              <w:t>derwerpen</w:t>
            </w:r>
            <w:r>
              <w:rPr>
                <w:webHidden/>
              </w:rPr>
              <w:fldChar w:fldCharType="begin"/>
            </w:r>
            <w:r>
              <w:rPr>
                <w:webHidden/>
              </w:rPr>
              <w:instrText>PAGEREF _Toc65239924 \h</w:instrText>
            </w:r>
            <w:r>
              <w:rPr>
                <w:webHidden/>
              </w:rPr>
            </w:r>
            <w:r>
              <w:rPr>
                <w:webHidden/>
              </w:rPr>
              <w:fldChar w:fldCharType="separate"/>
            </w:r>
            <w:r>
              <w:rPr>
                <w:rStyle w:val="Indexkoppeling"/>
              </w:rPr>
              <w:tab/>
              <w:t>12</w:t>
            </w:r>
            <w:r>
              <w:rPr>
                <w:webHidden/>
              </w:rPr>
              <w:fldChar w:fldCharType="end"/>
            </w:r>
          </w:hyperlink>
        </w:p>
        <w:p w14:paraId="0AF38F92" w14:textId="77777777" w:rsidR="0052375D" w:rsidRDefault="00BE1341">
          <w:pPr>
            <w:pStyle w:val="TOC1"/>
            <w:rPr>
              <w:rFonts w:asciiTheme="minorHAnsi" w:eastAsiaTheme="minorEastAsia" w:hAnsiTheme="minorHAnsi" w:cstheme="minorBidi"/>
              <w:lang w:eastAsia="nl-NL"/>
            </w:rPr>
          </w:pPr>
          <w:hyperlink w:anchor="_Toc65239925">
            <w:r>
              <w:rPr>
                <w:rStyle w:val="Indexkoppeling"/>
                <w:webHidden/>
              </w:rPr>
              <w:t>3</w:t>
            </w:r>
            <w:r>
              <w:rPr>
                <w:rStyle w:val="Indexkoppeling"/>
                <w:rFonts w:asciiTheme="minorHAnsi" w:eastAsiaTheme="minorEastAsia" w:hAnsiTheme="minorHAnsi" w:cstheme="minorBidi"/>
                <w:lang w:eastAsia="nl-NL"/>
              </w:rPr>
              <w:tab/>
            </w:r>
            <w:r>
              <w:rPr>
                <w:rStyle w:val="Indexkoppeling"/>
              </w:rPr>
              <w:t>Drie soorten aandacht</w:t>
            </w:r>
            <w:r>
              <w:rPr>
                <w:webHidden/>
              </w:rPr>
              <w:fldChar w:fldCharType="begin"/>
            </w:r>
            <w:r>
              <w:rPr>
                <w:webHidden/>
              </w:rPr>
              <w:instrText>PAGEREF _Toc65239925 \h</w:instrText>
            </w:r>
            <w:r>
              <w:rPr>
                <w:webHidden/>
              </w:rPr>
            </w:r>
            <w:r>
              <w:rPr>
                <w:webHidden/>
              </w:rPr>
              <w:fldChar w:fldCharType="separate"/>
            </w:r>
            <w:r>
              <w:rPr>
                <w:rStyle w:val="Indexkoppeling"/>
              </w:rPr>
              <w:tab/>
              <w:t>13</w:t>
            </w:r>
            <w:r>
              <w:rPr>
                <w:webHidden/>
              </w:rPr>
              <w:fldChar w:fldCharType="end"/>
            </w:r>
          </w:hyperlink>
        </w:p>
        <w:p w14:paraId="3CD79394" w14:textId="77777777" w:rsidR="0052375D" w:rsidRDefault="00BE1341">
          <w:pPr>
            <w:pStyle w:val="TOC2"/>
            <w:tabs>
              <w:tab w:val="left" w:pos="880"/>
              <w:tab w:val="right" w:leader="dot" w:pos="8303"/>
            </w:tabs>
            <w:rPr>
              <w:rFonts w:asciiTheme="minorHAnsi" w:eastAsiaTheme="minorEastAsia" w:hAnsiTheme="minorHAnsi" w:cstheme="minorBidi"/>
              <w:lang w:eastAsia="nl-NL"/>
            </w:rPr>
          </w:pPr>
          <w:hyperlink w:anchor="_Toc65239926">
            <w:r>
              <w:rPr>
                <w:rStyle w:val="Indexkoppeling"/>
                <w:webHidden/>
              </w:rPr>
              <w:t>3.1</w:t>
            </w:r>
            <w:r>
              <w:rPr>
                <w:rStyle w:val="Indexkoppeling"/>
                <w:rFonts w:asciiTheme="minorHAnsi" w:eastAsiaTheme="minorEastAsia" w:hAnsiTheme="minorHAnsi" w:cstheme="minorBidi"/>
                <w:lang w:eastAsia="nl-NL"/>
              </w:rPr>
              <w:tab/>
            </w:r>
            <w:r>
              <w:rPr>
                <w:rStyle w:val="Indexkoppeling"/>
              </w:rPr>
              <w:t>De drie vragen</w:t>
            </w:r>
            <w:r>
              <w:rPr>
                <w:webHidden/>
              </w:rPr>
              <w:fldChar w:fldCharType="begin"/>
            </w:r>
            <w:r>
              <w:rPr>
                <w:webHidden/>
              </w:rPr>
              <w:instrText>PAGEREF _Toc65239926 \h</w:instrText>
            </w:r>
            <w:r>
              <w:rPr>
                <w:webHidden/>
              </w:rPr>
            </w:r>
            <w:r>
              <w:rPr>
                <w:webHidden/>
              </w:rPr>
              <w:fldChar w:fldCharType="separate"/>
            </w:r>
            <w:r>
              <w:rPr>
                <w:rStyle w:val="Indexkoppeling"/>
              </w:rPr>
              <w:tab/>
              <w:t>13</w:t>
            </w:r>
            <w:r>
              <w:rPr>
                <w:webHidden/>
              </w:rPr>
              <w:fldChar w:fldCharType="end"/>
            </w:r>
          </w:hyperlink>
        </w:p>
        <w:p w14:paraId="35456FCE" w14:textId="77777777" w:rsidR="0052375D" w:rsidRDefault="00BE1341">
          <w:pPr>
            <w:pStyle w:val="TOC2"/>
            <w:tabs>
              <w:tab w:val="left" w:pos="880"/>
              <w:tab w:val="right" w:leader="dot" w:pos="8303"/>
            </w:tabs>
            <w:rPr>
              <w:rFonts w:asciiTheme="minorHAnsi" w:eastAsiaTheme="minorEastAsia" w:hAnsiTheme="minorHAnsi" w:cstheme="minorBidi"/>
              <w:lang w:eastAsia="nl-NL"/>
            </w:rPr>
          </w:pPr>
          <w:hyperlink w:anchor="_Toc65239927">
            <w:r>
              <w:rPr>
                <w:rStyle w:val="Indexkoppeling"/>
                <w:webHidden/>
              </w:rPr>
              <w:t>3.2</w:t>
            </w:r>
            <w:r>
              <w:rPr>
                <w:rStyle w:val="Indexkoppeling"/>
                <w:rFonts w:asciiTheme="minorHAnsi" w:eastAsiaTheme="minorEastAsia" w:hAnsiTheme="minorHAnsi" w:cstheme="minorBidi"/>
                <w:lang w:eastAsia="nl-NL"/>
              </w:rPr>
              <w:tab/>
            </w:r>
            <w:r>
              <w:rPr>
                <w:rStyle w:val="Indexkoppeling"/>
              </w:rPr>
              <w:t>Het in samenhang beantwoorden van de drie vragen</w:t>
            </w:r>
            <w:r>
              <w:rPr>
                <w:webHidden/>
              </w:rPr>
              <w:fldChar w:fldCharType="begin"/>
            </w:r>
            <w:r>
              <w:rPr>
                <w:webHidden/>
              </w:rPr>
              <w:instrText>PAGEREF _Toc65239927 \h</w:instrText>
            </w:r>
            <w:r>
              <w:rPr>
                <w:webHidden/>
              </w:rPr>
            </w:r>
            <w:r>
              <w:rPr>
                <w:webHidden/>
              </w:rPr>
              <w:fldChar w:fldCharType="separate"/>
            </w:r>
            <w:r>
              <w:rPr>
                <w:rStyle w:val="Indexkoppeling"/>
              </w:rPr>
              <w:tab/>
              <w:t>1</w:t>
            </w:r>
            <w:r>
              <w:rPr>
                <w:rStyle w:val="Indexkoppeling"/>
              </w:rPr>
              <w:t>4</w:t>
            </w:r>
            <w:r>
              <w:rPr>
                <w:webHidden/>
              </w:rPr>
              <w:fldChar w:fldCharType="end"/>
            </w:r>
          </w:hyperlink>
        </w:p>
        <w:p w14:paraId="43DEFFE9" w14:textId="77777777" w:rsidR="0052375D" w:rsidRDefault="00BE1341">
          <w:pPr>
            <w:pStyle w:val="TOC2"/>
            <w:tabs>
              <w:tab w:val="left" w:pos="880"/>
              <w:tab w:val="right" w:leader="dot" w:pos="8303"/>
            </w:tabs>
            <w:rPr>
              <w:rFonts w:asciiTheme="minorHAnsi" w:eastAsiaTheme="minorEastAsia" w:hAnsiTheme="minorHAnsi" w:cstheme="minorBidi"/>
              <w:lang w:eastAsia="nl-NL"/>
            </w:rPr>
          </w:pPr>
          <w:hyperlink w:anchor="_Toc65239928">
            <w:r>
              <w:rPr>
                <w:rStyle w:val="Indexkoppeling"/>
                <w:webHidden/>
              </w:rPr>
              <w:t>3.3</w:t>
            </w:r>
            <w:r>
              <w:rPr>
                <w:rStyle w:val="Indexkoppeling"/>
                <w:rFonts w:asciiTheme="minorHAnsi" w:eastAsiaTheme="minorEastAsia" w:hAnsiTheme="minorHAnsi" w:cstheme="minorBidi"/>
                <w:lang w:eastAsia="nl-NL"/>
              </w:rPr>
              <w:tab/>
            </w:r>
            <w:r>
              <w:rPr>
                <w:rStyle w:val="Indexkoppeling"/>
              </w:rPr>
              <w:t>Aspecten van de ‘hoe’-vraag</w:t>
            </w:r>
            <w:r>
              <w:rPr>
                <w:webHidden/>
              </w:rPr>
              <w:fldChar w:fldCharType="begin"/>
            </w:r>
            <w:r>
              <w:rPr>
                <w:webHidden/>
              </w:rPr>
              <w:instrText>PAGEREF _Toc65239928 \h</w:instrText>
            </w:r>
            <w:r>
              <w:rPr>
                <w:webHidden/>
              </w:rPr>
            </w:r>
            <w:r>
              <w:rPr>
                <w:webHidden/>
              </w:rPr>
              <w:fldChar w:fldCharType="separate"/>
            </w:r>
            <w:r>
              <w:rPr>
                <w:rStyle w:val="Indexkoppeling"/>
              </w:rPr>
              <w:tab/>
              <w:t>15</w:t>
            </w:r>
            <w:r>
              <w:rPr>
                <w:webHidden/>
              </w:rPr>
              <w:fldChar w:fldCharType="end"/>
            </w:r>
          </w:hyperlink>
        </w:p>
        <w:p w14:paraId="5D0C71D2" w14:textId="77777777" w:rsidR="0052375D" w:rsidRDefault="00BE1341">
          <w:pPr>
            <w:pStyle w:val="TOC1"/>
            <w:rPr>
              <w:rFonts w:asciiTheme="minorHAnsi" w:eastAsiaTheme="minorEastAsia" w:hAnsiTheme="minorHAnsi" w:cstheme="minorBidi"/>
              <w:lang w:eastAsia="nl-NL"/>
            </w:rPr>
          </w:pPr>
          <w:hyperlink w:anchor="_Toc65239929">
            <w:r>
              <w:rPr>
                <w:rStyle w:val="Indexkoppeling"/>
                <w:webHidden/>
              </w:rPr>
              <w:t>4</w:t>
            </w:r>
            <w:r>
              <w:rPr>
                <w:rStyle w:val="Indexkoppeling"/>
                <w:rFonts w:asciiTheme="minorHAnsi" w:eastAsiaTheme="minorEastAsia" w:hAnsiTheme="minorHAnsi" w:cstheme="minorBidi"/>
                <w:lang w:eastAsia="nl-NL"/>
              </w:rPr>
              <w:tab/>
            </w:r>
            <w:r>
              <w:rPr>
                <w:rStyle w:val="Indexkoppeling"/>
              </w:rPr>
              <w:t>De ‘wat-vraag’: maatregelen als kern van de KRW</w:t>
            </w:r>
            <w:r>
              <w:rPr>
                <w:webHidden/>
              </w:rPr>
              <w:fldChar w:fldCharType="begin"/>
            </w:r>
            <w:r>
              <w:rPr>
                <w:webHidden/>
              </w:rPr>
              <w:instrText>PAGEREF _Toc65239929 \h</w:instrText>
            </w:r>
            <w:r>
              <w:rPr>
                <w:webHidden/>
              </w:rPr>
            </w:r>
            <w:r>
              <w:rPr>
                <w:webHidden/>
              </w:rPr>
              <w:fldChar w:fldCharType="separate"/>
            </w:r>
            <w:r>
              <w:rPr>
                <w:rStyle w:val="Indexkoppeling"/>
              </w:rPr>
              <w:tab/>
              <w:t>17</w:t>
            </w:r>
            <w:r>
              <w:rPr>
                <w:webHidden/>
              </w:rPr>
              <w:fldChar w:fldCharType="end"/>
            </w:r>
          </w:hyperlink>
        </w:p>
        <w:p w14:paraId="41777FDF" w14:textId="77777777" w:rsidR="0052375D" w:rsidRDefault="00BE1341">
          <w:pPr>
            <w:pStyle w:val="TOC1"/>
            <w:rPr>
              <w:rFonts w:asciiTheme="minorHAnsi" w:eastAsiaTheme="minorEastAsia" w:hAnsiTheme="minorHAnsi" w:cstheme="minorBidi"/>
              <w:lang w:eastAsia="nl-NL"/>
            </w:rPr>
          </w:pPr>
          <w:hyperlink w:anchor="_Toc65239930">
            <w:r>
              <w:rPr>
                <w:rStyle w:val="Indexkoppeling"/>
                <w:webHidden/>
              </w:rPr>
              <w:t>5</w:t>
            </w:r>
            <w:r>
              <w:rPr>
                <w:rStyle w:val="Indexkoppeling"/>
                <w:rFonts w:asciiTheme="minorHAnsi" w:eastAsiaTheme="minorEastAsia" w:hAnsiTheme="minorHAnsi" w:cstheme="minorBidi"/>
                <w:lang w:eastAsia="nl-NL"/>
              </w:rPr>
              <w:tab/>
            </w:r>
            <w:r>
              <w:rPr>
                <w:rStyle w:val="Indexkoppeling"/>
              </w:rPr>
              <w:t>De DPSIR-analyse en oplossingen-ruimte in samenhang</w:t>
            </w:r>
            <w:r>
              <w:rPr>
                <w:webHidden/>
              </w:rPr>
              <w:fldChar w:fldCharType="begin"/>
            </w:r>
            <w:r>
              <w:rPr>
                <w:webHidden/>
              </w:rPr>
              <w:instrText>PAGEREF _Toc65239930 \h</w:instrText>
            </w:r>
            <w:r>
              <w:rPr>
                <w:webHidden/>
              </w:rPr>
            </w:r>
            <w:r>
              <w:rPr>
                <w:webHidden/>
              </w:rPr>
              <w:fldChar w:fldCharType="separate"/>
            </w:r>
            <w:r>
              <w:rPr>
                <w:rStyle w:val="Indexkoppeling"/>
              </w:rPr>
              <w:tab/>
              <w:t>19</w:t>
            </w:r>
            <w:r>
              <w:rPr>
                <w:webHidden/>
              </w:rPr>
              <w:fldChar w:fldCharType="end"/>
            </w:r>
          </w:hyperlink>
        </w:p>
        <w:p w14:paraId="20716E26" w14:textId="77777777" w:rsidR="0052375D" w:rsidRDefault="00BE1341">
          <w:pPr>
            <w:pStyle w:val="TOC2"/>
            <w:tabs>
              <w:tab w:val="left" w:pos="880"/>
              <w:tab w:val="right" w:leader="dot" w:pos="8303"/>
            </w:tabs>
            <w:rPr>
              <w:rFonts w:asciiTheme="minorHAnsi" w:eastAsiaTheme="minorEastAsia" w:hAnsiTheme="minorHAnsi" w:cstheme="minorBidi"/>
              <w:lang w:eastAsia="nl-NL"/>
            </w:rPr>
          </w:pPr>
          <w:hyperlink w:anchor="_Toc65239931">
            <w:r>
              <w:rPr>
                <w:rStyle w:val="Indexkoppeling"/>
                <w:webHidden/>
              </w:rPr>
              <w:t>5.1</w:t>
            </w:r>
            <w:r>
              <w:rPr>
                <w:rStyle w:val="Indexkoppeling"/>
                <w:rFonts w:asciiTheme="minorHAnsi" w:eastAsiaTheme="minorEastAsia" w:hAnsiTheme="minorHAnsi" w:cstheme="minorBidi"/>
                <w:lang w:eastAsia="nl-NL"/>
              </w:rPr>
              <w:tab/>
            </w:r>
            <w:r>
              <w:rPr>
                <w:rStyle w:val="Indexkoppeling"/>
              </w:rPr>
              <w:t>De conceptuele samenhang</w:t>
            </w:r>
            <w:r>
              <w:rPr>
                <w:webHidden/>
              </w:rPr>
              <w:fldChar w:fldCharType="begin"/>
            </w:r>
            <w:r>
              <w:rPr>
                <w:webHidden/>
              </w:rPr>
              <w:instrText>PAGEREF _Toc65239931 \h</w:instrText>
            </w:r>
            <w:r>
              <w:rPr>
                <w:webHidden/>
              </w:rPr>
            </w:r>
            <w:r>
              <w:rPr>
                <w:webHidden/>
              </w:rPr>
              <w:fldChar w:fldCharType="separate"/>
            </w:r>
            <w:r>
              <w:rPr>
                <w:rStyle w:val="Indexkoppeling"/>
              </w:rPr>
              <w:tab/>
              <w:t>1</w:t>
            </w:r>
            <w:r>
              <w:rPr>
                <w:rStyle w:val="Indexkoppeling"/>
              </w:rPr>
              <w:t>9</w:t>
            </w:r>
            <w:r>
              <w:rPr>
                <w:webHidden/>
              </w:rPr>
              <w:fldChar w:fldCharType="end"/>
            </w:r>
          </w:hyperlink>
        </w:p>
        <w:p w14:paraId="3A9B5D01" w14:textId="77777777" w:rsidR="0052375D" w:rsidRDefault="00BE1341">
          <w:pPr>
            <w:pStyle w:val="TOC2"/>
            <w:tabs>
              <w:tab w:val="left" w:pos="880"/>
              <w:tab w:val="right" w:leader="dot" w:pos="8303"/>
            </w:tabs>
            <w:rPr>
              <w:rFonts w:asciiTheme="minorHAnsi" w:eastAsiaTheme="minorEastAsia" w:hAnsiTheme="minorHAnsi" w:cstheme="minorBidi"/>
              <w:lang w:eastAsia="nl-NL"/>
            </w:rPr>
          </w:pPr>
          <w:hyperlink w:anchor="_Toc65239932">
            <w:r>
              <w:rPr>
                <w:rStyle w:val="Indexkoppeling"/>
                <w:webHidden/>
              </w:rPr>
              <w:t>5.2</w:t>
            </w:r>
            <w:r>
              <w:rPr>
                <w:rStyle w:val="Indexkoppeling"/>
                <w:rFonts w:asciiTheme="minorHAnsi" w:eastAsiaTheme="minorEastAsia" w:hAnsiTheme="minorHAnsi" w:cstheme="minorBidi"/>
                <w:lang w:eastAsia="nl-NL"/>
              </w:rPr>
              <w:tab/>
            </w:r>
            <w:r>
              <w:rPr>
                <w:rStyle w:val="Indexkoppeling"/>
              </w:rPr>
              <w:t>Strategische, tactische en/of operationele maatregelen</w:t>
            </w:r>
            <w:r>
              <w:rPr>
                <w:webHidden/>
              </w:rPr>
              <w:fldChar w:fldCharType="begin"/>
            </w:r>
            <w:r>
              <w:rPr>
                <w:webHidden/>
              </w:rPr>
              <w:instrText>PAGEREF _Toc65239932 \h</w:instrText>
            </w:r>
            <w:r>
              <w:rPr>
                <w:webHidden/>
              </w:rPr>
            </w:r>
            <w:r>
              <w:rPr>
                <w:webHidden/>
              </w:rPr>
              <w:fldChar w:fldCharType="separate"/>
            </w:r>
            <w:r>
              <w:rPr>
                <w:rStyle w:val="Indexkoppeling"/>
              </w:rPr>
              <w:tab/>
              <w:t>20</w:t>
            </w:r>
            <w:r>
              <w:rPr>
                <w:webHidden/>
              </w:rPr>
              <w:fldChar w:fldCharType="end"/>
            </w:r>
          </w:hyperlink>
        </w:p>
        <w:p w14:paraId="754BC7DA" w14:textId="77777777" w:rsidR="0052375D" w:rsidRDefault="00BE1341">
          <w:pPr>
            <w:pStyle w:val="TOC2"/>
            <w:tabs>
              <w:tab w:val="left" w:pos="880"/>
              <w:tab w:val="right" w:leader="dot" w:pos="8303"/>
            </w:tabs>
            <w:rPr>
              <w:rFonts w:asciiTheme="minorHAnsi" w:eastAsiaTheme="minorEastAsia" w:hAnsiTheme="minorHAnsi" w:cstheme="minorBidi"/>
              <w:lang w:eastAsia="nl-NL"/>
            </w:rPr>
          </w:pPr>
          <w:hyperlink w:anchor="_Toc65239933">
            <w:r>
              <w:rPr>
                <w:rStyle w:val="Indexkoppeling"/>
                <w:webHidden/>
              </w:rPr>
              <w:t>5.3</w:t>
            </w:r>
            <w:r>
              <w:rPr>
                <w:rStyle w:val="Indexkoppeling"/>
                <w:rFonts w:asciiTheme="minorHAnsi" w:eastAsiaTheme="minorEastAsia" w:hAnsiTheme="minorHAnsi" w:cstheme="minorBidi"/>
                <w:lang w:eastAsia="nl-NL"/>
              </w:rPr>
              <w:tab/>
            </w:r>
            <w:r>
              <w:rPr>
                <w:rStyle w:val="Indexkoppeling"/>
              </w:rPr>
              <w:t>De praktijk</w:t>
            </w:r>
            <w:r>
              <w:rPr>
                <w:webHidden/>
              </w:rPr>
              <w:fldChar w:fldCharType="begin"/>
            </w:r>
            <w:r>
              <w:rPr>
                <w:webHidden/>
              </w:rPr>
              <w:instrText>PAGEREF _Toc65239933 \h</w:instrText>
            </w:r>
            <w:r>
              <w:rPr>
                <w:webHidden/>
              </w:rPr>
            </w:r>
            <w:r>
              <w:rPr>
                <w:webHidden/>
              </w:rPr>
              <w:fldChar w:fldCharType="separate"/>
            </w:r>
            <w:r>
              <w:rPr>
                <w:rStyle w:val="Indexkoppeling"/>
              </w:rPr>
              <w:tab/>
              <w:t>20</w:t>
            </w:r>
            <w:r>
              <w:rPr>
                <w:webHidden/>
              </w:rPr>
              <w:fldChar w:fldCharType="end"/>
            </w:r>
          </w:hyperlink>
        </w:p>
        <w:p w14:paraId="773EE3E3" w14:textId="77777777" w:rsidR="0052375D" w:rsidRDefault="00BE1341">
          <w:pPr>
            <w:pStyle w:val="TOC1"/>
            <w:rPr>
              <w:rFonts w:asciiTheme="minorHAnsi" w:eastAsiaTheme="minorEastAsia" w:hAnsiTheme="minorHAnsi" w:cstheme="minorBidi"/>
              <w:lang w:eastAsia="nl-NL"/>
            </w:rPr>
          </w:pPr>
          <w:hyperlink w:anchor="_Toc65239934">
            <w:r>
              <w:rPr>
                <w:rStyle w:val="Indexkoppeling"/>
                <w:webHidden/>
              </w:rPr>
              <w:t>6</w:t>
            </w:r>
            <w:r>
              <w:rPr>
                <w:rStyle w:val="Indexkoppeling"/>
                <w:rFonts w:asciiTheme="minorHAnsi" w:eastAsiaTheme="minorEastAsia" w:hAnsiTheme="minorHAnsi" w:cstheme="minorBidi"/>
                <w:lang w:eastAsia="nl-NL"/>
              </w:rPr>
              <w:tab/>
            </w:r>
            <w:r>
              <w:rPr>
                <w:rStyle w:val="Indexkoppeling"/>
              </w:rPr>
              <w:t>Conclusie</w:t>
            </w:r>
            <w:r>
              <w:rPr>
                <w:webHidden/>
              </w:rPr>
              <w:fldChar w:fldCharType="begin"/>
            </w:r>
            <w:r>
              <w:rPr>
                <w:webHidden/>
              </w:rPr>
              <w:instrText>PAGEREF _Toc65239934 \h</w:instrText>
            </w:r>
            <w:r>
              <w:rPr>
                <w:webHidden/>
              </w:rPr>
            </w:r>
            <w:r>
              <w:rPr>
                <w:webHidden/>
              </w:rPr>
              <w:fldChar w:fldCharType="separate"/>
            </w:r>
            <w:r>
              <w:rPr>
                <w:rStyle w:val="Indexkoppeling"/>
              </w:rPr>
              <w:tab/>
              <w:t>21</w:t>
            </w:r>
            <w:r>
              <w:rPr>
                <w:webHidden/>
              </w:rPr>
              <w:fldChar w:fldCharType="end"/>
            </w:r>
          </w:hyperlink>
        </w:p>
        <w:p w14:paraId="42B978AC" w14:textId="77777777" w:rsidR="0052375D" w:rsidRDefault="00BE1341">
          <w:pPr>
            <w:pStyle w:val="TOC1"/>
            <w:rPr>
              <w:rFonts w:asciiTheme="minorHAnsi" w:eastAsiaTheme="minorEastAsia" w:hAnsiTheme="minorHAnsi" w:cstheme="minorBidi"/>
              <w:lang w:eastAsia="nl-NL"/>
            </w:rPr>
          </w:pPr>
          <w:hyperlink w:anchor="_Toc65239935">
            <w:r>
              <w:rPr>
                <w:webHidden/>
              </w:rPr>
              <w:fldChar w:fldCharType="begin"/>
            </w:r>
            <w:r>
              <w:rPr>
                <w:webHidden/>
              </w:rPr>
              <w:instrText>PAGEREF _Toc65239935 \h</w:instrText>
            </w:r>
            <w:r>
              <w:rPr>
                <w:webHidden/>
              </w:rPr>
            </w:r>
            <w:r>
              <w:rPr>
                <w:webHidden/>
              </w:rPr>
              <w:fldChar w:fldCharType="separate"/>
            </w:r>
            <w:r>
              <w:rPr>
                <w:rStyle w:val="Indexkoppeling"/>
                <w:webHidden/>
              </w:rPr>
              <w:t>Verantwoording</w:t>
            </w:r>
            <w:r>
              <w:rPr>
                <w:rStyle w:val="Indexkoppeling"/>
                <w:webHidden/>
              </w:rPr>
              <w:tab/>
              <w:t>22</w:t>
            </w:r>
            <w:r>
              <w:rPr>
                <w:webHidden/>
              </w:rPr>
              <w:fldChar w:fldCharType="end"/>
            </w:r>
          </w:hyperlink>
        </w:p>
        <w:p w14:paraId="6057260A" w14:textId="77777777" w:rsidR="0052375D" w:rsidRDefault="00BE1341">
          <w:pPr>
            <w:pStyle w:val="TOC1"/>
            <w:rPr>
              <w:rFonts w:asciiTheme="minorHAnsi" w:eastAsiaTheme="minorEastAsia" w:hAnsiTheme="minorHAnsi" w:cstheme="minorBidi"/>
              <w:lang w:eastAsia="nl-NL"/>
            </w:rPr>
          </w:pPr>
          <w:hyperlink w:anchor="_Toc65239936">
            <w:r>
              <w:rPr>
                <w:webHidden/>
              </w:rPr>
              <w:fldChar w:fldCharType="begin"/>
            </w:r>
            <w:r>
              <w:rPr>
                <w:webHidden/>
              </w:rPr>
              <w:instrText>PAGEREF _Toc65239936 \h</w:instrText>
            </w:r>
            <w:r>
              <w:rPr>
                <w:webHidden/>
              </w:rPr>
            </w:r>
            <w:r>
              <w:rPr>
                <w:webHidden/>
              </w:rPr>
              <w:fldChar w:fldCharType="separate"/>
            </w:r>
            <w:r>
              <w:rPr>
                <w:rStyle w:val="Indexkoppeling"/>
                <w:webHidden/>
              </w:rPr>
              <w:t>Disclaimer</w:t>
            </w:r>
            <w:r>
              <w:rPr>
                <w:rStyle w:val="Indexkoppeling"/>
                <w:webHidden/>
              </w:rPr>
              <w:tab/>
              <w:t>22</w:t>
            </w:r>
            <w:r>
              <w:rPr>
                <w:webHidden/>
              </w:rPr>
              <w:fldChar w:fldCharType="end"/>
            </w:r>
          </w:hyperlink>
        </w:p>
        <w:p w14:paraId="0A5B3962" w14:textId="77777777" w:rsidR="0052375D" w:rsidRDefault="00BE1341">
          <w:pPr>
            <w:pStyle w:val="TOC1"/>
            <w:rPr>
              <w:rFonts w:asciiTheme="minorHAnsi" w:eastAsiaTheme="minorEastAsia" w:hAnsiTheme="minorHAnsi" w:cstheme="minorBidi"/>
              <w:lang w:eastAsia="nl-NL"/>
            </w:rPr>
          </w:pPr>
          <w:hyperlink w:anchor="_Toc65239937">
            <w:r>
              <w:rPr>
                <w:rStyle w:val="Indexkoppeling"/>
                <w:webHidden/>
                <w:lang w:val="en-US"/>
              </w:rPr>
              <w:t>Referenties</w:t>
            </w:r>
            <w:r>
              <w:rPr>
                <w:webHidden/>
              </w:rPr>
              <w:fldChar w:fldCharType="begin"/>
            </w:r>
            <w:r>
              <w:rPr>
                <w:webHidden/>
              </w:rPr>
              <w:instrText>PAGEREF _Toc65239937 \h</w:instrText>
            </w:r>
            <w:r>
              <w:rPr>
                <w:webHidden/>
              </w:rPr>
            </w:r>
            <w:r>
              <w:rPr>
                <w:webHidden/>
              </w:rPr>
              <w:fldChar w:fldCharType="separate"/>
            </w:r>
            <w:r>
              <w:rPr>
                <w:rStyle w:val="Indexkoppeling"/>
              </w:rPr>
              <w:tab/>
              <w:t>22</w:t>
            </w:r>
            <w:r>
              <w:rPr>
                <w:webHidden/>
              </w:rPr>
              <w:fldChar w:fldCharType="end"/>
            </w:r>
          </w:hyperlink>
          <w:r>
            <w:rPr>
              <w:rStyle w:val="Indexkoppeling"/>
            </w:rPr>
            <w:fldChar w:fldCharType="end"/>
          </w:r>
        </w:p>
        <w:p w14:paraId="68B51FB8" w14:textId="77777777" w:rsidR="0052375D" w:rsidRDefault="00BE1341">
          <w:pPr>
            <w:sectPr w:rsidR="0052375D">
              <w:headerReference w:type="default" r:id="rId22"/>
              <w:footerReference w:type="default" r:id="rId23"/>
              <w:pgSz w:w="11906" w:h="16838"/>
              <w:pgMar w:top="1440" w:right="1797" w:bottom="1440" w:left="1797" w:header="709" w:footer="709" w:gutter="0"/>
              <w:cols w:space="708"/>
              <w:formProt w:val="0"/>
              <w:docGrid w:linePitch="360"/>
            </w:sectPr>
          </w:pPr>
        </w:p>
      </w:sdtContent>
    </w:sdt>
    <w:p w14:paraId="078EBBC0" w14:textId="77777777" w:rsidR="0052375D" w:rsidRDefault="00BE1341">
      <w:pPr>
        <w:pStyle w:val="Title"/>
        <w:rPr>
          <w:sz w:val="22"/>
          <w:szCs w:val="22"/>
        </w:rPr>
      </w:pPr>
      <w:bookmarkStart w:id="6" w:name="_Toc65239920"/>
      <w:r>
        <w:lastRenderedPageBreak/>
        <w:t>Begrippenlijst</w:t>
      </w:r>
      <w:bookmarkEnd w:id="6"/>
    </w:p>
    <w:p w14:paraId="09C5696E" w14:textId="77777777" w:rsidR="0052375D" w:rsidRDefault="00BE1341">
      <w:r>
        <w:rPr>
          <w:highlight w:val="yellow"/>
        </w:rPr>
        <w:t>@@@Deze nog aanvullen en definities geven</w:t>
      </w:r>
    </w:p>
    <w:p w14:paraId="756A48AC" w14:textId="77777777" w:rsidR="0052375D" w:rsidRDefault="00BE1341">
      <w:pPr>
        <w:numPr>
          <w:ilvl w:val="0"/>
          <w:numId w:val="3"/>
        </w:numPr>
      </w:pPr>
      <w:r>
        <w:t>Biologische toestand: @@@</w:t>
      </w:r>
    </w:p>
    <w:p w14:paraId="0972D2AB" w14:textId="77777777" w:rsidR="0052375D" w:rsidRDefault="00BE1341">
      <w:pPr>
        <w:numPr>
          <w:ilvl w:val="0"/>
          <w:numId w:val="3"/>
        </w:numPr>
      </w:pPr>
      <w:r>
        <w:t>Sleutel Factor Toxiciteit: @@@</w:t>
      </w:r>
    </w:p>
    <w:p w14:paraId="1508980E" w14:textId="77777777" w:rsidR="0052375D" w:rsidRDefault="00BE1341">
      <w:pPr>
        <w:numPr>
          <w:ilvl w:val="0"/>
          <w:numId w:val="3"/>
        </w:numPr>
      </w:pPr>
      <w:r>
        <w:t>Opkomende stoffen: @@@</w:t>
      </w:r>
    </w:p>
    <w:p w14:paraId="05BE11D4" w14:textId="77777777" w:rsidR="0052375D" w:rsidRDefault="00BE1341">
      <w:pPr>
        <w:numPr>
          <w:ilvl w:val="0"/>
          <w:numId w:val="3"/>
        </w:numPr>
        <w:sectPr w:rsidR="0052375D">
          <w:headerReference w:type="default" r:id="rId24"/>
          <w:footerReference w:type="default" r:id="rId25"/>
          <w:pgSz w:w="11906" w:h="16838"/>
          <w:pgMar w:top="1418" w:right="1418" w:bottom="1418" w:left="1418" w:header="709" w:footer="0" w:gutter="0"/>
          <w:cols w:space="708"/>
          <w:formProt w:val="0"/>
          <w:docGrid w:linePitch="360"/>
        </w:sectPr>
      </w:pPr>
      <w:r>
        <w:t>Zuiveringsinspanning: @@@</w:t>
      </w:r>
    </w:p>
    <w:p w14:paraId="67BEA317" w14:textId="77777777" w:rsidR="0052375D" w:rsidRDefault="00BE1341">
      <w:pPr>
        <w:pStyle w:val="Title"/>
        <w:rPr>
          <w:sz w:val="22"/>
          <w:szCs w:val="22"/>
        </w:rPr>
      </w:pPr>
      <w:bookmarkStart w:id="7" w:name="_Toc65239921"/>
      <w:r>
        <w:lastRenderedPageBreak/>
        <w:t>Samenvatting</w:t>
      </w:r>
      <w:bookmarkEnd w:id="7"/>
    </w:p>
    <w:p w14:paraId="1783A896" w14:textId="77777777" w:rsidR="0052375D" w:rsidRDefault="00BE1341">
      <w:r>
        <w:t>Deze Notitie gaat over maatregelen die in het kader van de Kad</w:t>
      </w:r>
      <w:r>
        <w:t>er Richtlijn Water (KRW) genomen moeten worden als er sprake is van een (dreigende) achteruitgang van de waterkwaliteit. De Notitie handelt daarbij specifiek over chemische verontreiniging. Chemische verontreiniging is aanwezig, als een stof, of een mengse</w:t>
      </w:r>
      <w:r>
        <w:t>l van stoffen, leidt tot nadelige effecten op mens en/of milieu. Omdat het probleem van chemische verontreiniging handelt over aantasting van de waterkwaliteit met potentieel meer dan 170.000 stoffen en hun mengsels, in allerlei sterktes en mengsel-samenst</w:t>
      </w:r>
      <w:r>
        <w:t>ellingen, is er geen sprake van een eenvoudig probleem met een eenvoudige set aan maatregelen. Deze Notitie beschrijft dan ook een aantal belangrijke factoren waar waterbeheerders rekening mee kunnen houden bij het voorkómen of terugdringen van chemische v</w:t>
      </w:r>
      <w:r>
        <w:t>erontreinigingen. Bij deze Notitie hoort een wetenschappelijk achtergrond-document dat afgeleid is uit het Europese SOLUTIONS-project. Bij de Notitie hoort ook een opzoektabel. In de opzoektabel zijn bestaande maatregelen samengebracht, als inspiratie voor</w:t>
      </w:r>
      <w:r>
        <w:t xml:space="preserve"> waterbeheerders die met verontreiniging geconfronteerd worden. </w:t>
      </w:r>
    </w:p>
    <w:p w14:paraId="30E7464E" w14:textId="77777777" w:rsidR="0052375D" w:rsidRDefault="0052375D"/>
    <w:p w14:paraId="3380E093" w14:textId="77777777" w:rsidR="0052375D" w:rsidRDefault="00BE1341">
      <w:pPr>
        <w:sectPr w:rsidR="0052375D">
          <w:headerReference w:type="default" r:id="rId26"/>
          <w:footerReference w:type="default" r:id="rId27"/>
          <w:pgSz w:w="11906" w:h="16838"/>
          <w:pgMar w:top="1418" w:right="1418" w:bottom="1418" w:left="1418" w:header="709" w:footer="0" w:gutter="0"/>
          <w:cols w:space="708"/>
          <w:formProt w:val="0"/>
          <w:docGrid w:linePitch="360"/>
        </w:sectPr>
      </w:pPr>
      <w:r>
        <w:t xml:space="preserve">Noot: omdat de sleutelfactor toxiciteit geactualiseerd wordt, en ook de kennis voor deze </w:t>
      </w:r>
      <w:r>
        <w:t>Notitie toeneemt, kan deze Notitie in de toekomst geactualiseerd/verbeterd worden.</w:t>
      </w:r>
    </w:p>
    <w:p w14:paraId="723430C1" w14:textId="77777777" w:rsidR="0052375D" w:rsidRDefault="00BE1341">
      <w:pPr>
        <w:pStyle w:val="Title"/>
        <w:rPr>
          <w:sz w:val="22"/>
          <w:szCs w:val="22"/>
        </w:rPr>
      </w:pPr>
      <w:bookmarkStart w:id="8" w:name="_Toc65239922"/>
      <w:r>
        <w:lastRenderedPageBreak/>
        <w:t>Gerelateerde documenten</w:t>
      </w:r>
      <w:bookmarkEnd w:id="8"/>
    </w:p>
    <w:p w14:paraId="573F55A5" w14:textId="77777777" w:rsidR="0052375D" w:rsidRDefault="00BE1341">
      <w:r>
        <w:rPr>
          <w:highlight w:val="yellow"/>
        </w:rPr>
        <w:t>@@@actualiseren, als nodig</w:t>
      </w:r>
    </w:p>
    <w:p w14:paraId="33C58CC2" w14:textId="77777777" w:rsidR="0052375D" w:rsidRDefault="00BE1341">
      <w:r>
        <w:t>De sleutelfactor toxiciteit bestaat uit een aantal onderdelen, aangeduid als modules. De Startmodule wordt ingezet bij aan</w:t>
      </w:r>
      <w:r>
        <w:t>vang van een watersysteemanalyse en is bedoeld om de waterbeheerders te assisteren bij het beoordelen van de vragen of en hoe de sleutelfactor toxiciteit moet worden ingezet.</w:t>
      </w:r>
    </w:p>
    <w:p w14:paraId="3CB5C4F2" w14:textId="77777777" w:rsidR="0052375D" w:rsidRDefault="0052375D"/>
    <w:p w14:paraId="245142EB" w14:textId="77777777" w:rsidR="0052375D" w:rsidRDefault="00BE1341">
      <w:r>
        <w:t>Deze Notitie geeft binnen een antwoord op de vraag hoe waterbeheerders de effect</w:t>
      </w:r>
      <w:r>
        <w:t>en van drukfactoren in watersystemen kunnen diagnosticeren. Om deze vraag te kunnen beantwoorden bestaat sleutelfactor Toxiciteit uit een aantal onderdelen. Wat betreft de Startmodule zijn die onderdelen::</w:t>
      </w:r>
    </w:p>
    <w:p w14:paraId="5C810464" w14:textId="77777777" w:rsidR="0052375D" w:rsidRDefault="00BE1341">
      <w:pPr>
        <w:numPr>
          <w:ilvl w:val="0"/>
          <w:numId w:val="3"/>
        </w:numPr>
      </w:pPr>
      <w:r>
        <w:t>Een antwoord op de vraag of chemische verontreinig</w:t>
      </w:r>
      <w:r>
        <w:t>ingen effecten hebben (met als antwoord: ja; @@@</w:t>
      </w:r>
    </w:p>
    <w:p w14:paraId="5C92540E" w14:textId="77777777" w:rsidR="0052375D" w:rsidRDefault="00BE1341">
      <w:pPr>
        <w:numPr>
          <w:ilvl w:val="0"/>
          <w:numId w:val="3"/>
        </w:numPr>
      </w:pPr>
      <w:r>
        <w:t>Het aanbieden van een helder beoordelingskader voor drukfactoren en effecten. Dat bestaat uit de DPSIR-causale analyse</w:t>
      </w:r>
      <w:r>
        <w:rPr>
          <w:rStyle w:val="Voetnootanker"/>
          <w:sz w:val="18"/>
        </w:rPr>
        <w:footnoteReference w:id="3"/>
      </w:r>
      <w:r>
        <w:t xml:space="preserve">, die beschreven staat in een andere KIWK-Tox Notitie  </w:t>
      </w:r>
      <w:r>
        <w:fldChar w:fldCharType="begin"/>
      </w:r>
      <w:r>
        <w:instrText>ADDIN EN.CITE &lt;EndNote&gt;&lt;Cite&gt;&lt;Aut</w:instrText>
      </w:r>
      <w:r>
        <w:instrText>hor&gt;KIWK-Tox WP2&lt;/Author&gt;&lt;Year&gt;2020&lt;/Year&gt;&lt;RecNum&gt;10630&lt;/RecNum&gt;&lt;DisplayText&gt;(KIWK-Tox WP2, 2020a)&lt;/DisplayText&gt;&lt;record&gt;&lt;rec-number&gt;10630&lt;/rec-number&gt;&lt;foreign-keys&gt;&lt;key app="EN" db-id="9vew0e5rcppvxrezet3vref0tpxfwzzf9f0s" timestamp="1583327639"&gt;10630&lt;/key</w:instrText>
      </w:r>
      <w:r>
        <w:instrText>&gt;&lt;/foreign-keys&gt;&lt;ref-type name="Report"&gt;27&lt;/ref-type&gt;&lt;contributors&gt;&lt;authors&gt;&lt;author&gt;KIWK-Tox WP2,&lt;/author&gt;&lt;/authors&gt;&lt;/contributors&gt;&lt;titles&gt;&lt;title&gt;Notitie Kennis Impuls WaterKwaliteit - Toxiciteit: &amp;quot; Diagnose en communicatie van ESFT-resultaten&amp;quot;&lt;/</w:instrText>
      </w:r>
      <w:r>
        <w:instrText>title&gt;&lt;/titles&gt;&lt;dates&gt;&lt;year&gt;2020&lt;/year&gt;&lt;/dates&gt;&lt;publisher&gt;STOWA, Amsersfoort&lt;/publisher&gt;&lt;urls&gt;&lt;/urls&gt;&lt;/record&gt;&lt;/Cite&gt;&lt;/EndNote&gt;</w:instrText>
      </w:r>
      <w:r>
        <w:fldChar w:fldCharType="separate"/>
      </w:r>
      <w:r>
        <w:t>(KIWK-Tox WP2, 2020a</w:t>
      </w:r>
      <w:r>
        <w:fldChar w:fldCharType="end"/>
      </w:r>
      <w:r>
        <w:t>)</w:t>
      </w:r>
    </w:p>
    <w:p w14:paraId="74AF9438" w14:textId="77777777" w:rsidR="0052375D" w:rsidRDefault="00BE1341">
      <w:pPr>
        <w:numPr>
          <w:ilvl w:val="0"/>
          <w:numId w:val="3"/>
        </w:numPr>
      </w:pPr>
      <w:r>
        <w:t xml:space="preserve">Een beschrijving van de mogelijkheden voor het nemen van maatregelen tegen chemische verontreiniging </w:t>
      </w:r>
      <w:r>
        <w:fldChar w:fldCharType="begin"/>
      </w:r>
      <w:r>
        <w:instrText>ADD</w:instrText>
      </w:r>
      <w:r>
        <w:instrText>IN EN.CITE &lt;EndNote&gt;&lt;Cite&gt;&lt;Author&gt;KIWK-Tox WP2&lt;/Author&gt;&lt;Year&gt;2020&lt;/Year&gt;&lt;RecNum&gt;10674&lt;/RecNum&gt;&lt;DisplayText&gt;(KIWK-Tox WP2, 2020b)&lt;/DisplayText&gt;&lt;record&gt;&lt;rec-number&gt;10674&lt;/rec-number&gt;&lt;foreign-keys&gt;&lt;key app="EN" db-id="9vew0e5rcppvxrezet3vref0tpxfwzzf9f0s" tim</w:instrText>
      </w:r>
      <w:r>
        <w:instrText>estamp="1585650351"&gt;10674&lt;/key&gt;&lt;/foreign-keys&gt;&lt;ref-type name="Report"&gt;27&lt;/ref-type&gt;&lt;contributors&gt;&lt;authors&gt;&lt;author&gt;KIWK-Tox WP2,&lt;/author&gt;&lt;/authors&gt;&lt;/contributors&gt;&lt;titles&gt;&lt;title&gt;Notitie Kennis Impuls WaterKwaliteit - Toxiciteit: &amp;quot;Startmodule - strategie</w:instrText>
      </w:r>
      <w:r>
        <w:instrText xml:space="preserve"> voor het afleiden van maatregelen&amp;quot;&lt;/title&gt;&lt;/titles&gt;&lt;dates&gt;&lt;year&gt;2020&lt;/year&gt;&lt;/dates&gt;&lt;publisher&gt;STOWA, Amsersfoort&lt;/publisher&gt;&lt;urls&gt;&lt;/urls&gt;&lt;/record&gt;&lt;/Cite&gt;&lt;/EndNote&gt;</w:instrText>
      </w:r>
      <w:r>
        <w:fldChar w:fldCharType="separate"/>
      </w:r>
      <w:r>
        <w:t>(KIWK-Tox WP2, 2020b</w:t>
      </w:r>
      <w:r>
        <w:fldChar w:fldCharType="end"/>
      </w:r>
      <w:r>
        <w:t>), bestaande uit een methodiek en een opzoektabel met maatregele</w:t>
      </w:r>
      <w:r>
        <w:t>n die andere waterbeheerders gerapporteerd hebben. Beide dienen ter inspiratie om het complexe probleem van chemische verontreiniging aan te kunnen pakken.</w:t>
      </w:r>
    </w:p>
    <w:p w14:paraId="0ED62135" w14:textId="77777777" w:rsidR="0052375D" w:rsidRDefault="00BE1341">
      <w:r>
        <w:t>Verder kan de waterbeheerder via monitoring additionele gegvens verzamelen voor de diagnose, namelij</w:t>
      </w:r>
      <w:r>
        <w:t>k via:</w:t>
      </w:r>
    </w:p>
    <w:p w14:paraId="47C4A148" w14:textId="77777777" w:rsidR="0052375D" w:rsidRDefault="00BE1341">
      <w:pPr>
        <w:numPr>
          <w:ilvl w:val="0"/>
          <w:numId w:val="3"/>
        </w:numPr>
      </w:pPr>
      <w:r>
        <w:t xml:space="preserve">Diagnose van de aard en omvang van de chemische verontreiniging met het Chemie-spoor </w:t>
      </w:r>
      <w:r>
        <w:fldChar w:fldCharType="begin"/>
      </w:r>
      <w:r>
        <w:instrText>ADDIN EN.CITE &lt;EndNote&gt;&lt;Cite&gt;&lt;Author&gt;KIWK-Tox WP3&lt;/Author&gt;&lt;Year&gt;2020&lt;/Year&gt;&lt;RecNum&gt;10650&lt;/RecNum&gt;&lt;DisplayText&gt;(KIWK-Tox WP3, 2020)&lt;/DisplayText&gt;&lt;record&gt;&lt;rec-number&gt;</w:instrText>
      </w:r>
      <w:r>
        <w:instrText>10650&lt;/rec-number&gt;&lt;foreign-keys&gt;&lt;key app="EN" db-id="9vew0e5rcppvxrezet3vref0tpxfwzzf9f0s" timestamp="1584443492"&gt;10650&lt;/key&gt;&lt;/foreign-keys&gt;&lt;ref-type name="Report"&gt;27&lt;/ref-type&gt;&lt;contributors&gt;&lt;authors&gt;&lt;author&gt;KIWK-Tox WP3,&lt;/author&gt;&lt;/authors&gt;&lt;/contributors&gt;&lt;</w:instrText>
      </w:r>
      <w:r>
        <w:instrText>titles&gt;&lt;title&gt;Notitie Kennis Impuls WaterKwaliteit - Toxiciteit:&amp;quot;Chemie-spoor&amp;quot; ESFT2&lt;/title&gt;&lt;/titles&gt;&lt;dates&gt;&lt;year&gt;2020&lt;/year&gt;&lt;/dates&gt;&lt;publisher&gt;STOWA, Amsersfoort&lt;/publisher&gt;&lt;urls&gt;&lt;/urls&gt;&lt;/record&gt;&lt;/Cite&gt;&lt;/EndNote&gt;</w:instrText>
      </w:r>
      <w:r>
        <w:fldChar w:fldCharType="separate"/>
      </w:r>
      <w:r>
        <w:t>(KIWK-Tox WP3, 2020</w:t>
      </w:r>
      <w:r>
        <w:fldChar w:fldCharType="end"/>
      </w:r>
      <w:r>
        <w:t>)</w:t>
      </w:r>
    </w:p>
    <w:p w14:paraId="5D6C1561" w14:textId="77777777" w:rsidR="0052375D" w:rsidRDefault="00BE1341">
      <w:pPr>
        <w:numPr>
          <w:ilvl w:val="0"/>
          <w:numId w:val="3"/>
        </w:numPr>
      </w:pPr>
      <w:r>
        <w:t xml:space="preserve">Idem met </w:t>
      </w:r>
      <w:r>
        <w:t xml:space="preserve">het Toxicologie-spoor </w:t>
      </w:r>
      <w:r>
        <w:fldChar w:fldCharType="begin"/>
      </w:r>
      <w:r>
        <w:instrText>ADDIN EN.CITE &lt;EndNote&gt;&lt;Cite&gt;&lt;Author&gt;KIWK-Tox WP4&lt;/Author&gt;&lt;Year&gt;2020&lt;/Year&gt;&lt;RecNum&gt;10670&lt;/RecNum&gt;&lt;DisplayText&gt;(KIWK-Tox WP4, 2020)&lt;/DisplayText&gt;&lt;record&gt;&lt;rec-number&gt;10670&lt;/rec-number&gt;&lt;foreign-keys&gt;&lt;key app="EN" db-id="9vew0e5rcppvxreze</w:instrText>
      </w:r>
      <w:r>
        <w:instrText>t3vref0tpxfwzzf9f0s" timestamp="1585569244"&gt;10670&lt;/key&gt;&lt;/foreign-keys&gt;&lt;ref-type name="Report"&gt;27&lt;/ref-type&gt;&lt;contributors&gt;&lt;authors&gt;&lt;author&gt;KIWK-Tox WP4,&lt;/author&gt;&lt;/authors&gt;&lt;/contributors&gt;&lt;titles&gt;&lt;title&gt;Notitie Kennis Impuls WaterKwaliteit - Toxiciteit: &amp;quot</w:instrText>
      </w:r>
      <w:r>
        <w:instrText>;Toxicologie-spoor&amp;quot; ESFT2&lt;/title&gt;&lt;/titles&gt;&lt;dates&gt;&lt;year&gt;2020&lt;/year&gt;&lt;/dates&gt;&lt;publisher&gt;STOWA, Amsersfoort&lt;/publisher&gt;&lt;urls&gt;&lt;/urls&gt;&lt;/record&gt;&lt;/Cite&gt;&lt;/EndNote&gt;</w:instrText>
      </w:r>
      <w:r>
        <w:fldChar w:fldCharType="separate"/>
      </w:r>
      <w:r>
        <w:t>(KIWK-Tox WP4, 2020</w:t>
      </w:r>
      <w:r>
        <w:fldChar w:fldCharType="end"/>
      </w:r>
      <w:r>
        <w:t>)</w:t>
      </w:r>
    </w:p>
    <w:p w14:paraId="167D1C5B" w14:textId="77777777" w:rsidR="0052375D" w:rsidRDefault="00BE1341">
      <w:r>
        <w:t xml:space="preserve">De interpretatie van de gegevens van beide sporen wordt ondersteund door het classificeren van de mate van chemische verontreiniging in vijf klassen, die gecalibreerd zijn op daadwerkelijke effecten en de ecologische toestandsklassen </w:t>
      </w:r>
      <w:r>
        <w:fldChar w:fldCharType="begin"/>
      </w:r>
      <w:r>
        <w:instrText>ADDIN EN.CITE &lt;EndNote</w:instrText>
      </w:r>
      <w:r>
        <w:instrText>&gt;&lt;Cite&gt;&lt;Author&gt;KIWK-Tox WP5&lt;/Author&gt;&lt;Year&gt;2020&lt;/Year&gt;&lt;RecNum&gt;10651&lt;/RecNum&gt;&lt;DisplayText&gt;(KIWK-Tox WP5, 2020)&lt;/DisplayText&gt;&lt;record&gt;&lt;rec-number&gt;10651&lt;/rec-number&gt;&lt;foreign-keys&gt;&lt;key app="EN" db-id="9vew0e5rcppvxrezet3vref0tpxfwzzf9f0s" timestamp="1584443584"&gt;</w:instrText>
      </w:r>
      <w:r>
        <w:instrText>10651&lt;/key&gt;&lt;/foreign-keys&gt;&lt;ref-type name="Report"&gt;27&lt;/ref-type&gt;&lt;contributors&gt;&lt;authors&gt;&lt;author&gt;KIWK-Tox WP5,&lt;/author&gt;&lt;/authors&gt;&lt;/contributors&gt;&lt;titles&gt;&lt;title&gt;Notitie Notitie Kennis Impuls WaterKwaliteit - Toxiciteit: &amp;quot;Calibratie en interpretatie&amp;quot;WP</w:instrText>
      </w:r>
      <w:r>
        <w:instrText>5@@@&lt;/title&gt;&lt;/titles&gt;&lt;dates&gt;&lt;year&gt;2020&lt;/year&gt;&lt;/dates&gt;&lt;publisher&gt;STOWA, Amsersfoort&lt;/publisher&gt;&lt;urls&gt;&lt;/urls&gt;&lt;/record&gt;&lt;/Cite&gt;&lt;/EndNote&gt;</w:instrText>
      </w:r>
      <w:r>
        <w:fldChar w:fldCharType="separate"/>
      </w:r>
      <w:r>
        <w:t>(KIWK-Tox WP5, 2020</w:t>
      </w:r>
      <w:r>
        <w:fldChar w:fldCharType="end"/>
      </w:r>
      <w:r>
        <w:t>).</w:t>
      </w:r>
    </w:p>
    <w:p w14:paraId="58B59B09" w14:textId="77777777" w:rsidR="0052375D" w:rsidRDefault="0052375D"/>
    <w:p w14:paraId="4A098927" w14:textId="77777777" w:rsidR="0052375D" w:rsidRDefault="00BE1341">
      <w:r>
        <w:t>De recente kennis die in het EU-project SOLUTIONS verzameld is wordt voor waterbeheerders en bele</w:t>
      </w:r>
      <w:r>
        <w:t xml:space="preserve">idstoepassingen samengevat in een serie </w:t>
      </w:r>
      <w:r>
        <w:rPr>
          <w:i/>
        </w:rPr>
        <w:t>Policy Briefs</w:t>
      </w:r>
      <w:r>
        <w:t xml:space="preserve">, beschikbaar via de link: </w:t>
      </w:r>
      <w:hyperlink r:id="rId28">
        <w:r>
          <w:rPr>
            <w:rStyle w:val="Internetkoppeling"/>
            <w:sz w:val="18"/>
          </w:rPr>
          <w:t>https://www.springeropen.com/collections/solutions</w:t>
        </w:r>
      </w:hyperlink>
      <w:r>
        <w:t xml:space="preserve">. </w:t>
      </w:r>
    </w:p>
    <w:p w14:paraId="6ADF71AF" w14:textId="77777777" w:rsidR="0052375D" w:rsidRDefault="0052375D"/>
    <w:p w14:paraId="19194295" w14:textId="77777777" w:rsidR="0052375D" w:rsidRDefault="0052375D"/>
    <w:p w14:paraId="791C1947" w14:textId="77777777" w:rsidR="0052375D" w:rsidRDefault="00BE1341">
      <w:pPr>
        <w:pStyle w:val="Heading1"/>
        <w:numPr>
          <w:ilvl w:val="0"/>
          <w:numId w:val="2"/>
        </w:numPr>
        <w:rPr>
          <w:sz w:val="22"/>
          <w:szCs w:val="22"/>
        </w:rPr>
      </w:pPr>
      <w:bookmarkStart w:id="9" w:name="_Toc65239923"/>
      <w:r>
        <w:lastRenderedPageBreak/>
        <w:t>Inleiding</w:t>
      </w:r>
      <w:bookmarkEnd w:id="9"/>
    </w:p>
    <w:p w14:paraId="4602C01D" w14:textId="77777777" w:rsidR="0052375D" w:rsidRDefault="00BE1341">
      <w:r>
        <w:t>Deze Notitie  gaat over maatregelen die w</w:t>
      </w:r>
      <w:r>
        <w:t xml:space="preserve">aterbeheerders kunnen afleiden en invoeren voor de drukfactor ‘chemische verontreiniging’. </w:t>
      </w:r>
    </w:p>
    <w:p w14:paraId="7290F42B" w14:textId="77777777" w:rsidR="0052375D" w:rsidRDefault="0052375D"/>
    <w:p w14:paraId="3DF41B72" w14:textId="77777777" w:rsidR="0052375D" w:rsidRDefault="00BE1341">
      <w:r>
        <w:t>De KRW is voor de aanpak van drukfactoren ‘actiegericht’. Als er sprake is van een dreigende of actuele aanwezigheid van drukfactoren, en daardoor (dreigende) acht</w:t>
      </w:r>
      <w:r>
        <w:t>eruitgang van de waterkwaliteit, moet de waterbeheerder maatregelen treffen. Dit geldt ook voor de grote hoeveelheid verontreinigende stoffen die aanwezig zijn of in het water terecht kunnen komen. De waterbeheerder wordt dus voor het probleem gesteld om m</w:t>
      </w:r>
      <w:r>
        <w:t xml:space="preserve">aatregelen af te leiden voor potentieel elk mogelijk mengsel van de meer dan 170.000 stoffen die in de Europese Unie in de handel zijn, en die dus door lokale emissies en/of transport vanuit bovenstroomse bronnen in een waterlichaam terecht kunnen komen. </w:t>
      </w:r>
    </w:p>
    <w:p w14:paraId="58CDA7C6" w14:textId="77777777" w:rsidR="0052375D" w:rsidRDefault="0052375D"/>
    <w:p w14:paraId="64AA3C15" w14:textId="77777777" w:rsidR="0052375D" w:rsidRDefault="00BE1341">
      <w:r>
        <w:t>De KRW is daarom ook ‘systeemgericht’: uitgangspunt voor bescherming en herstel van de waterkwaliteit zijn dus niet (bijvoorbeeld) landsgrenzen, maar de eigenschappen van het hydrologische systeem. Elk schaalniveau (het Europese continent, de stroomgebied</w:t>
      </w:r>
      <w:r>
        <w:t>en van de grote rivieren, de deelstroomgebieden, enz. tot aan de Nederlandse waterschappen) heeft daarbij een eigen verantwoordelijkheid. En vaak ook een typerende set stoffen die sterk bijdraagt aan de lokale of regionale toxiciteit. Dit leidt tot grote d</w:t>
      </w:r>
      <w:r>
        <w:t>iversiteit: chemische verontreiniging is een veelkoppig monster. Maatregelen tegen prioritaire stoffen – die op de Europese schaal vaak aangetroffen worden en bedreigend zijn voor mens en/of milieu – worden wat betreft maatregelen deels onder leiding van d</w:t>
      </w:r>
      <w:r>
        <w:t xml:space="preserve">e EU (als overkoepelend schaalniveau) georkestreerd. In de hydrologisch samenhangende stroomgebieden van de grote Europese rivieren (zoals Rijn, Donau, etc.) zijn stroomgebied-specifieke verontreinigende stoffen geïdentificeerd, als zijnde díe stoffen die </w:t>
      </w:r>
      <w:r>
        <w:t>in het specifieke stroomgebied vaak aangetroffen worden en bedreigend zijn, en ligt het primaat voor maatregelen bij de autoriteiten voor het beheer van specifieke stroomgebieden (zoals de internationale commissie voor de Rijn). Op dezelfde wijze voortgaan</w:t>
      </w:r>
      <w:r>
        <w:t>d zijn voor elk schaalniveau er specifieke verontreinigende stoffen te identificeren, met het daarbij horende autoriteit voor het beheer. Als in een polder veel aardappelteelt is, en als dat leidt tot problemen met bestrijdingsmiddelen die daarbij gebruikt</w:t>
      </w:r>
      <w:r>
        <w:t xml:space="preserve"> worden, dan zijn die middelen specifieke verontreinigende stoffen, op het niveau van het polderbeheer.</w:t>
      </w:r>
      <w:r>
        <w:rPr>
          <w:rStyle w:val="Voetnootanker"/>
        </w:rPr>
        <w:footnoteReference w:id="4"/>
      </w:r>
      <w:r>
        <w:t xml:space="preserve"> </w:t>
      </w:r>
    </w:p>
    <w:p w14:paraId="71CFD3B5" w14:textId="77777777" w:rsidR="0052375D" w:rsidRDefault="0052375D"/>
    <w:p w14:paraId="4CF9BE0A" w14:textId="77777777" w:rsidR="0052375D" w:rsidRDefault="00BE1341">
      <w:r>
        <w:t xml:space="preserve">De KRW is verder vooral ook ‘oplossingsgericht’: bij het constateren van problemen staat het begrip ‘maatregelen’ centraal. In het KIWK-Toxiciteit </w:t>
      </w:r>
      <w:r>
        <w:t>project heeft dit geleid tot het afleiden van een specifieke variant van het DPSIR-model, dat bij de KRW gebruikt wordt om een diagnose te kunnen stellen bij waterkwaliteitsproblemen (</w:t>
      </w:r>
      <w:r>
        <w:fldChar w:fldCharType="begin"/>
      </w:r>
      <w:r>
        <w:instrText>REF _Ref65233065 \h</w:instrText>
      </w:r>
      <w:r>
        <w:fldChar w:fldCharType="separate"/>
      </w:r>
      <w:r>
        <w:t>Figuur 1</w:t>
      </w:r>
      <w:r>
        <w:fldChar w:fldCharType="end"/>
      </w:r>
      <w:r>
        <w:t>). De DPSIR-analyse is opgesteld, om de waterbeheerder te helpen om allerlei typen gegevens te verzamelen, zodat daarmee een zo goed mogelijke diagnose gesteld kan worden (zie @@@Notitie DPSIR). Het KIWK-Toxiciteit project heeft daarbi</w:t>
      </w:r>
      <w:r>
        <w:t>j de Response in het midden van het DPSIR-schema gezet, omdat enerzijds de verzameling D,P, S en/of I gegevens aanduidt of maatregelen nodig zijn (pijlen naar het midden), terwijl anderzijds de maatregelen kunnen aangrijpen op alle D, P, S en I elementen (</w:t>
      </w:r>
      <w:r>
        <w:t xml:space="preserve">pijlen naar buitenzijde). De oplossingsgerichtheid van de KRW past in de moderne aanpak van risicobeoordelingsproblemen zoals die enkele jaren geleden is afgeleid door de U.S. National Academy of Sciences </w:t>
      </w:r>
      <w:r>
        <w:fldChar w:fldCharType="begin"/>
      </w:r>
      <w:r>
        <w:instrText>ADDIN EN.CITE &lt;EndNote&gt;&lt;Cite&gt;&lt;Author&gt;U.S. NAS&lt;/Auth</w:instrText>
      </w:r>
      <w:r>
        <w:instrText>or&gt;&lt;Year&gt;2009&lt;/Year&gt;&lt;RecNum&gt;5640&lt;/RecNum&gt;&lt;DisplayText&gt;(U.S. NAS, 2009)&lt;/DisplayText&gt;&lt;record&gt;&lt;rec-number&gt;5640&lt;/rec-number&gt;&lt;foreign-keys&gt;&lt;key app="EN" db-id="9vew0e5rcppvxrezet3vref0tpxfwzzf9f0s" timestamp="1354535340"&gt;5640&lt;/key&gt;&lt;/foreign-keys&gt;&lt;ref-type name</w:instrText>
      </w:r>
      <w:r>
        <w:instrText>="Book"&gt;6&lt;/ref-type&gt;&lt;contributors&gt;&lt;authors&gt;&lt;author&gt;U.S. NAS,&lt;/author&gt;&lt;/authors&gt;&lt;/contributors&gt;&lt;titles&gt;&lt;title&gt;Science and Decisions: Advancing Risk Assessment&lt;/title&gt;&lt;/titles&gt;&lt;dates&gt;&lt;year&gt;2009&lt;/year&gt;&lt;/dates&gt;&lt;publisher&gt;National Academies of Science - Committ</w:instrText>
      </w:r>
      <w:r>
        <w:instrText>ee on Improving Risk Analysis Approaches Used by the U.S. EPA, The National Academies Press&lt;/publisher&gt;&lt;isbn&gt;9780309120463&lt;/isbn&gt;&lt;urls&gt;&lt;related-urls&gt;&lt;url&gt;&lt;style face="underline" font="default" size="100%"&gt;http://www.nap.edu/openbook.php?record_id=12209&lt;/st</w:instrText>
      </w:r>
      <w:r>
        <w:instrText>yle&gt;&lt;/url&gt;&lt;/related-urls&gt;&lt;/urls&gt;&lt;/record&gt;&lt;/Cite&gt;&lt;/EndNote&gt;</w:instrText>
      </w:r>
      <w:r>
        <w:fldChar w:fldCharType="separate"/>
      </w:r>
      <w:r>
        <w:t>(U.S. NAS, 2009</w:t>
      </w:r>
      <w:r>
        <w:fldChar w:fldCharType="end"/>
      </w:r>
      <w:r>
        <w:t>), en die centraal stond in het EU-project SOLUTIONS (</w:t>
      </w:r>
      <w:hyperlink r:id="rId29">
        <w:r>
          <w:rPr>
            <w:rStyle w:val="Internetkoppeling"/>
          </w:rPr>
          <w:t>www.solutions-project.eu</w:t>
        </w:r>
      </w:hyperlink>
      <w:r>
        <w:t>). Dat project beschreef ook in een Policy Brief d</w:t>
      </w:r>
      <w:r>
        <w:t>at het belangrijk is om vroeg in de beheercyclus van het KRW-waterkwaliteitsbeheer aandacht te besteden aan de denkbare “maatregelen-ruimte”, in het artikel: “</w:t>
      </w:r>
      <w:r>
        <w:rPr>
          <w:i/>
          <w:iCs/>
        </w:rPr>
        <w:t xml:space="preserve">Exploring the ‘solution space’ is key: SOLUTIONS </w:t>
      </w:r>
      <w:r>
        <w:rPr>
          <w:i/>
          <w:iCs/>
        </w:rPr>
        <w:lastRenderedPageBreak/>
        <w:t xml:space="preserve">recommends an early-stage assessment of options </w:t>
      </w:r>
      <w:r>
        <w:rPr>
          <w:i/>
          <w:iCs/>
        </w:rPr>
        <w:t>to protect and restore water quality against chemical pollution</w:t>
      </w:r>
      <w:r>
        <w:t>” (</w:t>
      </w:r>
      <w:hyperlink r:id="rId30">
        <w:r>
          <w:rPr>
            <w:rStyle w:val="Internetkoppeling"/>
          </w:rPr>
          <w:t>https://doi.org/10.1186/s12302-019-0253-6</w:t>
        </w:r>
      </w:hyperlink>
      <w:r>
        <w:t xml:space="preserve">, </w:t>
      </w:r>
      <w:r>
        <w:fldChar w:fldCharType="begin"/>
      </w:r>
      <w:r>
        <w:instrText>ADDIN EN.CITE &lt;EndNote&gt;&lt;Cite AuthorYear="1"&gt;&lt;Author&gt;Posthuma&lt;/Author&gt;&lt;Year&gt;2019&lt;/Year&gt;</w:instrText>
      </w:r>
      <w:r>
        <w:instrText xml:space="preserve">&lt;RecNum&gt;10276&lt;/RecNum&gt;&lt;DisplayText&gt;Posthuma et al. (2019a)&lt;/DisplayText&gt;&lt;record&gt;&lt;rec-number&gt;10276&lt;/rec-number&gt;&lt;foreign-keys&gt;&lt;key app="EN" db-id="9vew0e5rcppvxrezet3vref0tpxfwzzf9f0s" timestamp="1569911616"&gt;10276&lt;/key&gt;&lt;/foreign-keys&gt;&lt;ref-type name="Journal </w:instrText>
      </w:r>
      <w:r>
        <w:instrText>Article"&gt;17&lt;/ref-type&gt;&lt;contributors&gt;&lt;authors&gt;&lt;author&gt;Posthuma, Leo&lt;/author&gt;&lt;author&gt;Backhaus, Thomas&lt;/author&gt;&lt;author&gt;Hollender, Juliane&lt;/author&gt;&lt;author&gt;Bunke, Dirk&lt;/author&gt;&lt;author&gt;Brack, Werner&lt;/author&gt;&lt;author&gt;Müller, Christin&lt;/author&gt;&lt;author&gt;van Gils, Jos&lt;</w:instrText>
      </w:r>
      <w:r>
        <w:instrText>/author&gt;&lt;author&gt;Hollert, Henner&lt;/author&gt;&lt;author&gt;Munthe, John&lt;/author&gt;&lt;author&gt;van Wezel, Annemarie&lt;/author&gt;&lt;/authors&gt;&lt;/contributors&gt;&lt;titles&gt;&lt;title&gt;Exploring the ‘solution space’ is key: SOLUTIONS recommends an early-stage assessment of options to protect an</w:instrText>
      </w:r>
      <w:r>
        <w:instrText>d restore water quality against chemical pollution&lt;/title&gt;&lt;secondary-title&gt;Environmental Sciences Europe&lt;/secondary-title&gt;&lt;/titles&gt;&lt;periodical&gt;&lt;full-title&gt;Environmental Sciences Europe&lt;/full-title&gt;&lt;/periodical&gt;&lt;pages&gt;73&lt;/pages&gt;&lt;volume&gt;31&lt;/volume&gt;&lt;number&gt;1&lt;</w:instrText>
      </w:r>
      <w:r>
        <w:instrText>/number&gt;&lt;dates&gt;&lt;year&gt;2019&lt;/year&gt;&lt;pub-dates&gt;&lt;date&gt;2019/09/30&lt;/date&gt;&lt;/pub-dates&gt;&lt;/dates&gt;&lt;isbn&gt;2190-4715&lt;/isbn&gt;&lt;urls&gt;&lt;related-urls&gt;&lt;url&gt;https://doi.org/10.1186/s12302-019-0253-6&lt;/url&gt;&lt;/related-urls&gt;&lt;/urls&gt;&lt;electronic-resource-num&gt;10.1186/s12302-019-0253-6&lt;/el</w:instrText>
      </w:r>
      <w:r>
        <w:instrText>ectronic-resource-num&gt;&lt;/record&gt;&lt;/Cite&gt;&lt;/EndNote&gt;</w:instrText>
      </w:r>
      <w:hyperlink w:anchor="_ENREF_17" w:tgtFrame="Posthuma, 2019 #10276">
        <w:r>
          <w:instrText>Posthuma et al. (2019a)</w:instrText>
        </w:r>
      </w:hyperlink>
      <w:r>
        <w:fldChar w:fldCharType="end"/>
      </w:r>
      <w:r>
        <w:t xml:space="preserve">).   </w:t>
      </w:r>
    </w:p>
    <w:p w14:paraId="23FC6611" w14:textId="77777777" w:rsidR="0052375D" w:rsidRDefault="0052375D"/>
    <w:p w14:paraId="24E46B40" w14:textId="77777777" w:rsidR="0052375D" w:rsidRDefault="00BE1341">
      <w:r>
        <w:rPr>
          <w:noProof/>
          <w:lang w:eastAsia="nl-NL"/>
        </w:rPr>
        <w:drawing>
          <wp:inline distT="0" distB="0" distL="0" distR="0" wp14:anchorId="34A79F12" wp14:editId="1D8E5334">
            <wp:extent cx="3533140" cy="2125980"/>
            <wp:effectExtent l="0" t="0" r="0" b="0"/>
            <wp:docPr id="2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3"/>
                    <pic:cNvPicPr>
                      <a:picLocks noChangeAspect="1" noChangeArrowheads="1"/>
                    </pic:cNvPicPr>
                  </pic:nvPicPr>
                  <pic:blipFill>
                    <a:blip r:embed="rId31"/>
                    <a:stretch>
                      <a:fillRect/>
                    </a:stretch>
                  </pic:blipFill>
                  <pic:spPr bwMode="auto">
                    <a:xfrm>
                      <a:off x="0" y="0"/>
                      <a:ext cx="3533140" cy="2125980"/>
                    </a:xfrm>
                    <a:prstGeom prst="rect">
                      <a:avLst/>
                    </a:prstGeom>
                  </pic:spPr>
                </pic:pic>
              </a:graphicData>
            </a:graphic>
          </wp:inline>
        </w:drawing>
      </w:r>
    </w:p>
    <w:p w14:paraId="69F33E41" w14:textId="77777777" w:rsidR="0052375D" w:rsidRDefault="0052375D"/>
    <w:p w14:paraId="33A832CF" w14:textId="77777777" w:rsidR="0052375D" w:rsidRDefault="00BE1341">
      <w:pPr>
        <w:pStyle w:val="Caption"/>
        <w:rPr>
          <w:sz w:val="22"/>
          <w:szCs w:val="22"/>
        </w:rPr>
      </w:pPr>
      <w:bookmarkStart w:id="10" w:name="_Ref65233065"/>
      <w:r>
        <w:t xml:space="preserve">Figuur </w:t>
      </w:r>
      <w:r>
        <w:fldChar w:fldCharType="begin"/>
      </w:r>
      <w:r>
        <w:instrText>SEQ Figuur \* ARABIC</w:instrText>
      </w:r>
      <w:r>
        <w:fldChar w:fldCharType="separate"/>
      </w:r>
      <w:r>
        <w:t>1</w:t>
      </w:r>
      <w:r>
        <w:fldChar w:fldCharType="end"/>
      </w:r>
      <w:bookmarkEnd w:id="10"/>
      <w:r>
        <w:t>. Het DPSIR-causale model dat in de KRW gebruikt wordt om een diagnose te stellen b</w:t>
      </w:r>
      <w:r>
        <w:t>ij waterkwaliteitsproblemen.</w:t>
      </w:r>
    </w:p>
    <w:p w14:paraId="56B1F7F4" w14:textId="77777777" w:rsidR="0052375D" w:rsidRDefault="0052375D"/>
    <w:p w14:paraId="048233CB" w14:textId="77777777" w:rsidR="0052375D" w:rsidRDefault="0052375D"/>
    <w:p w14:paraId="1209B8A8" w14:textId="77777777" w:rsidR="0052375D" w:rsidRDefault="00BE1341">
      <w:r>
        <w:t>Het afleiden van maatregelen tegen chemische verontreiniging zijn – als samenvatting van het voorgaande – inhoudelijk veelomvattend (veel stoffen, veel bronnen, veel denkbare maatregelen) en organisatorisch complex (veel ‘pro</w:t>
      </w:r>
      <w:r>
        <w:t xml:space="preserve">bleem-eigenaren’ en belanghebbenden: bovenstrooms, lokaal en benedenstrooms). Bovendien is de kennis over maatregelen tegen chemische verontreiniging momenteel erg verspreid. In de kader richtlijn water (KRW) staan verwijzingen naar andere regelgeving, en </w:t>
      </w:r>
      <w:r>
        <w:t xml:space="preserve">ook zijn er databestanden over de maatregelen die eerder in verband met de KRW zijn genomen. </w:t>
      </w:r>
    </w:p>
    <w:p w14:paraId="19FDCA91" w14:textId="77777777" w:rsidR="0052375D" w:rsidRDefault="0052375D"/>
    <w:p w14:paraId="3850E5BB" w14:textId="77777777" w:rsidR="0052375D" w:rsidRDefault="00BE1341">
      <w:r>
        <w:t xml:space="preserve">In deze Notitie wordt de bestaande kennis bij elkaar gebracht. Hierbij is gebruik gemaakt van allerlei kennisbronnen, maar ook van de samenwerking met collega’s </w:t>
      </w:r>
      <w:r>
        <w:t>van het KIWK-project Gedragswetenschappen. De verzamelde kennis werd gebruikt voor het afleiden van belangrijke strategische aandachtspunten, en voor het opstellen van opzoektabellen. Het doel van deze Notitie is om waterbeheerders een overzicht te geven v</w:t>
      </w:r>
      <w:r>
        <w:t>an alle ‘ins en outs’ van het overwegen van maatregelen in het waterbeheer, vooral gericht op chemische verontreinigingen.</w:t>
      </w:r>
    </w:p>
    <w:p w14:paraId="128A1499" w14:textId="77777777" w:rsidR="0052375D" w:rsidRDefault="0052375D"/>
    <w:p w14:paraId="5644E701" w14:textId="77777777" w:rsidR="0052375D" w:rsidRDefault="0052375D">
      <w:pPr>
        <w:spacing w:line="380" w:lineRule="exact"/>
        <w:rPr>
          <w:rFonts w:ascii="Verdana" w:hAnsi="Verdana"/>
          <w:color w:val="260C72"/>
        </w:rPr>
      </w:pPr>
    </w:p>
    <w:p w14:paraId="2C5EFEC3" w14:textId="77777777" w:rsidR="0052375D" w:rsidRDefault="00BE1341">
      <w:pPr>
        <w:pStyle w:val="Heading1"/>
        <w:numPr>
          <w:ilvl w:val="0"/>
          <w:numId w:val="2"/>
        </w:numPr>
        <w:rPr>
          <w:sz w:val="22"/>
          <w:szCs w:val="22"/>
        </w:rPr>
      </w:pPr>
      <w:bookmarkStart w:id="11" w:name="_Toc65239924"/>
      <w:r>
        <w:lastRenderedPageBreak/>
        <w:t>Gerelateerde onderwerpen</w:t>
      </w:r>
      <w:bookmarkEnd w:id="11"/>
    </w:p>
    <w:p w14:paraId="536039CF" w14:textId="77777777" w:rsidR="0052375D" w:rsidRDefault="00BE1341">
      <w:r>
        <w:rPr>
          <w:highlight w:val="yellow"/>
        </w:rPr>
        <w:t>@@@ Zo nodig actualiseren</w:t>
      </w:r>
    </w:p>
    <w:p w14:paraId="2D96922B" w14:textId="77777777" w:rsidR="0052375D" w:rsidRDefault="00BE1341">
      <w:r>
        <w:t>Gerelateerde onderwerpen zijn:</w:t>
      </w:r>
    </w:p>
    <w:p w14:paraId="0472388B" w14:textId="77777777" w:rsidR="0052375D" w:rsidRDefault="00BE1341">
      <w:r>
        <w:t>- De DPSIR-causale analyse</w:t>
      </w:r>
    </w:p>
    <w:p w14:paraId="2CEFD376" w14:textId="77777777" w:rsidR="0052375D" w:rsidRDefault="00BE1341">
      <w:r>
        <w:t>- Monitoring van chemi</w:t>
      </w:r>
      <w:r>
        <w:t>sche verontreiniging</w:t>
      </w:r>
    </w:p>
    <w:p w14:paraId="07901ABB" w14:textId="77777777" w:rsidR="0052375D" w:rsidRDefault="00BE1341">
      <w:r>
        <w:t>- Classificatie van ecologische en chemische toestand</w:t>
      </w:r>
    </w:p>
    <w:p w14:paraId="3E5E28A3" w14:textId="77777777" w:rsidR="0052375D" w:rsidRDefault="00BE1341">
      <w:r>
        <w:t>- Diagnose van oorzaken van verminderde toestand van de waterkwaliteit</w:t>
      </w:r>
    </w:p>
    <w:p w14:paraId="3D49D19A" w14:textId="77777777" w:rsidR="0052375D" w:rsidRDefault="00BE1341">
      <w:r>
        <w:t>- Strategie voor het afleiden van maatregelen tegen chemische verontreiniging</w:t>
      </w:r>
    </w:p>
    <w:p w14:paraId="53FAD95C" w14:textId="77777777" w:rsidR="0052375D" w:rsidRDefault="00BE1341">
      <w:r>
        <w:t xml:space="preserve">- Beleidstoepassing van de resultaten van het EU-SOLUTIONS-project over chemische verontreiniging (zie </w:t>
      </w:r>
      <w:hyperlink r:id="rId32">
        <w:r>
          <w:t>https://www.springeropen.com/collections/solutions</w:t>
        </w:r>
      </w:hyperlink>
      <w:r>
        <w:t>)</w:t>
      </w:r>
    </w:p>
    <w:p w14:paraId="59718526" w14:textId="77777777" w:rsidR="0052375D" w:rsidRDefault="00BE1341">
      <w:r>
        <w:t xml:space="preserve"> </w:t>
      </w:r>
    </w:p>
    <w:p w14:paraId="730DDDC4" w14:textId="77777777" w:rsidR="0052375D" w:rsidRDefault="00BE1341">
      <w:r>
        <w:t>Gerelateerde Deltafacts zijn:</w:t>
      </w:r>
    </w:p>
    <w:p w14:paraId="760195AC" w14:textId="77777777" w:rsidR="0052375D" w:rsidRDefault="00BE1341">
      <w:r>
        <w:t xml:space="preserve">-Diagnose van de invloeden van chemische verontreiniging </w:t>
      </w:r>
      <w:r>
        <w:fldChar w:fldCharType="begin"/>
      </w:r>
      <w:r>
        <w:instrText>ADDIN EN.CITE &lt;EndNote&gt;&lt;Cite&gt;&lt;Author&gt;KIWK-Tox WP2&lt;/Author&gt;&lt;Year&gt;2020&lt;/Year&gt;&lt;RecNum&gt;10630&lt;/RecNum&gt;&lt;DisplayText&gt;(KIWK-Tox WP2, 2020a)&lt;/DisplayText&gt;&lt;record&gt;&lt;rec-number&gt;10630&lt;/rec-number&gt;&lt;foreign-keys&gt;&lt;</w:instrText>
      </w:r>
      <w:r>
        <w:instrText>key app="EN" db-id="9vew0e5rcppvxrezet3vref0tpxfwzzf9f0s" timestamp="1583327639"&gt;10630&lt;/key&gt;&lt;/foreign-keys&gt;&lt;ref-type name="Report"&gt;27&lt;/ref-type&gt;&lt;contributors&gt;&lt;authors&gt;&lt;author&gt;KIWK-Tox WP2,&lt;/author&gt;&lt;/authors&gt;&lt;/contributors&gt;&lt;titles&gt;&lt;title&gt;Notitie Kennis Impu</w:instrText>
      </w:r>
      <w:r>
        <w:instrText>ls WaterKwaliteit - Toxiciteit: &amp;quot; Diagnose en communicatie van ESFT-resultaten&amp;quot;&lt;/title&gt;&lt;/titles&gt;&lt;dates&gt;&lt;year&gt;2020&lt;/year&gt;&lt;/dates&gt;&lt;publisher&gt;STOWA, Amsersfoort&lt;/publisher&gt;&lt;urls&gt;&lt;/urls&gt;&lt;/record&gt;&lt;/Cite&gt;&lt;/EndNote&gt;</w:instrText>
      </w:r>
      <w:r>
        <w:fldChar w:fldCharType="separate"/>
      </w:r>
      <w:r>
        <w:t>(KIWK-Tox WP2, 2020a</w:t>
      </w:r>
      <w:r>
        <w:fldChar w:fldCharType="end"/>
      </w:r>
      <w:r>
        <w:t>)</w:t>
      </w:r>
    </w:p>
    <w:p w14:paraId="35D7CFDC" w14:textId="77777777" w:rsidR="0052375D" w:rsidRDefault="00BE1341">
      <w:r>
        <w:t>- Diagnose me</w:t>
      </w:r>
      <w:r>
        <w:t xml:space="preserve">t het Chemie-spoor </w:t>
      </w:r>
      <w:r>
        <w:fldChar w:fldCharType="begin"/>
      </w:r>
      <w:r>
        <w:instrText>ADDIN EN.CITE &lt;EndNote&gt;&lt;Cite&gt;&lt;Author&gt;KIWK-Tox WP3&lt;/Author&gt;&lt;Year&gt;2020&lt;/Year&gt;&lt;RecNum&gt;10650&lt;/RecNum&gt;&lt;DisplayText&gt;(KIWK-Tox WP3, 2020)&lt;/DisplayText&gt;&lt;record&gt;&lt;rec-number&gt;10650&lt;/rec-number&gt;&lt;foreign-keys&gt;&lt;key app="EN" db-id="9vew0e5rcppvxrezet3v</w:instrText>
      </w:r>
      <w:r>
        <w:instrText>ref0tpxfwzzf9f0s" timestamp="1584443492"&gt;10650&lt;/key&gt;&lt;/foreign-keys&gt;&lt;ref-type name="Report"&gt;27&lt;/ref-type&gt;&lt;contributors&gt;&lt;authors&gt;&lt;author&gt;KIWK-Tox WP3,&lt;/author&gt;&lt;/authors&gt;&lt;/contributors&gt;&lt;titles&gt;&lt;title&gt;Notitie Kennis Impuls WaterKwaliteit - Toxiciteit:&amp;quot;Che</w:instrText>
      </w:r>
      <w:r>
        <w:instrText>mie-spoor&amp;quot; ESFT2&lt;/title&gt;&lt;/titles&gt;&lt;dates&gt;&lt;year&gt;2020&lt;/year&gt;&lt;/dates&gt;&lt;publisher&gt;STOWA, Amsersfoort&lt;/publisher&gt;&lt;urls&gt;&lt;/urls&gt;&lt;/record&gt;&lt;/Cite&gt;&lt;/EndNote&gt;</w:instrText>
      </w:r>
      <w:r>
        <w:fldChar w:fldCharType="separate"/>
      </w:r>
      <w:r>
        <w:t>(KIWK-Tox WP3, 2020</w:t>
      </w:r>
      <w:r>
        <w:fldChar w:fldCharType="end"/>
      </w:r>
      <w:r>
        <w:t>)</w:t>
      </w:r>
    </w:p>
    <w:p w14:paraId="334E05D0" w14:textId="77777777" w:rsidR="0052375D" w:rsidRDefault="00BE1341">
      <w:r>
        <w:t xml:space="preserve">- Diagnose met het Toxicologie-spoor </w:t>
      </w:r>
      <w:r>
        <w:fldChar w:fldCharType="begin"/>
      </w:r>
      <w:r>
        <w:instrText>ADDIN EN.CITE &lt;EndNote&gt;&lt;Cite&gt;&lt;Author&gt;KIWK-Tox</w:instrText>
      </w:r>
      <w:r>
        <w:instrText xml:space="preserve"> WP4&lt;/Author&gt;&lt;Year&gt;2020&lt;/Year&gt;&lt;RecNum&gt;10670&lt;/RecNum&gt;&lt;DisplayText&gt;(KIWK-Tox WP4, 2020)&lt;/DisplayText&gt;&lt;record&gt;&lt;rec-number&gt;10670&lt;/rec-number&gt;&lt;foreign-keys&gt;&lt;key app="EN" db-id="9vew0e5rcppvxrezet3vref0tpxfwzzf9f0s" timestamp="1585569244"&gt;10670&lt;/key&gt;&lt;/foreign-ke</w:instrText>
      </w:r>
      <w:r>
        <w:instrText>ys&gt;&lt;ref-type name="Report"&gt;27&lt;/ref-type&gt;&lt;contributors&gt;&lt;authors&gt;&lt;author&gt;KIWK-Tox WP4,&lt;/author&gt;&lt;/authors&gt;&lt;/contributors&gt;&lt;titles&gt;&lt;title&gt;Notitie Kennis Impuls WaterKwaliteit - Toxiciteit: &amp;quot;Toxicologie-spoor&amp;quot; ESFT2&lt;/title&gt;&lt;/titles&gt;&lt;dates&gt;&lt;year&gt;2020&lt;/y</w:instrText>
      </w:r>
      <w:r>
        <w:instrText>ear&gt;&lt;/dates&gt;&lt;publisher&gt;STOWA, Amsersfoort&lt;/publisher&gt;&lt;urls&gt;&lt;/urls&gt;&lt;/record&gt;&lt;/Cite&gt;&lt;/EndNote&gt;</w:instrText>
      </w:r>
      <w:r>
        <w:fldChar w:fldCharType="separate"/>
      </w:r>
      <w:r>
        <w:t>(KIWK-Tox WP4, 2020</w:t>
      </w:r>
      <w:r>
        <w:fldChar w:fldCharType="end"/>
      </w:r>
      <w:r>
        <w:t>)</w:t>
      </w:r>
    </w:p>
    <w:p w14:paraId="5341BCB3" w14:textId="77777777" w:rsidR="0052375D" w:rsidRDefault="00BE1341">
      <w:r>
        <w:t xml:space="preserve">- Calibratie </w:t>
      </w:r>
      <w:r>
        <w:fldChar w:fldCharType="begin"/>
      </w:r>
      <w:r>
        <w:instrText>ADDIN EN.CITE &lt;EndNote&gt;&lt;Cite&gt;&lt;Author&gt;KIWK-Tox WP5&lt;/Author&gt;&lt;Year&gt;2020&lt;/Year&gt;&lt;RecNum&gt;10651&lt;/RecNum&gt;&lt;DisplayText&gt;(KIWK-Tox WP5, 20</w:instrText>
      </w:r>
      <w:r>
        <w:instrText>20)&lt;/DisplayText&gt;&lt;record&gt;&lt;rec-number&gt;10651&lt;/rec-number&gt;&lt;foreign-keys&gt;&lt;key app="EN" db-id="9vew0e5rcppvxrezet3vref0tpxfwzzf9f0s" timestamp="1584443584"&gt;10651&lt;/key&gt;&lt;/foreign-keys&gt;&lt;ref-type name="Report"&gt;27&lt;/ref-type&gt;&lt;contributors&gt;&lt;authors&gt;&lt;author&gt;KIWK-Tox WP</w:instrText>
      </w:r>
      <w:r>
        <w:instrText>5,&lt;/author&gt;&lt;/authors&gt;&lt;/contributors&gt;&lt;titles&gt;&lt;title&gt;Notitie Notitie Kennis Impuls WaterKwaliteit - Toxiciteit: &amp;quot;Calibratie en interpretatie&amp;quot;WP5@@@&lt;/title&gt;&lt;/titles&gt;&lt;dates&gt;&lt;year&gt;2020&lt;/year&gt;&lt;/dates&gt;&lt;publisher&gt;STOWA, Amsersfoort&lt;/publisher&gt;&lt;urls&gt;&lt;/url</w:instrText>
      </w:r>
      <w:r>
        <w:instrText>s&gt;&lt;/record&gt;&lt;/Cite&gt;&lt;/EndNote&gt;</w:instrText>
      </w:r>
      <w:r>
        <w:fldChar w:fldCharType="separate"/>
      </w:r>
      <w:r>
        <w:t>(KIWK-Tox WP5, 2020</w:t>
      </w:r>
      <w:r>
        <w:fldChar w:fldCharType="end"/>
      </w:r>
      <w:r>
        <w:t xml:space="preserve">)  </w:t>
      </w:r>
      <w:bookmarkStart w:id="12" w:name="_Hlk36561385"/>
      <w:bookmarkEnd w:id="12"/>
    </w:p>
    <w:p w14:paraId="1BF10B73" w14:textId="77777777" w:rsidR="0052375D" w:rsidRDefault="0052375D">
      <w:pPr>
        <w:spacing w:line="380" w:lineRule="exact"/>
        <w:rPr>
          <w:rFonts w:ascii="Verdana" w:hAnsi="Verdana"/>
          <w:color w:val="260C72"/>
          <w:lang w:val="en-US"/>
        </w:rPr>
      </w:pPr>
    </w:p>
    <w:p w14:paraId="09510E40" w14:textId="77777777" w:rsidR="0052375D" w:rsidRDefault="00BE1341">
      <w:pPr>
        <w:pStyle w:val="Heading1"/>
        <w:numPr>
          <w:ilvl w:val="0"/>
          <w:numId w:val="2"/>
        </w:numPr>
        <w:rPr>
          <w:sz w:val="22"/>
          <w:szCs w:val="22"/>
        </w:rPr>
      </w:pPr>
      <w:bookmarkStart w:id="13" w:name="_Toc65239925"/>
      <w:r>
        <w:lastRenderedPageBreak/>
        <w:t>Drie soorten aandacht</w:t>
      </w:r>
      <w:bookmarkEnd w:id="13"/>
    </w:p>
    <w:p w14:paraId="059C6E11" w14:textId="77777777" w:rsidR="0052375D" w:rsidRDefault="00BE1341">
      <w:pPr>
        <w:pStyle w:val="Heading2"/>
        <w:numPr>
          <w:ilvl w:val="1"/>
          <w:numId w:val="2"/>
        </w:numPr>
        <w:rPr>
          <w:sz w:val="22"/>
          <w:szCs w:val="22"/>
        </w:rPr>
      </w:pPr>
      <w:bookmarkStart w:id="14" w:name="_Toc65239926"/>
      <w:r>
        <w:t>De drie vragen</w:t>
      </w:r>
      <w:bookmarkEnd w:id="14"/>
    </w:p>
    <w:p w14:paraId="5D373A38" w14:textId="77777777" w:rsidR="0052375D" w:rsidRDefault="00BE1341">
      <w:r>
        <w:t>Het afleiden en implementeren van maatregelen vraagt drie soorten aandacht:</w:t>
      </w:r>
    </w:p>
    <w:p w14:paraId="2AC17174" w14:textId="77777777" w:rsidR="0052375D" w:rsidRDefault="0052375D"/>
    <w:p w14:paraId="5A2A3353" w14:textId="77777777" w:rsidR="0052375D" w:rsidRDefault="00BE1341">
      <w:pPr>
        <w:pStyle w:val="ListParagraph"/>
        <w:numPr>
          <w:ilvl w:val="0"/>
          <w:numId w:val="4"/>
        </w:numPr>
        <w:rPr>
          <w:rFonts w:ascii="Times New Roman" w:hAnsi="Times New Roman" w:cs="Times New Roman"/>
          <w:sz w:val="22"/>
          <w:szCs w:val="22"/>
        </w:rPr>
      </w:pPr>
      <w:r>
        <w:rPr>
          <w:rFonts w:ascii="Times New Roman" w:hAnsi="Times New Roman" w:cs="Times New Roman"/>
          <w:sz w:val="22"/>
          <w:szCs w:val="22"/>
        </w:rPr>
        <w:t>Voor de “wat-vraag”:</w:t>
      </w:r>
    </w:p>
    <w:p w14:paraId="1FFFDC3C" w14:textId="77777777" w:rsidR="0052375D" w:rsidRDefault="00BE1341">
      <w:pPr>
        <w:pStyle w:val="ListParagraph"/>
        <w:rPr>
          <w:rFonts w:ascii="Times New Roman" w:hAnsi="Times New Roman" w:cs="Times New Roman"/>
          <w:sz w:val="22"/>
          <w:szCs w:val="22"/>
        </w:rPr>
      </w:pPr>
      <w:r>
        <w:rPr>
          <w:rFonts w:ascii="Times New Roman" w:hAnsi="Times New Roman" w:cs="Times New Roman"/>
          <w:sz w:val="22"/>
          <w:szCs w:val="22"/>
        </w:rPr>
        <w:t xml:space="preserve">Dit is een vraag naar welke maatregelen er passen bij de diagnose </w:t>
      </w:r>
      <w:r>
        <w:rPr>
          <w:rFonts w:ascii="Times New Roman" w:hAnsi="Times New Roman" w:cs="Times New Roman"/>
          <w:sz w:val="22"/>
          <w:szCs w:val="22"/>
        </w:rPr>
        <w:t>en de lokale situatie</w:t>
      </w:r>
    </w:p>
    <w:p w14:paraId="35B09E8C" w14:textId="77777777" w:rsidR="0052375D" w:rsidRDefault="00BE1341">
      <w:pPr>
        <w:pStyle w:val="ListParagraph"/>
        <w:numPr>
          <w:ilvl w:val="0"/>
          <w:numId w:val="4"/>
        </w:numPr>
        <w:rPr>
          <w:rFonts w:ascii="Times New Roman" w:hAnsi="Times New Roman" w:cs="Times New Roman"/>
          <w:sz w:val="22"/>
          <w:szCs w:val="22"/>
        </w:rPr>
      </w:pPr>
      <w:r>
        <w:rPr>
          <w:rFonts w:ascii="Times New Roman" w:hAnsi="Times New Roman" w:cs="Times New Roman"/>
          <w:sz w:val="22"/>
          <w:szCs w:val="22"/>
        </w:rPr>
        <w:t>Voor de “wie-vraag”:</w:t>
      </w:r>
    </w:p>
    <w:p w14:paraId="53BF35E7" w14:textId="77777777" w:rsidR="0052375D" w:rsidRDefault="00BE1341">
      <w:pPr>
        <w:pStyle w:val="ListParagraph"/>
        <w:rPr>
          <w:rFonts w:ascii="Times New Roman" w:hAnsi="Times New Roman" w:cs="Times New Roman"/>
          <w:sz w:val="22"/>
          <w:szCs w:val="22"/>
        </w:rPr>
      </w:pPr>
      <w:r>
        <w:rPr>
          <w:rFonts w:ascii="Times New Roman" w:hAnsi="Times New Roman" w:cs="Times New Roman"/>
          <w:sz w:val="22"/>
          <w:szCs w:val="22"/>
        </w:rPr>
        <w:t>Dit is een vraag naar alle belanghebbenden die bij de diagnose en de maatregelen kunnen samenwerken, om een eenduidig en compleet maatregelenpakket door de samenwerkende waterbeheerders te laten dragen (inhoudelij</w:t>
      </w:r>
      <w:r>
        <w:rPr>
          <w:rFonts w:ascii="Times New Roman" w:hAnsi="Times New Roman" w:cs="Times New Roman"/>
          <w:sz w:val="22"/>
          <w:szCs w:val="22"/>
        </w:rPr>
        <w:t>k en financieel)</w:t>
      </w:r>
    </w:p>
    <w:p w14:paraId="6983BEF9" w14:textId="77777777" w:rsidR="0052375D" w:rsidRDefault="00BE1341">
      <w:pPr>
        <w:pStyle w:val="ListParagraph"/>
        <w:numPr>
          <w:ilvl w:val="0"/>
          <w:numId w:val="4"/>
        </w:numPr>
        <w:rPr>
          <w:rFonts w:ascii="Times New Roman" w:hAnsi="Times New Roman" w:cs="Times New Roman"/>
          <w:sz w:val="22"/>
          <w:szCs w:val="22"/>
        </w:rPr>
      </w:pPr>
      <w:r>
        <w:rPr>
          <w:rFonts w:ascii="Times New Roman" w:hAnsi="Times New Roman" w:cs="Times New Roman"/>
          <w:sz w:val="22"/>
          <w:szCs w:val="22"/>
        </w:rPr>
        <w:t>Voor de “hoe-vraag”:</w:t>
      </w:r>
    </w:p>
    <w:p w14:paraId="7E425169" w14:textId="77777777" w:rsidR="0052375D" w:rsidRDefault="00BE1341">
      <w:pPr>
        <w:pStyle w:val="ListParagraph"/>
        <w:rPr>
          <w:rFonts w:ascii="Times New Roman" w:hAnsi="Times New Roman" w:cs="Times New Roman"/>
          <w:sz w:val="22"/>
          <w:szCs w:val="22"/>
        </w:rPr>
      </w:pPr>
      <w:r>
        <w:rPr>
          <w:rFonts w:ascii="Times New Roman" w:hAnsi="Times New Roman" w:cs="Times New Roman"/>
          <w:sz w:val="22"/>
          <w:szCs w:val="22"/>
        </w:rPr>
        <w:t xml:space="preserve">Dit is een vraag naar de meest effectieve werkwijzen die de implementatie van een gekozen maatregel optimaliseert  </w:t>
      </w:r>
    </w:p>
    <w:p w14:paraId="513A2C1E" w14:textId="77777777" w:rsidR="0052375D" w:rsidRDefault="0052375D"/>
    <w:p w14:paraId="3FBB6838" w14:textId="77777777" w:rsidR="0052375D" w:rsidRDefault="00BE1341">
      <w:r>
        <w:t>De “wat” vraag komt in de vervolg-hoofdstukken vooral aan bod. De vraag moet leiden tot een beschrijv</w:t>
      </w:r>
      <w:r>
        <w:t xml:space="preserve">ing van denkbare oplossingen voor een lokale situatie: </w:t>
      </w:r>
      <w:r>
        <w:rPr>
          <w:i/>
          <w:iCs/>
        </w:rPr>
        <w:t>de lokale oplossingsruimte</w:t>
      </w:r>
      <w:r>
        <w:t>. Het spreekt echter niet voor zich, dat daarna de beste oplossing daarvan makkelijk geïmplementeerd kan worden. Dat vraagt namelijk ook om bezinning op de ‘wie-vraag’ en de ‘</w:t>
      </w:r>
      <w:r>
        <w:t xml:space="preserve">hoe-vraag’. </w:t>
      </w:r>
    </w:p>
    <w:p w14:paraId="139A06B6" w14:textId="77777777" w:rsidR="0052375D" w:rsidRDefault="0052375D"/>
    <w:p w14:paraId="170029D8" w14:textId="77777777" w:rsidR="0052375D" w:rsidRDefault="00BE1341">
      <w:r>
        <w:t xml:space="preserve">De ‘wie-vraag’ en de ‘hoe-vraag’ zijn belangrijk, omdat bij waterbeheer veel belanghebbenden betrokken zijn, en omdat deze vragen vaak weinig aandacht krijgen, wat de afleiding en implementatie van maatregelen belemmert </w:t>
      </w:r>
      <w:r>
        <w:fldChar w:fldCharType="begin"/>
      </w:r>
      <w:r>
        <w:instrText>ADDIN EN.CITE &lt;EndNote</w:instrText>
      </w:r>
      <w:r>
        <w:instrText>&gt;&lt;Cite&gt;&lt;Author&gt;Wuijts&lt;/Author&gt;&lt;Year&gt;2018&lt;/Year&gt;&lt;RecNum&gt;9437&lt;/RecNum&gt;&lt;DisplayText&gt;(Wuijts et al., 2018)&lt;/DisplayText&gt;&lt;record&gt;&lt;rec-number&gt;9437&lt;/rec-number&gt;&lt;foreign-keys&gt;&lt;key app="EN" db-id="9vew0e5rcppvxrezet3vref0tpxfwzzf9f0s" timestamp="1522218764"&gt;9437&lt;/k</w:instrText>
      </w:r>
      <w:r>
        <w:instrText>ey&gt;&lt;/foreign-keys&gt;&lt;ref-type name="Journal Article"&gt;17&lt;/ref-type&gt;&lt;contributors&gt;&lt;authors&gt;&lt;author&gt;Wuijts, Susanne&lt;/author&gt;&lt;author&gt;Driessen, Peter&lt;/author&gt;&lt;author&gt;Van Rijswick, Helena&lt;/author&gt;&lt;/authors&gt;&lt;/contributors&gt;&lt;titles&gt;&lt;title&gt;Towards More Effective Water</w:instrText>
      </w:r>
      <w:r>
        <w:instrText xml:space="preserve"> Quality Governance: A Review of Social-Economic, Legal and Ecological Perspectives and Their Interactions&lt;/title&gt;&lt;secondary-title&gt;Sustainability&lt;/secondary-title&gt;&lt;/titles&gt;&lt;periodical&gt;&lt;full-title&gt;Sustainability&lt;/full-title&gt;&lt;/periodical&gt;&lt;pages&gt;914&lt;/pages&gt;&lt;v</w:instrText>
      </w:r>
      <w:r>
        <w:instrText>olume&gt;10&lt;/volume&gt;&lt;number&gt;4&lt;/number&gt;&lt;dates&gt;&lt;year&gt;2018&lt;/year&gt;&lt;/dates&gt;&lt;isbn&gt;2071-1050&lt;/isbn&gt;&lt;accession-num&gt;doi:10.3390/su10040914&lt;/accession-num&gt;&lt;urls&gt;&lt;related-urls&gt;&lt;url&gt;http://www.mdpi.com/2071-1050/10/4/914&lt;/url&gt;&lt;/related-urls&gt;&lt;/urls&gt;&lt;/record&gt;&lt;/Cite&gt;&lt;/EndNo</w:instrText>
      </w:r>
      <w:r>
        <w:instrText>te&gt;</w:instrText>
      </w:r>
      <w:r>
        <w:fldChar w:fldCharType="separate"/>
      </w:r>
      <w:r>
        <w:t>(Wuijts et al., 2018</w:t>
      </w:r>
      <w:r>
        <w:fldChar w:fldCharType="end"/>
      </w:r>
      <w:r>
        <w:t xml:space="preserve">). Deze vragen gaan over ‘governance’. De OESO heeft een schematisch overzicht gemaakt van de belangrijke elementen van goed waterbeheer. Deze zijn samengevat in </w:t>
      </w:r>
      <w:r>
        <w:fldChar w:fldCharType="begin"/>
      </w:r>
      <w:r>
        <w:instrText>REF _Ref36651927 \h</w:instrText>
      </w:r>
      <w:r>
        <w:fldChar w:fldCharType="separate"/>
      </w:r>
      <w:r>
        <w:t>Figuur 2</w:t>
      </w:r>
      <w:r>
        <w:fldChar w:fldCharType="end"/>
      </w:r>
      <w:r>
        <w:t xml:space="preserve"> </w:t>
      </w:r>
      <w:r>
        <w:fldChar w:fldCharType="begin"/>
      </w:r>
      <w:r>
        <w:instrText>ADDIN EN.CITE &lt;EndNote&gt;&lt;Cite&gt;&lt;Author&gt;Akhmouch&lt;/Author&gt;&lt;Year&gt;2018&lt;/Year&gt;&lt;RecNum&gt;10677&lt;/RecNum&gt;&lt;DisplayText&gt;(Akhmouch et al., 2018)&lt;/DisplayText&gt;&lt;record&gt;&lt;rec-number&gt;10677&lt;/rec-number&gt;&lt;foreign-keys&gt;&lt;key app="EN" db-id="9vew0e5rcppvxr</w:instrText>
      </w:r>
      <w:r>
        <w:instrText>ezet3vref0tpxfwzzf9f0s" timestamp="1585751950"&gt;10677&lt;/key&gt;&lt;/foreign-keys&gt;&lt;ref-type name="Journal Article"&gt;17&lt;/ref-type&gt;&lt;contributors&gt;&lt;authors&gt;&lt;author&gt;Akhmouch, A.&lt;/author&gt;&lt;author&gt;Clavreul, D&lt;/author&gt;&lt;author&gt;Glas, P.&lt;/author&gt;&lt;/authors&gt;&lt;/contributors&gt;&lt;titles</w:instrText>
      </w:r>
      <w:r>
        <w:instrText>&gt;&lt;title&gt;Introducing the OECD Principles on Water Governance&lt;/title&gt;&lt;secondary-title&gt;Water International&lt;/secondary-title&gt;&lt;/titles&gt;&lt;periodical&gt;&lt;full-title&gt;Water International&lt;/full-title&gt;&lt;/periodical&gt;&lt;pages&gt;5-12&lt;/pages&gt;&lt;volume&gt;43&lt;/volume&gt;&lt;number&gt;1&lt;/number&gt;&lt;</w:instrText>
      </w:r>
      <w:r>
        <w:instrText>dates&gt;&lt;year&gt;2018&lt;/year&gt;&lt;/dates&gt;&lt;work-type&gt; DOI: 10.1080/02508060.2017.1407561 &lt;/work-type&gt;&lt;urls&gt;&lt;/urls&gt;&lt;/record&gt;&lt;/Cite&gt;&lt;/EndNote&gt;</w:instrText>
      </w:r>
      <w:r>
        <w:fldChar w:fldCharType="separate"/>
      </w:r>
      <w:r>
        <w:t>(Akhmouch et al., 2018</w:t>
      </w:r>
      <w:r>
        <w:fldChar w:fldCharType="end"/>
      </w:r>
      <w:r>
        <w:t>).</w:t>
      </w:r>
    </w:p>
    <w:p w14:paraId="7C520002" w14:textId="77777777" w:rsidR="0052375D" w:rsidRDefault="00BE1341">
      <w:r>
        <w:rPr>
          <w:noProof/>
          <w:lang w:eastAsia="nl-NL"/>
        </w:rPr>
        <w:drawing>
          <wp:anchor distT="0" distB="0" distL="114300" distR="114300" simplePos="0" relativeHeight="59" behindDoc="0" locked="0" layoutInCell="1" allowOverlap="1" wp14:anchorId="781AA750" wp14:editId="31919576">
            <wp:simplePos x="0" y="0"/>
            <wp:positionH relativeFrom="margin">
              <wp:posOffset>0</wp:posOffset>
            </wp:positionH>
            <wp:positionV relativeFrom="paragraph">
              <wp:posOffset>213360</wp:posOffset>
            </wp:positionV>
            <wp:extent cx="2706370" cy="2700020"/>
            <wp:effectExtent l="0" t="0" r="0" b="0"/>
            <wp:wrapTopAndBottom/>
            <wp:docPr id="27" name="Picture 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pic:cNvPicPr>
                      <a:picLocks noChangeAspect="1" noChangeArrowheads="1"/>
                    </pic:cNvPicPr>
                  </pic:nvPicPr>
                  <pic:blipFill>
                    <a:blip r:embed="rId33"/>
                    <a:stretch>
                      <a:fillRect/>
                    </a:stretch>
                  </pic:blipFill>
                  <pic:spPr bwMode="auto">
                    <a:xfrm>
                      <a:off x="0" y="0"/>
                      <a:ext cx="2706370" cy="2700020"/>
                    </a:xfrm>
                    <a:prstGeom prst="rect">
                      <a:avLst/>
                    </a:prstGeom>
                  </pic:spPr>
                </pic:pic>
              </a:graphicData>
            </a:graphic>
          </wp:anchor>
        </w:drawing>
      </w:r>
    </w:p>
    <w:p w14:paraId="70D743EF" w14:textId="77777777" w:rsidR="0052375D" w:rsidRDefault="00BE1341">
      <w:pPr>
        <w:pStyle w:val="Caption"/>
        <w:rPr>
          <w:rFonts w:ascii="Verdana" w:hAnsi="Verdana"/>
          <w:sz w:val="21"/>
          <w:szCs w:val="21"/>
        </w:rPr>
      </w:pPr>
      <w:bookmarkStart w:id="15" w:name="_Ref36651927"/>
      <w:r>
        <w:t xml:space="preserve">Figuur </w:t>
      </w:r>
      <w:r>
        <w:fldChar w:fldCharType="begin"/>
      </w:r>
      <w:r>
        <w:instrText>SEQ Figuur \* ARABIC</w:instrText>
      </w:r>
      <w:r>
        <w:fldChar w:fldCharType="separate"/>
      </w:r>
      <w:r>
        <w:t>2</w:t>
      </w:r>
      <w:r>
        <w:fldChar w:fldCharType="end"/>
      </w:r>
      <w:bookmarkEnd w:id="15"/>
      <w:r>
        <w:t>. De OESO-principes die aandacht vragen om tot goed waterbeheer te</w:t>
      </w:r>
      <w:r>
        <w:t xml:space="preserve"> komen.</w:t>
      </w:r>
    </w:p>
    <w:p w14:paraId="0D5627BB" w14:textId="77777777" w:rsidR="0052375D" w:rsidRDefault="0052375D">
      <w:pPr>
        <w:spacing w:line="380" w:lineRule="exact"/>
        <w:rPr>
          <w:rFonts w:ascii="Verdana" w:hAnsi="Verdana"/>
          <w:sz w:val="21"/>
          <w:szCs w:val="21"/>
        </w:rPr>
      </w:pPr>
    </w:p>
    <w:p w14:paraId="3D3EE6CF" w14:textId="77777777" w:rsidR="0052375D" w:rsidRDefault="00BE1341">
      <w:pPr>
        <w:pStyle w:val="Heading2"/>
        <w:numPr>
          <w:ilvl w:val="1"/>
          <w:numId w:val="2"/>
        </w:numPr>
        <w:rPr>
          <w:sz w:val="22"/>
          <w:szCs w:val="22"/>
        </w:rPr>
      </w:pPr>
      <w:bookmarkStart w:id="16" w:name="_Toc65239927"/>
      <w:r>
        <w:lastRenderedPageBreak/>
        <w:t>Het in samenhang beantwoorden van de drie vragen</w:t>
      </w:r>
      <w:bookmarkEnd w:id="16"/>
    </w:p>
    <w:p w14:paraId="31295DAE" w14:textId="77777777" w:rsidR="0052375D" w:rsidRDefault="00BE1341">
      <w:r>
        <w:t xml:space="preserve">In </w:t>
      </w:r>
      <w:r>
        <w:fldChar w:fldCharType="begin"/>
      </w:r>
      <w:r>
        <w:instrText>REF _Ref36651927 \h</w:instrText>
      </w:r>
      <w:r>
        <w:fldChar w:fldCharType="separate"/>
      </w:r>
      <w:r>
        <w:t>Figuur 2</w:t>
      </w:r>
      <w:r>
        <w:fldChar w:fldCharType="end"/>
      </w:r>
      <w:r>
        <w:t xml:space="preserve"> staan drie hoofdcomponenten centraal: effectiviteit, efficiëntie en vertrouwen/betrokkenheid. Elk va</w:t>
      </w:r>
      <w:r>
        <w:t>n die componenten vraagt aandacht, in samenhang. Watersystemen zijn daarenboven ook nog eens complexe systemen om te beheren, omdat elk waterlichaam een natuurlijk (hydrologisch) deel is van een ‘genest’ groter systeem met elk een eigen waterbeheer-autorit</w:t>
      </w:r>
      <w:r>
        <w:t>eit: een Nederlandse polder wordt beheerd door een waterschap, maar is ook deel van bijvoorbeeld het Rijn-stroomgebied. Bovendien stroomt water, zodat vervuiling in Nederland afkomstig kan zijn van het buitenland of van een bovenstroomse buur (voor een aan</w:t>
      </w:r>
      <w:r>
        <w:t xml:space="preserve">tal voorbeeld-kaarten daarvan zie </w:t>
      </w:r>
      <w:r>
        <w:fldChar w:fldCharType="begin"/>
      </w:r>
      <w:r>
        <w:instrText>ADDIN EN.CITE &lt;EndNote&gt;&lt;Cite AuthorYear="1"&gt;&lt;Author&gt;KIWK-Tox WP2&lt;/Author&gt;&lt;Year&gt;2020&lt;/Year&gt;&lt;RecNum&gt;10662&lt;/RecNum&gt;&lt;DisplayText&gt;KIWK-Tox WP2 (2020c)&lt;/DisplayText&gt;&lt;record&gt;&lt;rec-number&gt;10662&lt;/rec-number&gt;&lt;foreign-keys&gt;&lt;key app="E</w:instrText>
      </w:r>
      <w:r>
        <w:instrText>N" db-id="9vew0e5rcppvxrezet3vref0tpxfwzzf9f0s" timestamp="1584980023"&gt;10662&lt;/key&gt;&lt;/foreign-keys&gt;&lt;ref-type name="Report"&gt;27&lt;/ref-type&gt;&lt;contributors&gt;&lt;authors&gt;&lt;author&gt;KIWK-Tox WP2,&lt;/author&gt;&lt;/authors&gt;&lt;/contributors&gt;&lt;titles&gt;&lt;title&gt;Notitie Kennis Impuls WaterKw</w:instrText>
      </w:r>
      <w:r>
        <w:instrText>aliteit - Toxiciteit:&amp;quot; Over DPSIR@@@&lt;/title&gt;&lt;/titles&gt;&lt;dates&gt;&lt;year&gt;2020&lt;/year&gt;&lt;/dates&gt;&lt;publisher&gt;STOWA, Amsersfoort&lt;/publisher&gt;&lt;urls&gt;&lt;/urls&gt;&lt;/record&gt;&lt;/Cite&gt;&lt;/EndNote&gt;</w:instrText>
      </w:r>
      <w:hyperlink w:anchor="_ENREF_12" w:tgtFrame="KIWK-Tox WP2, 2020 #10662">
        <w:r>
          <w:instrText>KIWK-Tox WP2 (2020c)</w:instrText>
        </w:r>
      </w:hyperlink>
      <w:r>
        <w:fldChar w:fldCharType="end"/>
      </w:r>
      <w:r>
        <w:t>.</w:t>
      </w:r>
      <w:r>
        <w:t xml:space="preserve"> Bij het afleiden van technische maatregelen moeten al deze factoren in beschouwing worden genomen. </w:t>
      </w:r>
    </w:p>
    <w:p w14:paraId="1AFBA4D2" w14:textId="77777777" w:rsidR="0052375D" w:rsidRDefault="0052375D"/>
    <w:p w14:paraId="42EEC024" w14:textId="77777777" w:rsidR="0052375D" w:rsidRDefault="00BE1341">
      <w:r>
        <w:fldChar w:fldCharType="begin"/>
      </w:r>
      <w:r>
        <w:instrText>ADDIN EN.CITE &lt;EndNote&gt;&lt;Cite AuthorYear="1"&gt;&lt;Author&gt;Wuijts&lt;/Author&gt;&lt;Year&gt;2018&lt;/Year&gt;&lt;RecNum&gt;9437&lt;/RecNum&gt;&lt;DisplayText&gt;Wuijts et al. (2018)&lt;/DisplayText&gt;&lt;r</w:instrText>
      </w:r>
      <w:r>
        <w:instrText>ecord&gt;&lt;rec-number&gt;9437&lt;/rec-number&gt;&lt;foreign-keys&gt;&lt;key app="EN" db-id="9vew0e5rcppvxrezet3vref0tpxfwzzf9f0s" timestamp="1522218764"&gt;9437&lt;/key&gt;&lt;/foreign-keys&gt;&lt;ref-type name="Journal Article"&gt;17&lt;/ref-type&gt;&lt;contributors&gt;&lt;authors&gt;&lt;author&gt;Wuijts, Susanne&lt;/author</w:instrText>
      </w:r>
      <w:r>
        <w:instrText>&gt;&lt;author&gt;Driessen, Peter&lt;/author&gt;&lt;author&gt;Van Rijswick, Helena&lt;/author&gt;&lt;/authors&gt;&lt;/contributors&gt;&lt;titles&gt;&lt;title&gt;Towards More Effective Water Quality Governance: A Review of Social-Economic, Legal and Ecological Perspectives and Their Interactions&lt;/title&gt;&lt;sec</w:instrText>
      </w:r>
      <w:r>
        <w:instrText>ondary-title&gt;Sustainability&lt;/secondary-title&gt;&lt;/titles&gt;&lt;periodical&gt;&lt;full-title&gt;Sustainability&lt;/full-title&gt;&lt;/periodical&gt;&lt;pages&gt;914&lt;/pages&gt;&lt;volume&gt;10&lt;/volume&gt;&lt;number&gt;4&lt;/number&gt;&lt;dates&gt;&lt;year&gt;2018&lt;/year&gt;&lt;/dates&gt;&lt;isbn&gt;2071-1050&lt;/isbn&gt;&lt;accession-num&gt;doi:10.3390/su</w:instrText>
      </w:r>
      <w:r>
        <w:instrText>10040914&lt;/accession-num&gt;&lt;urls&gt;&lt;related-urls&gt;&lt;url&gt;http://www.mdpi.com/2071-1050/10/4/914&lt;/url&gt;&lt;/related-urls&gt;&lt;/urls&gt;&lt;/record&gt;&lt;/Cite&gt;&lt;/EndNote&gt;</w:instrText>
      </w:r>
      <w:hyperlink w:anchor="_ENREF_23" w:tgtFrame="Wuijts, 2018 #9437">
        <w:r>
          <w:instrText>Wuijts et al. (2018)</w:instrText>
        </w:r>
      </w:hyperlink>
      <w:r>
        <w:fldChar w:fldCharType="end"/>
      </w:r>
      <w:r>
        <w:t xml:space="preserve"> hebben een voorstel gedaan voor het </w:t>
      </w:r>
      <w:r>
        <w:t>afstemmen van de ‘wat-vraag’ (de ecologische toestand, e.d.), het wettelijke kader (de KRW en de daarbij horende regelgeving en handreikingen) en de sociaal-economische context (die vaak een lokaal specifieke eigenschappen heeft). De relaties worden getoon</w:t>
      </w:r>
      <w:r>
        <w:t xml:space="preserve">d in </w:t>
      </w:r>
      <w:r>
        <w:fldChar w:fldCharType="begin"/>
      </w:r>
      <w:r>
        <w:instrText>REF _Ref36652780 \h</w:instrText>
      </w:r>
      <w:r>
        <w:fldChar w:fldCharType="separate"/>
      </w:r>
      <w:r>
        <w:t>Figuur 3</w:t>
      </w:r>
      <w:r>
        <w:fldChar w:fldCharType="end"/>
      </w:r>
      <w:r>
        <w:t>. Erkenning van de relaties, en bewuste afstemming ertussen, zijn nodig voor de afleiding en goede implementatie van maatregelen.</w:t>
      </w:r>
    </w:p>
    <w:p w14:paraId="5C4DF33A" w14:textId="77777777" w:rsidR="0052375D" w:rsidRDefault="00BE1341">
      <w:r>
        <w:rPr>
          <w:noProof/>
          <w:lang w:eastAsia="nl-NL"/>
        </w:rPr>
        <w:drawing>
          <wp:anchor distT="0" distB="0" distL="114300" distR="114300" simplePos="0" relativeHeight="60" behindDoc="0" locked="0" layoutInCell="1" allowOverlap="1" wp14:anchorId="391F8AD6" wp14:editId="0A1E0BB6">
            <wp:simplePos x="0" y="0"/>
            <wp:positionH relativeFrom="margin">
              <wp:posOffset>0</wp:posOffset>
            </wp:positionH>
            <wp:positionV relativeFrom="paragraph">
              <wp:posOffset>282575</wp:posOffset>
            </wp:positionV>
            <wp:extent cx="5105400" cy="389382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4"/>
                    <a:srcRect l="24094" t="11645" r="25187" b="19565"/>
                    <a:stretch>
                      <a:fillRect/>
                    </a:stretch>
                  </pic:blipFill>
                  <pic:spPr bwMode="auto">
                    <a:xfrm>
                      <a:off x="0" y="0"/>
                      <a:ext cx="5105400" cy="3893820"/>
                    </a:xfrm>
                    <a:prstGeom prst="rect">
                      <a:avLst/>
                    </a:prstGeom>
                  </pic:spPr>
                </pic:pic>
              </a:graphicData>
            </a:graphic>
          </wp:anchor>
        </w:drawing>
      </w:r>
    </w:p>
    <w:p w14:paraId="3578E338" w14:textId="77777777" w:rsidR="0052375D" w:rsidRDefault="0052375D">
      <w:pPr>
        <w:rPr>
          <w:rFonts w:ascii="Verdana" w:hAnsi="Verdana"/>
          <w:sz w:val="21"/>
          <w:szCs w:val="21"/>
        </w:rPr>
      </w:pPr>
    </w:p>
    <w:p w14:paraId="79B1AB70" w14:textId="77777777" w:rsidR="0052375D" w:rsidRDefault="00BE1341">
      <w:pPr>
        <w:pStyle w:val="Caption"/>
        <w:rPr>
          <w:sz w:val="22"/>
          <w:szCs w:val="22"/>
        </w:rPr>
      </w:pPr>
      <w:bookmarkStart w:id="17" w:name="_Ref36652780"/>
      <w:r>
        <w:t xml:space="preserve">Figuur </w:t>
      </w:r>
      <w:r>
        <w:fldChar w:fldCharType="begin"/>
      </w:r>
      <w:r>
        <w:instrText>SEQ Figuur \* ARA</w:instrText>
      </w:r>
      <w:r>
        <w:instrText>BIC</w:instrText>
      </w:r>
      <w:r>
        <w:fldChar w:fldCharType="separate"/>
      </w:r>
      <w:r>
        <w:t>3</w:t>
      </w:r>
      <w:r>
        <w:fldChar w:fldCharType="end"/>
      </w:r>
      <w:bookmarkEnd w:id="17"/>
      <w:r>
        <w:t>. De relaties tussen het raamwerk voor waterbeheer (</w:t>
      </w:r>
      <w:r>
        <w:rPr>
          <w:i/>
          <w:iCs/>
        </w:rPr>
        <w:t>governance</w:t>
      </w:r>
      <w:r>
        <w:t xml:space="preserve">) en drie interactieniveaus (water, wet en sociaal-economisch), afgeleid van </w:t>
      </w:r>
      <w:r>
        <w:fldChar w:fldCharType="begin"/>
      </w:r>
      <w:r>
        <w:instrText>ADDIN EN.CITE &lt;EndNote&gt;&lt;Cite AuthorYear="1"&gt;&lt;Author&gt;Van Rijswijck&lt;/Author&gt;&lt;Year&gt;2014&lt;/Year&gt;&lt;RecNum&gt;10676&lt;/RecN</w:instrText>
      </w:r>
      <w:r>
        <w:instrText>um&gt;&lt;DisplayText&gt;Van Rijswijck et al. (2014)&lt;/DisplayText&gt;&lt;record&gt;&lt;rec-number&gt;10676&lt;/rec-number&gt;&lt;foreign-keys&gt;&lt;key app="EN" db-id="9vew0e5rcppvxrezet3vref0tpxfwzzf9f0s" timestamp="1585751758"&gt;10676&lt;/key&gt;&lt;/foreign-keys&gt;&lt;ref-type name="Journal Article"&gt;17&lt;/re</w:instrText>
      </w:r>
      <w:r>
        <w:instrText xml:space="preserve">f-type&gt;&lt;contributors&gt;&lt;authors&gt;&lt;author&gt;Van Rijswijck, M. &lt;/author&gt;&lt;author&gt;Edelenbos, J.&lt;/author&gt;&lt;author&gt;Hellegers, P.&lt;/author&gt;&lt;author&gt;Kok, M.&lt;/author&gt;&lt;author&gt;Kuks, S.&lt;/author&gt;&lt;/authors&gt;&lt;/contributors&gt;&lt;titles&gt;&lt;title&gt;Ten building blocks for sustainable water </w:instrText>
      </w:r>
      <w:r>
        <w:instrText>governance: an integrated method to assess the governance of water&lt;/title&gt;&lt;secondary-title&gt;Water International&lt;/secondary-title&gt;&lt;/titles&gt;&lt;periodical&gt;&lt;full-title&gt;Water International&lt;/full-title&gt;&lt;/periodical&gt;&lt;pages&gt;725-742&lt;/pages&gt;&lt;volume&gt;39&lt;/volume&gt;&lt;number&gt;5</w:instrText>
      </w:r>
      <w:r>
        <w:instrText>&lt;/number&gt;&lt;dates&gt;&lt;year&gt;2014&lt;/year&gt;&lt;/dates&gt;&lt;urls&gt;&lt;/urls&gt;&lt;custom2&gt; DOI: 10.1080/02508060.2014.951828 &lt;/custom2&gt;&lt;/record&gt;&lt;/Cite&gt;&lt;/EndNote&gt;</w:instrText>
      </w:r>
      <w:hyperlink w:anchor="_ENREF_21" w:tgtFrame="Van Rijswijck, 2014 #10676">
        <w:r>
          <w:instrText>Van Rijswijck et al. (2014)</w:instrText>
        </w:r>
      </w:hyperlink>
      <w:r>
        <w:fldChar w:fldCharType="end"/>
      </w:r>
      <w:r>
        <w:t xml:space="preserve"> door </w:t>
      </w:r>
      <w:r>
        <w:fldChar w:fldCharType="begin"/>
      </w:r>
      <w:r>
        <w:instrText>ADDIN EN.CITE &lt;EndNote&gt;</w:instrText>
      </w:r>
      <w:r>
        <w:instrText>&lt;Cite AuthorYear="1"&gt;&lt;Author&gt;Wuijts&lt;/Author&gt;&lt;Year&gt;2018&lt;/Year&gt;&lt;RecNum&gt;9437&lt;/RecNum&gt;&lt;DisplayText&gt;Wuijts et al. (2018)&lt;/DisplayText&gt;&lt;record&gt;&lt;rec-number&gt;9437&lt;/rec-number&gt;&lt;foreign-keys&gt;&lt;key app="EN" db-id="9vew0e5rcppvxrezet3vref0tpxfwzzf9f0s" timestamp="152221</w:instrText>
      </w:r>
      <w:r>
        <w:instrText>8764"&gt;9437&lt;/key&gt;&lt;/foreign-keys&gt;&lt;ref-type name="Journal Article"&gt;17&lt;/ref-type&gt;&lt;contributors&gt;&lt;authors&gt;&lt;author&gt;Wuijts, Susanne&lt;/author&gt;&lt;author&gt;Driessen, Peter&lt;/author&gt;&lt;author&gt;Van Rijswick, Helena&lt;/author&gt;&lt;/authors&gt;&lt;/contributors&gt;&lt;titles&gt;&lt;title&gt;Towards More Ef</w:instrText>
      </w:r>
      <w:r>
        <w:instrText>fective Water Quality Governance: A Review of Social-Economic, Legal and Ecological Perspectives and Their Interactions&lt;/title&gt;&lt;secondary-title&gt;Sustainability&lt;/secondary-title&gt;&lt;/titles&gt;&lt;periodical&gt;&lt;full-title&gt;Sustainability&lt;/full-title&gt;&lt;/periodical&gt;&lt;pages&gt;</w:instrText>
      </w:r>
      <w:r>
        <w:instrText>914&lt;/pages&gt;&lt;volume&gt;10&lt;/volume&gt;&lt;number&gt;4&lt;/number&gt;&lt;dates&gt;&lt;year&gt;2018&lt;/year&gt;&lt;/dates&gt;&lt;isbn&gt;2071-1050&lt;/isbn&gt;&lt;accession-num&gt;doi:10.3390/su10040914&lt;/accession-num&gt;&lt;urls&gt;&lt;related-urls&gt;&lt;url&gt;http://www.mdpi.com/2071-1050/10/4/914&lt;/url&gt;&lt;/related-urls&gt;&lt;/urls&gt;&lt;/record&gt;&lt;</w:instrText>
      </w:r>
      <w:r>
        <w:instrText>/Cite&gt;&lt;/EndNote&gt;</w:instrText>
      </w:r>
      <w:hyperlink w:anchor="_ENREF_23" w:tgtFrame="Wuijts, 2018 #9437">
        <w:r>
          <w:instrText>Wuijts et al. (2018)</w:instrText>
        </w:r>
      </w:hyperlink>
      <w:r>
        <w:fldChar w:fldCharType="end"/>
      </w:r>
      <w:r>
        <w:t>.</w:t>
      </w:r>
    </w:p>
    <w:p w14:paraId="300AEE8F" w14:textId="77777777" w:rsidR="0052375D" w:rsidRDefault="0052375D">
      <w:pPr>
        <w:spacing w:line="380" w:lineRule="exact"/>
        <w:rPr>
          <w:rFonts w:ascii="Verdana" w:hAnsi="Verdana"/>
          <w:sz w:val="21"/>
          <w:szCs w:val="21"/>
        </w:rPr>
      </w:pPr>
    </w:p>
    <w:p w14:paraId="2E6EBBFE" w14:textId="77777777" w:rsidR="0052375D" w:rsidRDefault="00BE1341">
      <w:pPr>
        <w:pStyle w:val="Heading2"/>
        <w:numPr>
          <w:ilvl w:val="1"/>
          <w:numId w:val="2"/>
        </w:numPr>
        <w:rPr>
          <w:sz w:val="22"/>
          <w:szCs w:val="22"/>
        </w:rPr>
      </w:pPr>
      <w:bookmarkStart w:id="18" w:name="_Toc65239928"/>
      <w:r>
        <w:lastRenderedPageBreak/>
        <w:t>Aspecten van de ‘hoe’-vraag</w:t>
      </w:r>
      <w:bookmarkEnd w:id="18"/>
      <w:r>
        <w:t xml:space="preserve"> </w:t>
      </w:r>
    </w:p>
    <w:p w14:paraId="692EC328" w14:textId="77777777" w:rsidR="0052375D" w:rsidRDefault="00BE1341">
      <w:r>
        <w:t xml:space="preserve">De afstemming die voor concreet waterbeheer en beheersmaatregelen nodig is kan concreet ondersteund worden het kiezen van de juiste vorm van de aanpak die gekozen wordt, namelijk: een vorm die past bij het probleem, de lokale context en de lokale actoren. </w:t>
      </w:r>
      <w:r>
        <w:t xml:space="preserve">De aanpak kan, afhankelijk van de lokale situatie, namelijk sterk variëren. </w:t>
      </w:r>
    </w:p>
    <w:p w14:paraId="4201C51A" w14:textId="77777777" w:rsidR="0052375D" w:rsidRDefault="0052375D"/>
    <w:p w14:paraId="58F33BAE" w14:textId="77777777" w:rsidR="0052375D" w:rsidRDefault="00BE1341">
      <w:r>
        <w:rPr>
          <w:noProof/>
          <w:lang w:eastAsia="nl-NL"/>
        </w:rPr>
        <w:drawing>
          <wp:anchor distT="0" distB="0" distL="114300" distR="114300" simplePos="0" relativeHeight="61" behindDoc="0" locked="0" layoutInCell="1" allowOverlap="1" wp14:anchorId="3DB40209" wp14:editId="3DBEE099">
            <wp:simplePos x="0" y="0"/>
            <wp:positionH relativeFrom="column">
              <wp:posOffset>1270</wp:posOffset>
            </wp:positionH>
            <wp:positionV relativeFrom="paragraph">
              <wp:posOffset>697230</wp:posOffset>
            </wp:positionV>
            <wp:extent cx="4057650" cy="2242185"/>
            <wp:effectExtent l="0" t="0" r="0" b="0"/>
            <wp:wrapTopAndBottom/>
            <wp:docPr id="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0"/>
                    <pic:cNvPicPr>
                      <a:picLocks noChangeAspect="1" noChangeArrowheads="1"/>
                    </pic:cNvPicPr>
                  </pic:nvPicPr>
                  <pic:blipFill>
                    <a:blip r:embed="rId35"/>
                    <a:srcRect b="9849"/>
                    <a:stretch>
                      <a:fillRect/>
                    </a:stretch>
                  </pic:blipFill>
                  <pic:spPr bwMode="auto">
                    <a:xfrm>
                      <a:off x="0" y="0"/>
                      <a:ext cx="4057650" cy="2242185"/>
                    </a:xfrm>
                    <a:prstGeom prst="rect">
                      <a:avLst/>
                    </a:prstGeom>
                  </pic:spPr>
                </pic:pic>
              </a:graphicData>
            </a:graphic>
          </wp:anchor>
        </w:drawing>
      </w:r>
      <w:r>
        <w:rPr>
          <w:noProof/>
          <w:lang w:eastAsia="nl-NL"/>
        </w:rPr>
        <w:drawing>
          <wp:anchor distT="0" distB="0" distL="114300" distR="114300" simplePos="0" relativeHeight="62" behindDoc="0" locked="0" layoutInCell="1" allowOverlap="1" wp14:anchorId="5EBB1271" wp14:editId="49BF501E">
            <wp:simplePos x="0" y="0"/>
            <wp:positionH relativeFrom="margin">
              <wp:posOffset>150495</wp:posOffset>
            </wp:positionH>
            <wp:positionV relativeFrom="paragraph">
              <wp:posOffset>2995295</wp:posOffset>
            </wp:positionV>
            <wp:extent cx="3169920" cy="3431540"/>
            <wp:effectExtent l="0" t="0" r="0" b="0"/>
            <wp:wrapTopAndBottom/>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noChangeArrowheads="1"/>
                    </pic:cNvPicPr>
                  </pic:nvPicPr>
                  <pic:blipFill>
                    <a:blip r:embed="rId36"/>
                    <a:stretch>
                      <a:fillRect/>
                    </a:stretch>
                  </pic:blipFill>
                  <pic:spPr bwMode="auto">
                    <a:xfrm>
                      <a:off x="0" y="0"/>
                      <a:ext cx="3169920" cy="3431540"/>
                    </a:xfrm>
                    <a:prstGeom prst="rect">
                      <a:avLst/>
                    </a:prstGeom>
                  </pic:spPr>
                </pic:pic>
              </a:graphicData>
            </a:graphic>
          </wp:anchor>
        </w:drawing>
      </w:r>
      <w:r>
        <w:t>Vanuit de gedragswetenschappen is duidelijk dat er meerdere werkwijzen gekozen kunnen worden. Bijvoorbeeld de indeling van maatregelen op een steeds strenger wordende intervent</w:t>
      </w:r>
      <w:r>
        <w:t>ieladder enerzijds, of het toepassen van verschillende soorten motieven (verhaallijnen) bij de motivatie van maatregelen anderzijds (</w:t>
      </w:r>
      <w:r>
        <w:fldChar w:fldCharType="begin"/>
      </w:r>
      <w:r>
        <w:instrText>REF _Ref36655147 \h</w:instrText>
      </w:r>
      <w:r>
        <w:fldChar w:fldCharType="separate"/>
      </w:r>
      <w:r>
        <w:t>Figuur 4</w:t>
      </w:r>
      <w:r>
        <w:fldChar w:fldCharType="end"/>
      </w:r>
      <w:r>
        <w:t>).</w:t>
      </w:r>
    </w:p>
    <w:p w14:paraId="064555C3" w14:textId="77777777" w:rsidR="0052375D" w:rsidRDefault="00BE1341">
      <w:pPr>
        <w:pStyle w:val="Caption"/>
        <w:rPr>
          <w:rFonts w:ascii="Verdana" w:hAnsi="Verdana"/>
          <w:sz w:val="21"/>
          <w:szCs w:val="21"/>
        </w:rPr>
      </w:pPr>
      <w:bookmarkStart w:id="19" w:name="_Ref36655147"/>
      <w:r>
        <w:t xml:space="preserve">Figuur </w:t>
      </w:r>
      <w:r>
        <w:fldChar w:fldCharType="begin"/>
      </w:r>
      <w:r>
        <w:instrText>SEQ Figuur \* ARABI</w:instrText>
      </w:r>
      <w:r>
        <w:instrText>C</w:instrText>
      </w:r>
      <w:r>
        <w:fldChar w:fldCharType="separate"/>
      </w:r>
      <w:r>
        <w:t>4</w:t>
      </w:r>
      <w:r>
        <w:fldChar w:fldCharType="end"/>
      </w:r>
      <w:bookmarkEnd w:id="19"/>
      <w:r>
        <w:t>. Indelingen van manieren om maatregelen in te voeren bij waterbeheer. Boven: de interventieladder, met maatregelen die steeds duidelijker en dwingender worden. Onder: beslisheuristieken (“verhaal-lijnen”). Bron: pers. meded. M. Lambooij (KIWK-project</w:t>
      </w:r>
      <w:r>
        <w:t xml:space="preserve"> Gedragswetenschappen in de Waterketen).</w:t>
      </w:r>
      <w:r>
        <w:rPr>
          <w:rFonts w:ascii="Verdana" w:hAnsi="Verdana"/>
          <w:sz w:val="21"/>
          <w:szCs w:val="21"/>
        </w:rPr>
        <w:t xml:space="preserve">   </w:t>
      </w:r>
    </w:p>
    <w:p w14:paraId="2CF7BB42" w14:textId="77777777" w:rsidR="0052375D" w:rsidRDefault="00BE1341">
      <w:r>
        <w:rPr>
          <w:noProof/>
          <w:lang w:eastAsia="nl-NL"/>
        </w:rPr>
        <w:lastRenderedPageBreak/>
        <w:drawing>
          <wp:anchor distT="0" distB="0" distL="114300" distR="114300" simplePos="0" relativeHeight="63" behindDoc="0" locked="0" layoutInCell="1" allowOverlap="1" wp14:anchorId="4B716B49" wp14:editId="592DA7EF">
            <wp:simplePos x="0" y="0"/>
            <wp:positionH relativeFrom="margin">
              <wp:posOffset>0</wp:posOffset>
            </wp:positionH>
            <wp:positionV relativeFrom="paragraph">
              <wp:posOffset>1385570</wp:posOffset>
            </wp:positionV>
            <wp:extent cx="4694555" cy="4503420"/>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3"/>
                    <a:stretch>
                      <a:fillRect/>
                    </a:stretch>
                  </pic:blipFill>
                  <pic:spPr bwMode="auto">
                    <a:xfrm>
                      <a:off x="0" y="0"/>
                      <a:ext cx="4694555" cy="4503420"/>
                    </a:xfrm>
                    <a:prstGeom prst="rect">
                      <a:avLst/>
                    </a:prstGeom>
                  </pic:spPr>
                </pic:pic>
              </a:graphicData>
            </a:graphic>
          </wp:anchor>
        </w:drawing>
      </w:r>
      <w:r>
        <w:t xml:space="preserve">De verschillende mogelijke interventie-typen en motivaties (“verhaallijnen”) uit </w:t>
      </w:r>
      <w:r>
        <w:fldChar w:fldCharType="begin"/>
      </w:r>
      <w:r>
        <w:instrText>REF _Ref36655147 \h</w:instrText>
      </w:r>
      <w:r>
        <w:fldChar w:fldCharType="separate"/>
      </w:r>
      <w:r>
        <w:t>Figuur 4</w:t>
      </w:r>
      <w:r>
        <w:fldChar w:fldCharType="end"/>
      </w:r>
      <w:r>
        <w:t xml:space="preserve"> kunnen daarbij ook nog eens op heel verschillende manieren gebruikt worden bij de gesprekken tussen de belanghebbenden bij het beheer. Het is vaak namelijk zo, dat de probleemsituatie feitelijk wordt gevormd door een keten van actoren (die op de DPSIR-ben</w:t>
      </w:r>
      <w:r>
        <w:t xml:space="preserve">adering geplot kunnen worden). Al die actoren hebben verschillende belangen en gezichtspunten: ze hebben – gezien in het DPSIR-model – een rol als </w:t>
      </w:r>
      <w:r>
        <w:rPr>
          <w:i/>
          <w:iCs/>
        </w:rPr>
        <w:t>Driver</w:t>
      </w:r>
      <w:r>
        <w:t xml:space="preserve"> die een economische activiteit uitvoeren (producenten) of die een product gebruiken en afdanken (</w:t>
      </w:r>
      <w:r>
        <w:rPr>
          <w:i/>
          <w:iCs/>
        </w:rPr>
        <w:t>Press</w:t>
      </w:r>
      <w:r>
        <w:rPr>
          <w:i/>
          <w:iCs/>
        </w:rPr>
        <w:t>ure</w:t>
      </w:r>
      <w:r>
        <w:t xml:space="preserve">) wat tot emissies leidt, etc.. Maatregelen kunnen dan ook het beste gezien worden in het verband van gehele ketens. Een voorbeeld daarvan wordt getoond in </w:t>
      </w:r>
      <w:r>
        <w:fldChar w:fldCharType="begin"/>
      </w:r>
      <w:r>
        <w:instrText>REF _Ref36655426 \h</w:instrText>
      </w:r>
      <w:r>
        <w:fldChar w:fldCharType="separate"/>
      </w:r>
      <w:r>
        <w:t>Figuur 5</w:t>
      </w:r>
      <w:r>
        <w:fldChar w:fldCharType="end"/>
      </w:r>
      <w:r>
        <w:t>.</w:t>
      </w:r>
    </w:p>
    <w:p w14:paraId="36D7AD44" w14:textId="77777777" w:rsidR="0052375D" w:rsidRDefault="00BE1341">
      <w:pPr>
        <w:pStyle w:val="Caption"/>
        <w:rPr>
          <w:sz w:val="22"/>
          <w:szCs w:val="22"/>
        </w:rPr>
      </w:pPr>
      <w:bookmarkStart w:id="20" w:name="_Ref36655426"/>
      <w:r>
        <w:t>F</w:t>
      </w:r>
      <w:r>
        <w:t xml:space="preserve">iguur </w:t>
      </w:r>
      <w:r>
        <w:fldChar w:fldCharType="begin"/>
      </w:r>
      <w:r>
        <w:instrText>SEQ Figuur \* ARABIC</w:instrText>
      </w:r>
      <w:r>
        <w:fldChar w:fldCharType="separate"/>
      </w:r>
      <w:r>
        <w:t>5</w:t>
      </w:r>
      <w:r>
        <w:fldChar w:fldCharType="end"/>
      </w:r>
      <w:bookmarkEnd w:id="20"/>
      <w:r>
        <w:t>. Waterbeheer gaat vaak over ketenbeheer (de oranje lijn) via welke alle belanghebbenden een binding hebben met de waterkwaliteit, wat hier geïllustreerd is voor de keten voor medicijnen (van productie en gebruik tot verwijder</w:t>
      </w:r>
      <w:r>
        <w:t xml:space="preserve">ing in de rioolwaterzuivering).. Elke belanghebbende kan met diverse anderen een interactie hebben, en elke vorm van interactie uit </w:t>
      </w:r>
      <w:r>
        <w:fldChar w:fldCharType="begin"/>
      </w:r>
      <w:r>
        <w:instrText>REF _Ref36655147 \h</w:instrText>
      </w:r>
      <w:r>
        <w:fldChar w:fldCharType="separate"/>
      </w:r>
      <w:r>
        <w:t>Figuur 4</w:t>
      </w:r>
      <w:r>
        <w:fldChar w:fldCharType="end"/>
      </w:r>
      <w:r>
        <w:t xml:space="preserve"> is daarbij denkbaar. De pictog</w:t>
      </w:r>
      <w:r>
        <w:t xml:space="preserve">rammen vertegenwoordigen de verschillende vormen van interactie uit </w:t>
      </w:r>
      <w:r>
        <w:fldChar w:fldCharType="begin"/>
      </w:r>
      <w:r>
        <w:instrText>REF _Ref36655147 \h</w:instrText>
      </w:r>
      <w:r>
        <w:fldChar w:fldCharType="separate"/>
      </w:r>
      <w:r>
        <w:t>Figuur 4</w:t>
      </w:r>
      <w:r>
        <w:fldChar w:fldCharType="end"/>
      </w:r>
      <w:r>
        <w:t>.</w:t>
      </w:r>
    </w:p>
    <w:p w14:paraId="0B1EDED3" w14:textId="77777777" w:rsidR="0052375D" w:rsidRDefault="0052375D"/>
    <w:p w14:paraId="3A570551" w14:textId="77777777" w:rsidR="0052375D" w:rsidRDefault="00BE1341">
      <w:r>
        <w:t>Als samenvatting kan gesteld worden dat het belangrijk is om de “wie-vraag” en de “hoe-vraag</w:t>
      </w:r>
      <w:r>
        <w:t xml:space="preserve">” te stellen, en de daarbij horende vraagstukken te beantwoorden. Dat is cruciaal om de waterkwaliteit (kosten)effectief te bevorderen </w:t>
      </w:r>
      <w:r>
        <w:fldChar w:fldCharType="begin"/>
      </w:r>
      <w:r>
        <w:instrText>ADDIN EN.CITE &lt;EndNote&gt;&lt;Cite&gt;&lt;Author&gt;Wuijts&lt;/Author&gt;&lt;Year&gt;2018&lt;/Year&gt;&lt;RecNum&gt;9437&lt;/RecNum&gt;&lt;DisplayText&gt;(Wuijts et al., 20</w:instrText>
      </w:r>
      <w:r>
        <w:instrText>18)&lt;/DisplayText&gt;&lt;record&gt;&lt;rec-number&gt;9437&lt;/rec-number&gt;&lt;foreign-keys&gt;&lt;key app="EN" db-id="9vew0e5rcppvxrezet3vref0tpxfwzzf9f0s" timestamp="1522218764"&gt;9437&lt;/key&gt;&lt;/foreign-keys&gt;&lt;ref-type name="Journal Article"&gt;17&lt;/ref-type&gt;&lt;contributors&gt;&lt;authors&gt;&lt;author&gt;Wuij</w:instrText>
      </w:r>
      <w:r>
        <w:instrText>ts, Susanne&lt;/author&gt;&lt;author&gt;Driessen, Peter&lt;/author&gt;&lt;author&gt;Van Rijswick, Helena&lt;/author&gt;&lt;/authors&gt;&lt;/contributors&gt;&lt;titles&gt;&lt;title&gt;Towards More Effective Water Quality Governance: A Review of Social-Economic, Legal and Ecological Perspectives and Their Inter</w:instrText>
      </w:r>
      <w:r>
        <w:instrText>actions&lt;/title&gt;&lt;secondary-title&gt;Sustainability&lt;/secondary-title&gt;&lt;/titles&gt;&lt;periodical&gt;&lt;full-title&gt;Sustainability&lt;/full-title&gt;&lt;/periodical&gt;&lt;pages&gt;914&lt;/pages&gt;&lt;volume&gt;10&lt;/volume&gt;&lt;number&gt;4&lt;/number&gt;&lt;dates&gt;&lt;year&gt;2018&lt;/year&gt;&lt;/dates&gt;&lt;isbn&gt;2071-1050&lt;/isbn&gt;&lt;accession</w:instrText>
      </w:r>
      <w:r>
        <w:instrText>-num&gt;doi:10.3390/su10040914&lt;/accession-num&gt;&lt;urls&gt;&lt;related-urls&gt;&lt;url&gt;http://www.mdpi.com/2071-1050/10/4/914&lt;/url&gt;&lt;/related-urls&gt;&lt;/urls&gt;&lt;/record&gt;&lt;/Cite&gt;&lt;/EndNote&gt;</w:instrText>
      </w:r>
      <w:r>
        <w:fldChar w:fldCharType="separate"/>
      </w:r>
      <w:r>
        <w:t>(Wuijts et al., 2018</w:t>
      </w:r>
      <w:r>
        <w:fldChar w:fldCharType="end"/>
      </w:r>
      <w:r>
        <w:t>).</w:t>
      </w:r>
    </w:p>
    <w:p w14:paraId="3773C4E6" w14:textId="77777777" w:rsidR="0052375D" w:rsidRDefault="0052375D">
      <w:pPr>
        <w:spacing w:line="380" w:lineRule="exact"/>
        <w:rPr>
          <w:rFonts w:ascii="Verdana" w:hAnsi="Verdana"/>
          <w:sz w:val="21"/>
          <w:szCs w:val="21"/>
        </w:rPr>
      </w:pPr>
    </w:p>
    <w:p w14:paraId="6F55888A" w14:textId="77777777" w:rsidR="0052375D" w:rsidRDefault="00BE1341">
      <w:pPr>
        <w:pStyle w:val="Heading1"/>
        <w:numPr>
          <w:ilvl w:val="0"/>
          <w:numId w:val="2"/>
        </w:numPr>
        <w:rPr>
          <w:sz w:val="22"/>
          <w:szCs w:val="22"/>
        </w:rPr>
      </w:pPr>
      <w:bookmarkStart w:id="21" w:name="_Toc65239929"/>
      <w:r>
        <w:lastRenderedPageBreak/>
        <w:t>De ‘wat-vraag’: maatregelen als kern van de KRW</w:t>
      </w:r>
      <w:bookmarkEnd w:id="21"/>
    </w:p>
    <w:p w14:paraId="3F63FFEF" w14:textId="77777777" w:rsidR="0052375D" w:rsidRDefault="00BE1341">
      <w:r>
        <w:t>We stappen nu over na</w:t>
      </w:r>
      <w:r>
        <w:t xml:space="preserve">ar de ‘wat-vraag’. Wat voor maatregelen kunnen er genomen worden tegen bedreigingen van de waterkwaliteit door meer dan 145.000 stoffen en hun mengsels? De ESFT-aanpak van deze vraag staat als hoofdlijn samengevat in </w:t>
      </w:r>
      <w:r>
        <w:fldChar w:fldCharType="begin"/>
      </w:r>
      <w:r>
        <w:instrText>REF _Ref36657262 \h</w:instrText>
      </w:r>
      <w:r>
        <w:fldChar w:fldCharType="separate"/>
      </w:r>
      <w:r>
        <w:t>Figuur 6</w:t>
      </w:r>
      <w:r>
        <w:fldChar w:fldCharType="end"/>
      </w:r>
      <w:r>
        <w:t xml:space="preserve">. De blauwe pijl geeft de verbinding tussen probleem en einddoel. De pijl loopt via de DPSIR-causale analyse – met de R van </w:t>
      </w:r>
      <w:r>
        <w:rPr>
          <w:i/>
          <w:iCs/>
        </w:rPr>
        <w:t>Response</w:t>
      </w:r>
      <w:r>
        <w:t xml:space="preserve"> (maatregelen) op de centrale plaats. Welke mogelijkheden zijn er dus</w:t>
      </w:r>
      <w:r>
        <w:t xml:space="preserve"> voor de maatregelen? Wat is de </w:t>
      </w:r>
      <w:r>
        <w:rPr>
          <w:i/>
          <w:iCs/>
        </w:rPr>
        <w:t>oplossingsruimte</w:t>
      </w:r>
      <w:r>
        <w:t xml:space="preserve"> die door de R vertegenwoordigd wordt? Kan die al verkend worden voordat de diagnose geheel is afgerond? Zijn er bij die verkenning eenvoudige ‘no regret’-oplossingen te identificeren, die sowieso een gunstig</w:t>
      </w:r>
      <w:r>
        <w:t xml:space="preserve"> effect hebben op de waterkwaliteit, en weinig kosten met zich meebrengen?</w:t>
      </w:r>
    </w:p>
    <w:p w14:paraId="7A5E3994" w14:textId="77777777" w:rsidR="0052375D" w:rsidRDefault="00BE1341">
      <w:pPr>
        <w:spacing w:line="380" w:lineRule="exact"/>
      </w:pPr>
      <w:r>
        <w:rPr>
          <w:noProof/>
          <w:lang w:eastAsia="nl-NL"/>
        </w:rPr>
        <w:drawing>
          <wp:anchor distT="0" distB="0" distL="0" distR="114300" simplePos="0" relativeHeight="64" behindDoc="0" locked="0" layoutInCell="1" allowOverlap="1" wp14:anchorId="4790628D" wp14:editId="09219630">
            <wp:simplePos x="0" y="0"/>
            <wp:positionH relativeFrom="margin">
              <wp:align>left</wp:align>
            </wp:positionH>
            <wp:positionV relativeFrom="paragraph">
              <wp:posOffset>246380</wp:posOffset>
            </wp:positionV>
            <wp:extent cx="5731510" cy="1753235"/>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37"/>
                    <a:stretch>
                      <a:fillRect/>
                    </a:stretch>
                  </pic:blipFill>
                  <pic:spPr bwMode="auto">
                    <a:xfrm>
                      <a:off x="0" y="0"/>
                      <a:ext cx="5731510" cy="1753235"/>
                    </a:xfrm>
                    <a:prstGeom prst="rect">
                      <a:avLst/>
                    </a:prstGeom>
                  </pic:spPr>
                </pic:pic>
              </a:graphicData>
            </a:graphic>
          </wp:anchor>
        </w:drawing>
      </w:r>
    </w:p>
    <w:p w14:paraId="0BD3E718" w14:textId="77777777" w:rsidR="0052375D" w:rsidRDefault="00BE1341">
      <w:pPr>
        <w:pStyle w:val="Caption"/>
        <w:rPr>
          <w:rFonts w:ascii="Verdana" w:hAnsi="Verdana"/>
          <w:sz w:val="21"/>
          <w:szCs w:val="21"/>
        </w:rPr>
      </w:pPr>
      <w:bookmarkStart w:id="22" w:name="_Ref36657262"/>
      <w:r>
        <w:t xml:space="preserve">Figuur </w:t>
      </w:r>
      <w:r>
        <w:fldChar w:fldCharType="begin"/>
      </w:r>
      <w:r>
        <w:instrText>SEQ Figuur \* ARABIC</w:instrText>
      </w:r>
      <w:r>
        <w:fldChar w:fldCharType="separate"/>
      </w:r>
      <w:r>
        <w:t>6</w:t>
      </w:r>
      <w:r>
        <w:fldChar w:fldCharType="end"/>
      </w:r>
      <w:bookmarkEnd w:id="22"/>
      <w:r>
        <w:t>. De waterbeheerder wordt geconfronteerd met (mogelijke) chemische verontreiniging (links) en wil met goede diagnose en maatregelen de waterkwalitei</w:t>
      </w:r>
      <w:r>
        <w:t xml:space="preserve">t verbeteren (hogere ecologische toestand, lagere zuiveringsopgave, rechts). Daarbij staat de DPSIR-causale analyse centraal (midden). Voortoelichting DPSIR zie </w:t>
      </w:r>
      <w:r>
        <w:fldChar w:fldCharType="begin"/>
      </w:r>
      <w:r>
        <w:instrText>ADDIN EN.CITE &lt;EndNote&gt;&lt;Cite AuthorYear="1"&gt;&lt;Author&gt;KIWK-Tox WP2&lt;/Author&gt;&lt;Year&gt;2020&lt;/Year&gt;&lt;RecN</w:instrText>
      </w:r>
      <w:r>
        <w:instrText>um&gt;10662&lt;/RecNum&gt;&lt;DisplayText&gt;KIWK-Tox WP2 (2020c)&lt;/DisplayText&gt;&lt;record&gt;&lt;rec-number&gt;10662&lt;/rec-number&gt;&lt;foreign-keys&gt;&lt;key app="EN" db-id="9vew0e5rcppvxrezet3vref0tpxfwzzf9f0s" timestamp="1584980023"&gt;10662&lt;/key&gt;&lt;/foreign-keys&gt;&lt;ref-type name="Report"&gt;27&lt;/ref-</w:instrText>
      </w:r>
      <w:r>
        <w:instrText>type&gt;&lt;contributors&gt;&lt;authors&gt;&lt;author&gt;KIWK-Tox WP2,&lt;/author&gt;&lt;/authors&gt;&lt;/contributors&gt;&lt;titles&gt;&lt;title&gt;Notitie Kennis Impuls WaterKwaliteit - Toxiciteit:&amp;quot; Over DPSIR@@@&lt;/title&gt;&lt;/titles&gt;&lt;dates&gt;&lt;year&gt;2020&lt;/year&gt;&lt;/dates&gt;&lt;publisher&gt;STOWA, Amsersfoort&lt;/publishe</w:instrText>
      </w:r>
      <w:r>
        <w:instrText>r&gt;&lt;urls&gt;&lt;/urls&gt;&lt;/record&gt;&lt;/Cite&gt;&lt;/EndNote&gt;</w:instrText>
      </w:r>
      <w:hyperlink w:anchor="_ENREF_12" w:tgtFrame="KIWK-Tox WP2, 2020 #10662">
        <w:r>
          <w:instrText>KIWK-Tox WP2 (2020c)</w:instrText>
        </w:r>
      </w:hyperlink>
      <w:r>
        <w:fldChar w:fldCharType="end"/>
      </w:r>
      <w:r>
        <w:t xml:space="preserve">. </w:t>
      </w:r>
    </w:p>
    <w:p w14:paraId="5B552ECD" w14:textId="77777777" w:rsidR="0052375D" w:rsidRDefault="0052375D">
      <w:pPr>
        <w:spacing w:line="380" w:lineRule="exact"/>
        <w:rPr>
          <w:rFonts w:ascii="Verdana" w:hAnsi="Verdana"/>
          <w:sz w:val="21"/>
          <w:szCs w:val="21"/>
        </w:rPr>
      </w:pPr>
    </w:p>
    <w:p w14:paraId="6DF15951" w14:textId="77777777" w:rsidR="0052375D" w:rsidRDefault="00BE1341">
      <w:r>
        <w:t>Recente literatuur over de KRW, waaronder de ‘fitess check’ door de Europese Commissie benadrukken dat de aanpak van chemische</w:t>
      </w:r>
      <w:r>
        <w:t xml:space="preserve"> verontreiniging beter moet, voor de classificatie, de diagnose en de maatregelen  </w:t>
      </w:r>
      <w:r>
        <w:fldChar w:fldCharType="begin"/>
      </w:r>
      <w:r>
        <w:instrText>ADDIN EN.CITE</w:instrText>
      </w:r>
      <w:r>
        <w:fldChar w:fldCharType="begin"/>
      </w:r>
      <w:r>
        <w:instrText>ADDIN EN.CITE.DATA</w:instrText>
      </w:r>
      <w:r>
        <w:fldChar w:fldCharType="end"/>
      </w:r>
      <w:r>
        <w:fldChar w:fldCharType="separate"/>
      </w:r>
      <w:r>
        <w:t>(Backhaus et al., 2019</w:t>
      </w:r>
      <w:r>
        <w:fldChar w:fldCharType="end"/>
      </w:r>
      <w:r>
        <w:t>; Carvalho et al., 2019; EC, 2019a; b; Faust et al., 2019; Giakoumis, 2019; Giakoumis and Voulvoulis, 2018; Pistocc</w:t>
      </w:r>
      <w:r>
        <w:t xml:space="preserve">hi et al., 2018; Posthuma et al., 2019b; Voulvoulis et al., 2017). </w:t>
      </w:r>
    </w:p>
    <w:p w14:paraId="5EFC7960" w14:textId="77777777" w:rsidR="0052375D" w:rsidRDefault="0052375D">
      <w:pPr>
        <w:spacing w:line="380" w:lineRule="exact"/>
        <w:rPr>
          <w:rFonts w:ascii="Verdana" w:hAnsi="Verdana"/>
          <w:sz w:val="21"/>
          <w:szCs w:val="21"/>
        </w:rPr>
      </w:pPr>
    </w:p>
    <w:p w14:paraId="16C948F2" w14:textId="77777777" w:rsidR="0052375D" w:rsidRDefault="00BE1341">
      <w:r>
        <w:t>In antwoord daarop suggereerde het artikel “</w:t>
      </w:r>
      <w:r>
        <w:rPr>
          <w:i/>
          <w:iCs/>
        </w:rPr>
        <w:t>River Doctors: learning from medicine to improve ecosystem management</w:t>
      </w:r>
      <w:r>
        <w:t xml:space="preserve">” </w:t>
      </w:r>
      <w:r>
        <w:fldChar w:fldCharType="begin"/>
      </w:r>
      <w:r>
        <w:instrText>ADDIN EN.CITE &lt;EndNote&gt;&lt;Cite&gt;&lt;Author&gt;Elosegi&lt;/Author&gt;&lt;Year&gt;2017&lt;/Year&gt;&lt;R</w:instrText>
      </w:r>
      <w:r>
        <w:instrText>ecNum&gt;8828&lt;/RecNum&gt;&lt;DisplayText&gt;(Elosegi et al., 2017)&lt;/DisplayText&gt;&lt;record&gt;&lt;rec-number&gt;8828&lt;/rec-number&gt;&lt;foreign-keys&gt;&lt;key app="EN" db-id="9vew0e5rcppvxrezet3vref0tpxfwzzf9f0s" timestamp="1491549716"&gt;8828&lt;/key&gt;&lt;/foreign-keys&gt;&lt;ref-type name="Journal Articl</w:instrText>
      </w:r>
      <w:r>
        <w:instrText>e"&gt;17&lt;/ref-type&gt;&lt;contributors&gt;&lt;authors&gt;&lt;author&gt;Elosegi, A.&lt;/author&gt;&lt;author&gt;Gessner, M.O.&lt;/author&gt;&lt;author&gt;Young, R.G.&lt;/author&gt;&lt;/authors&gt;&lt;/contributors&gt;&lt;titles&gt;&lt;title&gt;River doctors: Learning from medicine to improve ecosystem management&lt;/title&gt;&lt;secondary-tit</w:instrText>
      </w:r>
      <w:r>
        <w:instrText>le&gt;Science of the Total Environment&lt;/secondary-title&gt;&lt;/titles&gt;&lt;periodical&gt;&lt;full-title&gt;Science of the Total Environment&lt;/full-title&gt;&lt;/periodical&gt;&lt;pages&gt;294–302&lt;/pages&gt;&lt;volume&gt;595&lt;/volume&gt;&lt;dates&gt;&lt;year&gt;2017&lt;/year&gt;&lt;/dates&gt;&lt;urls&gt;&lt;/urls&gt;&lt;electronic-resource-num&gt;</w:instrText>
      </w:r>
      <w:r>
        <w:instrText>https://doi.org/10.1016/j.scitotenv.2017.03.188&lt;/electronic-resource-num&gt;&lt;/record&gt;&lt;/Cite&gt;&lt;/EndNote&gt;</w:instrText>
      </w:r>
      <w:r>
        <w:fldChar w:fldCharType="separate"/>
      </w:r>
      <w:r>
        <w:t>(Elosegi et al., 2017</w:t>
      </w:r>
      <w:r>
        <w:fldChar w:fldCharType="end"/>
      </w:r>
      <w:r>
        <w:t>) recent al dat en hoe het beter kan met de diagnose van de oorzaken van de achteruitgang van de waterkwaliteit, en hoe een betere di</w:t>
      </w:r>
      <w:r>
        <w:t>agnose kan leiden tot betere maatregelen.</w:t>
      </w:r>
    </w:p>
    <w:p w14:paraId="43002310" w14:textId="77777777" w:rsidR="0052375D" w:rsidRDefault="0052375D"/>
    <w:p w14:paraId="774DEAA9" w14:textId="77777777" w:rsidR="0052375D" w:rsidRDefault="00BE1341">
      <w:r>
        <w:t>Ook in andere landen zijn door belangrijke adviesraden suggesties gedaan. Allereerst is door de U.S. National Academy of Sciences voorgesteld om een oplossingsgerichte vorm van risicobeoordeling te gebruiken (“</w:t>
      </w:r>
      <w:r>
        <w:rPr>
          <w:i/>
          <w:iCs/>
        </w:rPr>
        <w:t>sol</w:t>
      </w:r>
      <w:r>
        <w:rPr>
          <w:i/>
          <w:iCs/>
        </w:rPr>
        <w:t>ution-focused risk assessment</w:t>
      </w:r>
      <w:r>
        <w:t xml:space="preserve">”; </w:t>
      </w:r>
      <w:r>
        <w:fldChar w:fldCharType="begin"/>
      </w:r>
      <w:r>
        <w:instrText>ADDIN EN.CITE &lt;EndNote&gt;&lt;Cite AuthorYear="1"&gt;&lt;Author&gt;U.S. NAS&lt;/Author&gt;&lt;Year&gt;2009&lt;/Year&gt;&lt;RecNum&gt;5640&lt;/RecNum&gt;&lt;DisplayText&gt;U.S. NAS (2009)&lt;/DisplayText&gt;&lt;record&gt;&lt;rec-number&gt;5640&lt;/rec-number&gt;&lt;foreign-keys&gt;&lt;key app="EN" db-id="9ve</w:instrText>
      </w:r>
      <w:r>
        <w:instrText>w0e5rcppvxrezet3vref0tpxfwzzf9f0s" timestamp="1354535340"&gt;5640&lt;/key&gt;&lt;/foreign-keys&gt;&lt;ref-type name="Book"&gt;6&lt;/ref-type&gt;&lt;contributors&gt;&lt;authors&gt;&lt;author&gt;U.S. NAS,&lt;/author&gt;&lt;/authors&gt;&lt;/contributors&gt;&lt;titles&gt;&lt;title&gt;Science and Decisions: Advancing Risk Assessment&lt;/</w:instrText>
      </w:r>
      <w:r>
        <w:instrText>title&gt;&lt;/titles&gt;&lt;dates&gt;&lt;year&gt;2009&lt;/year&gt;&lt;/dates&gt;&lt;publisher&gt;National Academies of Science - Committee on Improving Risk Analysis Approaches Used by the U.S. EPA, The National Academies Press&lt;/publisher&gt;&lt;isbn&gt;9780309120463&lt;/isbn&gt;&lt;urls&gt;&lt;related-urls&gt;&lt;url&gt;&lt;styl</w:instrText>
      </w:r>
      <w:r>
        <w:instrText>e face="underline" font="default" size="100%"&gt;http://www.nap.edu/openbook.php?record_id=12209&lt;/style&gt;&lt;/url&gt;&lt;/related-urls&gt;&lt;/urls&gt;&lt;/record&gt;&lt;/Cite&gt;&lt;/EndNote&gt;</w:instrText>
      </w:r>
      <w:hyperlink w:anchor="_ENREF_20" w:tgtFrame="U.S. NAS, 2009 #5640">
        <w:r>
          <w:instrText>U.S. NAS (2009)</w:instrText>
        </w:r>
      </w:hyperlink>
      <w:r>
        <w:fldChar w:fldCharType="end"/>
      </w:r>
      <w:r>
        <w:t xml:space="preserve">). Dat raamwerk is </w:t>
      </w:r>
      <w:r>
        <w:t>succesvol toegepast door het EU-project SOLUTIONS (</w:t>
      </w:r>
      <w:hyperlink r:id="rId38">
        <w:r>
          <w:rPr>
            <w:rStyle w:val="Internetkoppeling"/>
          </w:rPr>
          <w:t>www.solutions-project.eu</w:t>
        </w:r>
      </w:hyperlink>
      <w:r>
        <w:t xml:space="preserve">). De waterbeheerder kan deze vorm van risicobeoordeling toepassen, omdat de KRW-Bijlage II vermeldt dat de waterbeheerder </w:t>
      </w:r>
      <w:r>
        <w:rPr>
          <w:i/>
          <w:iCs/>
        </w:rPr>
        <w:t>“…. ee</w:t>
      </w:r>
      <w:r>
        <w:rPr>
          <w:i/>
          <w:iCs/>
        </w:rPr>
        <w:t>n beoordeling [moet] maken van de kans dat oppervlaktewaterlichamen in het stroomgebiedsdistrict niet zullen voldoen aan de milieukwaliteitsdoelstellingen [van de KRW]…”.</w:t>
      </w:r>
      <w:r>
        <w:t xml:space="preserve"> Het bepalen van die kans is een duidelijk geval van het uit moeten voeren van een ris</w:t>
      </w:r>
      <w:r>
        <w:t>icobeoordeling, en de oplossingsgerichte vorm daarvan is de moderne en uitvoerbare vorm.</w:t>
      </w:r>
    </w:p>
    <w:p w14:paraId="03304B09" w14:textId="77777777" w:rsidR="0052375D" w:rsidRDefault="00BE1341">
      <w:r>
        <w:lastRenderedPageBreak/>
        <w:t xml:space="preserve">In Nederland heeft de Raad voor Leefomgeving en Infrastructuur onlangs geadviseerd om specifiek rekening te houden met de effecten van cumulatieve blootstelling </w:t>
      </w:r>
      <w:r>
        <w:fldChar w:fldCharType="begin"/>
      </w:r>
      <w:r>
        <w:instrText xml:space="preserve">ADDIN </w:instrText>
      </w:r>
      <w:r>
        <w:instrText>EN.CITE &lt;EndNote&gt;&lt;Cite&gt;&lt;Author&gt;RLI&lt;/Author&gt;&lt;Year&gt;2020&lt;/Year&gt;&lt;RecNum&gt;10678&lt;/RecNum&gt;&lt;DisplayText&gt;(RLI, 2020)&lt;/DisplayText&gt;&lt;record&gt;&lt;rec-number&gt;10678&lt;/rec-number&gt;&lt;foreign-keys&gt;&lt;key app="EN" db-id="9vew0e5rcppvxrezet3vref0tpxfwzzf9f0s" timestamp="1585758424"&gt;10</w:instrText>
      </w:r>
      <w:r>
        <w:instrText>678&lt;/key&gt;&lt;/foreign-keys&gt;&lt;ref-type name="Report"&gt;27&lt;/ref-type&gt;&lt;contributors&gt;&lt;authors&gt;&lt;author&gt;RLI&lt;/author&gt;&lt;/authors&gt;&lt;/contributors&gt;&lt;titles&gt;&lt;title&gt;Greep op gevaarlijke stoffen&lt;/title&gt;&lt;/titles&gt;&lt;dates&gt;&lt;year&gt;2020&lt;/year&gt;&lt;/dates&gt;&lt;pub-location&gt;Den Haag, Nederland&lt;/</w:instrText>
      </w:r>
      <w:r>
        <w:instrText>pub-location&gt;&lt;publisher&gt;Raad voor Leefomgeving en Infrastructuur&lt;/publisher&gt;&lt;urls&gt;&lt;/urls&gt;&lt;/record&gt;&lt;/Cite&gt;&lt;/EndNote&gt;</w:instrText>
      </w:r>
      <w:r>
        <w:fldChar w:fldCharType="separate"/>
      </w:r>
      <w:r>
        <w:t>(RLI, 2020</w:t>
      </w:r>
      <w:r>
        <w:fldChar w:fldCharType="end"/>
      </w:r>
      <w:r>
        <w:t>).</w:t>
      </w:r>
    </w:p>
    <w:p w14:paraId="6EBB52A3" w14:textId="77777777" w:rsidR="0052375D" w:rsidRDefault="0052375D"/>
    <w:p w14:paraId="235E242A" w14:textId="77777777" w:rsidR="0052375D" w:rsidRDefault="00BE1341">
      <w:r>
        <w:t>De oplossingsgerichte risicobeoordeling heeft tot doel de maatregelen (kosten)effectief te maken, vooral door de aandacht vr</w:t>
      </w:r>
      <w:r>
        <w:t>oeg in het beoordelingsproces te richten op de ‘oplossingen-ruimte’:</w:t>
      </w:r>
    </w:p>
    <w:p w14:paraId="6D9E2DDB" w14:textId="77777777" w:rsidR="0052375D" w:rsidRDefault="00BE1341">
      <w:r>
        <w:rPr>
          <w:rFonts w:ascii="Wingdings" w:eastAsia="Wingdings" w:hAnsi="Wingdings" w:cs="Wingdings"/>
        </w:rPr>
        <w:t></w:t>
      </w:r>
      <w:r>
        <w:t xml:space="preserve"> </w:t>
      </w:r>
      <w:r>
        <w:tab/>
        <w:t>welke strategie kan daarvoor gebruikt worden?</w:t>
      </w:r>
    </w:p>
    <w:p w14:paraId="68521927" w14:textId="77777777" w:rsidR="0052375D" w:rsidRDefault="00BE1341">
      <w:r>
        <w:rPr>
          <w:rFonts w:ascii="Wingdings" w:eastAsia="Wingdings" w:hAnsi="Wingdings" w:cs="Wingdings"/>
        </w:rPr>
        <w:t></w:t>
      </w:r>
      <w:r>
        <w:t xml:space="preserve"> </w:t>
      </w:r>
      <w:r>
        <w:tab/>
        <w:t>welke denkbare oplossingen zijn er überhaupt?</w:t>
      </w:r>
    </w:p>
    <w:p w14:paraId="309BCAE8" w14:textId="77777777" w:rsidR="0052375D" w:rsidRDefault="0052375D"/>
    <w:p w14:paraId="63C3E2AC" w14:textId="77777777" w:rsidR="0052375D" w:rsidRDefault="00BE1341">
      <w:r>
        <w:t xml:space="preserve">Het SOLUTIONS-project heeft hier uitgebreid aandacht aan besteed, en hierover een </w:t>
      </w:r>
      <w:r>
        <w:rPr>
          <w:i/>
          <w:iCs/>
        </w:rPr>
        <w:t>Policy</w:t>
      </w:r>
      <w:r>
        <w:rPr>
          <w:i/>
          <w:iCs/>
        </w:rPr>
        <w:t xml:space="preserve"> Brief</w:t>
      </w:r>
      <w:r>
        <w:t xml:space="preserve"> geschreven. Een </w:t>
      </w:r>
      <w:r>
        <w:rPr>
          <w:i/>
          <w:iCs/>
        </w:rPr>
        <w:t>Policy Brief</w:t>
      </w:r>
      <w:r>
        <w:t xml:space="preserve"> is een toepassingsgerichte beschrijving van de resultaten van het project, in dit geval specifiek gericht op de strategie- en concrete mogelijkheden voor het afleiden van maatregelen. De Policy Brief over maatregelen is </w:t>
      </w:r>
      <w:r>
        <w:t xml:space="preserve">te vinden via de link </w:t>
      </w:r>
      <w:hyperlink r:id="rId39">
        <w:r>
          <w:rPr>
            <w:rStyle w:val="Internetkoppeling"/>
          </w:rPr>
          <w:t>https://doi.org/10.1186/s12302-019-0253-6</w:t>
        </w:r>
      </w:hyperlink>
      <w:r>
        <w:t xml:space="preserve"> . De serie is te vinden via </w:t>
      </w:r>
      <w:hyperlink r:id="rId40">
        <w:r>
          <w:rPr>
            <w:rStyle w:val="Internetkoppeling"/>
          </w:rPr>
          <w:t>https://www.springeropen.com/coll</w:t>
        </w:r>
        <w:r>
          <w:rPr>
            <w:rStyle w:val="Internetkoppeling"/>
          </w:rPr>
          <w:t>ections/solutions</w:t>
        </w:r>
      </w:hyperlink>
      <w:r>
        <w:t xml:space="preserve"> .  </w:t>
      </w:r>
    </w:p>
    <w:p w14:paraId="6CDBC9C2" w14:textId="77777777" w:rsidR="0052375D" w:rsidRDefault="00BE1341">
      <w:pPr>
        <w:spacing w:line="380" w:lineRule="exact"/>
        <w:ind w:left="1413" w:hanging="705"/>
        <w:rPr>
          <w:rFonts w:ascii="Verdana" w:hAnsi="Verdana"/>
          <w:color w:val="260C72"/>
        </w:rPr>
      </w:pPr>
      <w:r>
        <w:rPr>
          <w:rFonts w:ascii="Verdana" w:hAnsi="Verdana"/>
          <w:color w:val="260C72"/>
        </w:rPr>
        <w:t xml:space="preserve">  </w:t>
      </w:r>
    </w:p>
    <w:p w14:paraId="46D7F92F" w14:textId="77777777" w:rsidR="0052375D" w:rsidRDefault="00BE1341">
      <w:pPr>
        <w:pStyle w:val="Heading1"/>
        <w:numPr>
          <w:ilvl w:val="0"/>
          <w:numId w:val="2"/>
        </w:numPr>
        <w:rPr>
          <w:sz w:val="22"/>
          <w:szCs w:val="22"/>
        </w:rPr>
      </w:pPr>
      <w:bookmarkStart w:id="23" w:name="_Toc65239930"/>
      <w:r>
        <w:lastRenderedPageBreak/>
        <w:t>De DPSIR-analyse en oplossingen-ruimte in samenhang</w:t>
      </w:r>
      <w:bookmarkEnd w:id="23"/>
    </w:p>
    <w:p w14:paraId="667F5484" w14:textId="77777777" w:rsidR="0052375D" w:rsidRDefault="00BE1341">
      <w:pPr>
        <w:pStyle w:val="Heading2"/>
        <w:numPr>
          <w:ilvl w:val="1"/>
          <w:numId w:val="2"/>
        </w:numPr>
        <w:rPr>
          <w:sz w:val="22"/>
          <w:szCs w:val="22"/>
        </w:rPr>
      </w:pPr>
      <w:bookmarkStart w:id="24" w:name="_Toc65239931"/>
      <w:r>
        <w:t>De conceptuele samenhang</w:t>
      </w:r>
      <w:bookmarkEnd w:id="24"/>
    </w:p>
    <w:p w14:paraId="3DDA40FE" w14:textId="77777777" w:rsidR="0052375D" w:rsidRDefault="00BE1341">
      <w:r>
        <w:t>De KRW suggereert dat de waterbeheerders een systematische aanpak volgen voor de diagnose van de kans dat een (bepaalde combinatie van) drukfactor(en) de milieudoelstellingen van de KRW buiten bereik brengt. Die aanpak is de DPSIR-causale analyse. Die word</w:t>
      </w:r>
      <w:r>
        <w:t xml:space="preserve">t uiteengezet in een KIWK-Toxiciteit Notitie over het DPSIR model </w:t>
      </w:r>
      <w:r>
        <w:fldChar w:fldCharType="begin"/>
      </w:r>
      <w:r>
        <w:instrText>ADDIN EN.CITE &lt;EndNote&gt;&lt;Cite&gt;&lt;Author&gt;KIWK-Tox WP2&lt;/Author&gt;&lt;Year&gt;2020&lt;/Year&gt;&lt;RecNum&gt;10662&lt;/RecNum&gt;&lt;DisplayText&gt;(KIWK-Tox WP2, 2020c)&lt;/DisplayText&gt;&lt;record&gt;&lt;rec-number&gt;10662&lt;/rec-number&gt;&lt;foreig</w:instrText>
      </w:r>
      <w:r>
        <w:instrText>n-keys&gt;&lt;key app="EN" db-id="9vew0e5rcppvxrezet3vref0tpxfwzzf9f0s" timestamp="1584980023"&gt;10662&lt;/key&gt;&lt;/foreign-keys&gt;&lt;ref-type name="Report"&gt;27&lt;/ref-type&gt;&lt;contributors&gt;&lt;authors&gt;&lt;author&gt;KIWK-Tox WP2,&lt;/author&gt;&lt;/authors&gt;&lt;/contributors&gt;&lt;titles&gt;&lt;title&gt;Notitie Ken</w:instrText>
      </w:r>
      <w:r>
        <w:instrText>nis Impuls WaterKwaliteit - Toxiciteit:&amp;quot; Over DPSIR@@@&lt;/title&gt;&lt;/titles&gt;&lt;dates&gt;&lt;year&gt;2020&lt;/year&gt;&lt;/dates&gt;&lt;publisher&gt;STOWA, Amsersfoort&lt;/publisher&gt;&lt;urls&gt;&lt;/urls&gt;&lt;/record&gt;&lt;/Cite&gt;&lt;/EndNote&gt;</w:instrText>
      </w:r>
      <w:r>
        <w:fldChar w:fldCharType="separate"/>
      </w:r>
      <w:r>
        <w:t>(KIWK-Tox WP2, 2020c</w:t>
      </w:r>
      <w:r>
        <w:fldChar w:fldCharType="end"/>
      </w:r>
      <w:r>
        <w:t xml:space="preserve">). </w:t>
      </w:r>
    </w:p>
    <w:p w14:paraId="78FC1F78" w14:textId="77777777" w:rsidR="0052375D" w:rsidRDefault="0052375D"/>
    <w:p w14:paraId="7B503E91" w14:textId="77777777" w:rsidR="0052375D" w:rsidRDefault="00BE1341">
      <w:r>
        <w:t>In het SOLUTIONS-project is deze causale</w:t>
      </w:r>
      <w:r>
        <w:t xml:space="preserve"> analyse samengevoegd met de oplossingsgerichte risicobeoordeling. Dat leverde het schema van </w:t>
      </w:r>
      <w:r>
        <w:fldChar w:fldCharType="begin"/>
      </w:r>
      <w:r>
        <w:instrText>REF _Ref36572562 \h</w:instrText>
      </w:r>
      <w:r>
        <w:fldChar w:fldCharType="separate"/>
      </w:r>
      <w:r>
        <w:t>Figuur 7</w:t>
      </w:r>
      <w:r>
        <w:fldChar w:fldCharType="end"/>
      </w:r>
      <w:r>
        <w:t>. Het binnen-deel van de figuur is het raamwerk van SOLUTIONS om te k</w:t>
      </w:r>
      <w:r>
        <w:t>unnen denken aan vier soorten oplossingen, namelijk:</w:t>
      </w:r>
    </w:p>
    <w:p w14:paraId="507D4A2B" w14:textId="77777777" w:rsidR="0052375D" w:rsidRDefault="00BE1341">
      <w:pPr>
        <w:pStyle w:val="ListParagraph"/>
        <w:numPr>
          <w:ilvl w:val="0"/>
          <w:numId w:val="5"/>
        </w:numPr>
        <w:rPr>
          <w:rFonts w:ascii="Times New Roman" w:hAnsi="Times New Roman" w:cs="Times New Roman"/>
          <w:sz w:val="22"/>
          <w:szCs w:val="22"/>
        </w:rPr>
      </w:pPr>
      <w:r>
        <w:rPr>
          <w:rFonts w:ascii="Times New Roman" w:hAnsi="Times New Roman" w:cs="Times New Roman"/>
          <w:sz w:val="22"/>
          <w:szCs w:val="22"/>
        </w:rPr>
        <w:t>Oplossingen in de maatschappij, zoals wetgeving over het gebruik en afdanken van stoffen en het verlenen van vergunningen (“society”)</w:t>
      </w:r>
    </w:p>
    <w:p w14:paraId="71933972" w14:textId="77777777" w:rsidR="0052375D" w:rsidRDefault="00BE1341">
      <w:pPr>
        <w:pStyle w:val="ListParagraph"/>
        <w:numPr>
          <w:ilvl w:val="0"/>
          <w:numId w:val="5"/>
        </w:numPr>
        <w:rPr>
          <w:rFonts w:ascii="Times New Roman" w:hAnsi="Times New Roman" w:cs="Times New Roman"/>
          <w:sz w:val="22"/>
          <w:szCs w:val="22"/>
        </w:rPr>
      </w:pPr>
      <w:r>
        <w:rPr>
          <w:rFonts w:ascii="Times New Roman" w:hAnsi="Times New Roman" w:cs="Times New Roman"/>
          <w:sz w:val="22"/>
          <w:szCs w:val="22"/>
        </w:rPr>
        <w:t xml:space="preserve">Oplossingen die de chemische stoffen zelf betreffen, zoals de ultime </w:t>
      </w:r>
      <w:r>
        <w:rPr>
          <w:rFonts w:ascii="Times New Roman" w:hAnsi="Times New Roman" w:cs="Times New Roman"/>
          <w:sz w:val="22"/>
          <w:szCs w:val="22"/>
        </w:rPr>
        <w:t>oplossing van een “intrinsiek veilig ontwerp” van nieuwe stoffen</w:t>
      </w:r>
    </w:p>
    <w:p w14:paraId="380FC4D9" w14:textId="77777777" w:rsidR="0052375D" w:rsidRDefault="00BE1341">
      <w:pPr>
        <w:pStyle w:val="ListParagraph"/>
        <w:numPr>
          <w:ilvl w:val="0"/>
          <w:numId w:val="5"/>
        </w:numPr>
        <w:rPr>
          <w:rFonts w:ascii="Times New Roman" w:hAnsi="Times New Roman" w:cs="Times New Roman"/>
          <w:sz w:val="22"/>
          <w:szCs w:val="22"/>
        </w:rPr>
      </w:pPr>
      <w:r>
        <w:rPr>
          <w:rFonts w:ascii="Times New Roman" w:hAnsi="Times New Roman" w:cs="Times New Roman"/>
          <w:sz w:val="22"/>
          <w:szCs w:val="22"/>
        </w:rPr>
        <w:t>Oplossingen die in het milieu getroffen worden, zoals het aanleggen van spuitvrije zônes rond landbouwpercelen</w:t>
      </w:r>
    </w:p>
    <w:p w14:paraId="4FFF8B2D" w14:textId="77777777" w:rsidR="0052375D" w:rsidRDefault="00BE1341">
      <w:pPr>
        <w:pStyle w:val="ListParagraph"/>
        <w:numPr>
          <w:ilvl w:val="0"/>
          <w:numId w:val="5"/>
        </w:numPr>
        <w:rPr>
          <w:rFonts w:ascii="Times New Roman" w:hAnsi="Times New Roman" w:cs="Times New Roman"/>
          <w:sz w:val="22"/>
          <w:szCs w:val="22"/>
        </w:rPr>
      </w:pPr>
      <w:r>
        <w:rPr>
          <w:rFonts w:ascii="Times New Roman" w:hAnsi="Times New Roman" w:cs="Times New Roman"/>
          <w:sz w:val="22"/>
          <w:szCs w:val="22"/>
        </w:rPr>
        <w:t>Oplossingen van technische aard, zoals het verbeteren van de effectiviteit van r</w:t>
      </w:r>
      <w:r>
        <w:rPr>
          <w:rFonts w:ascii="Times New Roman" w:hAnsi="Times New Roman" w:cs="Times New Roman"/>
          <w:sz w:val="22"/>
          <w:szCs w:val="22"/>
        </w:rPr>
        <w:t>ioolwaterzuiveringsinstallaties (RWZIs).</w:t>
      </w:r>
    </w:p>
    <w:p w14:paraId="198B2F17" w14:textId="77777777" w:rsidR="0052375D" w:rsidRDefault="0052375D"/>
    <w:p w14:paraId="0B9A54DC" w14:textId="77777777" w:rsidR="0052375D" w:rsidRDefault="00BE1341">
      <w:r>
        <w:t xml:space="preserve">Het buitenste deel van de figuur toont hoe de oplossingsruimte zich verhoudt tot de stappen van de DPSIR-causale analyse. Waar tot heden de aandacht vaak gericht was op 45 prioritaire stoffen en </w:t>
      </w:r>
      <w:r>
        <w:rPr>
          <w:rFonts w:ascii="Symbol" w:eastAsia="Symbol" w:hAnsi="Symbol" w:cs="Symbol"/>
        </w:rPr>
        <w:t></w:t>
      </w:r>
      <w:r>
        <w:t xml:space="preserve"> 100 voor Nederland specifieke stoffen, en de maatregelen die daarbij afgeleid kunnen worden op Europees resp. Nederlands niveau suggereert dit schema dat er heel veel mogelijkheden zijn om maatregelen te nemen, ook als de beoordeling gaat over &gt;170.000 st</w:t>
      </w:r>
      <w:r>
        <w:t>offen en hun mengsels.</w:t>
      </w:r>
    </w:p>
    <w:p w14:paraId="3AB624AF" w14:textId="77777777" w:rsidR="0052375D" w:rsidRDefault="00BE1341">
      <w:pPr>
        <w:spacing w:line="380" w:lineRule="exact"/>
        <w:rPr>
          <w:rFonts w:ascii="Verdana" w:hAnsi="Verdana"/>
          <w:sz w:val="21"/>
          <w:szCs w:val="21"/>
        </w:rPr>
      </w:pPr>
      <w:r>
        <w:rPr>
          <w:rFonts w:ascii="Verdana" w:hAnsi="Verdana"/>
          <w:noProof/>
          <w:sz w:val="21"/>
          <w:szCs w:val="21"/>
          <w:lang w:eastAsia="nl-NL"/>
        </w:rPr>
        <w:drawing>
          <wp:anchor distT="0" distB="0" distL="0" distR="114300" simplePos="0" relativeHeight="58" behindDoc="0" locked="0" layoutInCell="1" allowOverlap="1" wp14:anchorId="688B768B" wp14:editId="494F9ACC">
            <wp:simplePos x="0" y="0"/>
            <wp:positionH relativeFrom="margin">
              <wp:align>left</wp:align>
            </wp:positionH>
            <wp:positionV relativeFrom="paragraph">
              <wp:posOffset>241935</wp:posOffset>
            </wp:positionV>
            <wp:extent cx="4324350" cy="3689350"/>
            <wp:effectExtent l="0" t="0" r="0" b="0"/>
            <wp:wrapTopAndBottom/>
            <wp:docPr id="33"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2"/>
                    <pic:cNvPicPr>
                      <a:picLocks noChangeAspect="1" noChangeArrowheads="1"/>
                    </pic:cNvPicPr>
                  </pic:nvPicPr>
                  <pic:blipFill>
                    <a:blip r:embed="rId41"/>
                    <a:stretch>
                      <a:fillRect/>
                    </a:stretch>
                  </pic:blipFill>
                  <pic:spPr bwMode="auto">
                    <a:xfrm>
                      <a:off x="0" y="0"/>
                      <a:ext cx="4324350" cy="3689350"/>
                    </a:xfrm>
                    <a:prstGeom prst="rect">
                      <a:avLst/>
                    </a:prstGeom>
                  </pic:spPr>
                </pic:pic>
              </a:graphicData>
            </a:graphic>
          </wp:anchor>
        </w:drawing>
      </w:r>
    </w:p>
    <w:p w14:paraId="78AA2038" w14:textId="77777777" w:rsidR="0052375D" w:rsidRDefault="00BE1341">
      <w:pPr>
        <w:pStyle w:val="Caption"/>
        <w:rPr>
          <w:sz w:val="22"/>
          <w:szCs w:val="22"/>
        </w:rPr>
      </w:pPr>
      <w:bookmarkStart w:id="25" w:name="_Ref36572562"/>
      <w:r>
        <w:lastRenderedPageBreak/>
        <w:t xml:space="preserve">Figuur </w:t>
      </w:r>
      <w:r>
        <w:fldChar w:fldCharType="begin"/>
      </w:r>
      <w:r>
        <w:instrText>SEQ Figuur \* ARABIC</w:instrText>
      </w:r>
      <w:r>
        <w:fldChar w:fldCharType="separate"/>
      </w:r>
      <w:r>
        <w:t>7</w:t>
      </w:r>
      <w:r>
        <w:fldChar w:fldCharType="end"/>
      </w:r>
      <w:bookmarkEnd w:id="25"/>
      <w:r>
        <w:t xml:space="preserve">. De samenvoeging van twee actuele en toepasbare methodieken voor toepassingin het waterbeheer: de oplossingsgerichte risicobeoordeling </w:t>
      </w:r>
      <w:r>
        <w:fldChar w:fldCharType="begin"/>
      </w:r>
      <w:r>
        <w:instrText>ADDIN EN.CITE &lt;EndNote&gt;&lt;Cite&gt;&lt;Author&gt;U.S. NAS&lt;/Author&gt;&lt;Year&gt;2009</w:instrText>
      </w:r>
      <w:r>
        <w:instrText>&lt;/Year&gt;&lt;RecNum&gt;5640&lt;/RecNum&gt;&lt;DisplayText&gt;(U.S. NAS, 2009)&lt;/DisplayText&gt;&lt;record&gt;&lt;rec-number&gt;5640&lt;/rec-number&gt;&lt;foreign-keys&gt;&lt;key app="EN" db-id="9vew0e5rcppvxrezet3vref0tpxfwzzf9f0s" timestamp="1354535340"&gt;5640&lt;/key&gt;&lt;/foreign-keys&gt;&lt;ref-type name="Book"&gt;6&lt;/re</w:instrText>
      </w:r>
      <w:r>
        <w:instrText>f-type&gt;&lt;contributors&gt;&lt;authors&gt;&lt;author&gt;U.S. NAS,&lt;/author&gt;&lt;/authors&gt;&lt;/contributors&gt;&lt;titles&gt;&lt;title&gt;Science and Decisions: Advancing Risk Assessment&lt;/title&gt;&lt;/titles&gt;&lt;dates&gt;&lt;year&gt;2009&lt;/year&gt;&lt;/dates&gt;&lt;publisher&gt;National Academies of Science - Committee on Improvi</w:instrText>
      </w:r>
      <w:r>
        <w:instrText>ng Risk Analysis Approaches Used by the U.S. EPA, The National Academies Press&lt;/publisher&gt;&lt;isbn&gt;9780309120463&lt;/isbn&gt;&lt;urls&gt;&lt;related-urls&gt;&lt;url&gt;&lt;style face="underline" font="default" size="100%"&gt;http://www.nap.edu/openbook.php?record_id=12209&lt;/style&gt;&lt;/url&gt;&lt;/r</w:instrText>
      </w:r>
      <w:r>
        <w:instrText>elated-urls&gt;&lt;/urls&gt;&lt;/record&gt;&lt;/Cite&gt;&lt;/EndNote&gt;</w:instrText>
      </w:r>
      <w:r>
        <w:fldChar w:fldCharType="separate"/>
      </w:r>
      <w:r>
        <w:t>(U.S. NAS, 2009</w:t>
      </w:r>
      <w:r>
        <w:fldChar w:fldCharType="end"/>
      </w:r>
      <w:r>
        <w:t xml:space="preserve">) en de DPSIR-causale analyse van de KRW </w:t>
      </w:r>
      <w:r>
        <w:fldChar w:fldCharType="begin"/>
      </w:r>
      <w:r>
        <w:instrText>ADDIN EN.CITE &lt;EndNote&gt;&lt;Cite&gt;&lt;Author&gt;KIWK-Tox WP2&lt;/Author&gt;&lt;Year&gt;2020&lt;/Year&gt;&lt;RecNum&gt;10662&lt;/RecNum&gt;&lt;DisplayText&gt;(KIWK-Tox WP2, 2020c)&lt;/DisplayText&gt;&lt;record</w:instrText>
      </w:r>
      <w:r>
        <w:instrText>&gt;&lt;rec-number&gt;10662&lt;/rec-number&gt;&lt;foreign-keys&gt;&lt;key app="EN" db-id="9vew0e5rcppvxrezet3vref0tpxfwzzf9f0s" timestamp="1584980023"&gt;10662&lt;/key&gt;&lt;/foreign-keys&gt;&lt;ref-type name="Report"&gt;27&lt;/ref-type&gt;&lt;contributors&gt;&lt;authors&gt;&lt;author&gt;KIWK-Tox WP2,&lt;/author&gt;&lt;/authors&gt;&lt;/c</w:instrText>
      </w:r>
      <w:r>
        <w:instrText>ontributors&gt;&lt;titles&gt;&lt;title&gt;Notitie Kennis Impuls WaterKwaliteit - Toxiciteit:&amp;quot; Over DPSIR@@@&lt;/title&gt;&lt;/titles&gt;&lt;dates&gt;&lt;year&gt;2020&lt;/year&gt;&lt;/dates&gt;&lt;publisher&gt;STOWA, Amsersfoort&lt;/publisher&gt;&lt;urls&gt;&lt;/urls&gt;&lt;/record&gt;&lt;/Cite&gt;&lt;/EndNote&gt;</w:instrText>
      </w:r>
      <w:r>
        <w:fldChar w:fldCharType="separate"/>
      </w:r>
      <w:r>
        <w:t>(KIWK-Tox WP2, 2020c</w:t>
      </w:r>
      <w:r>
        <w:fldChar w:fldCharType="end"/>
      </w:r>
      <w:r>
        <w:t>).</w:t>
      </w:r>
      <w:r>
        <w:rPr>
          <w:rFonts w:ascii="Verdana" w:hAnsi="Verdana"/>
          <w:sz w:val="21"/>
          <w:szCs w:val="21"/>
        </w:rPr>
        <w:t xml:space="preserve"> </w:t>
      </w:r>
    </w:p>
    <w:p w14:paraId="31A2EB99" w14:textId="77777777" w:rsidR="0052375D" w:rsidRDefault="00BE1341">
      <w:pPr>
        <w:pStyle w:val="Heading2"/>
        <w:numPr>
          <w:ilvl w:val="1"/>
          <w:numId w:val="2"/>
        </w:numPr>
        <w:rPr>
          <w:sz w:val="22"/>
          <w:szCs w:val="22"/>
        </w:rPr>
      </w:pPr>
      <w:bookmarkStart w:id="26" w:name="_Toc65239932"/>
      <w:r>
        <w:t>Str</w:t>
      </w:r>
      <w:r>
        <w:t>ategische, tactische en/of operationele maatregelen</w:t>
      </w:r>
      <w:bookmarkEnd w:id="26"/>
    </w:p>
    <w:p w14:paraId="52350BBF" w14:textId="77777777" w:rsidR="0052375D" w:rsidRDefault="00BE1341">
      <w:r>
        <w:t>Bij het afleiden van maatregelen is het van belang om niet allen te kijken naar lokale, operationele maatregelen, maar ook naar meer tactische of strategische (langere termijn, groter beheergebied) oploss</w:t>
      </w:r>
      <w:r>
        <w:t xml:space="preserve">ingen. Dat is schematisch weergegeven in </w:t>
      </w:r>
      <w:r>
        <w:fldChar w:fldCharType="begin"/>
      </w:r>
      <w:r>
        <w:instrText>REF _Ref65238289 \h</w:instrText>
      </w:r>
      <w:r>
        <w:fldChar w:fldCharType="separate"/>
      </w:r>
      <w:r>
        <w:t>Figuur 8</w:t>
      </w:r>
      <w:r>
        <w:fldChar w:fldCharType="end"/>
      </w:r>
      <w:r>
        <w:t>. Te overwegen valt, om elke operationele oplossing in te bedden in een breder (tactisch of strategisch) kader.</w:t>
      </w:r>
    </w:p>
    <w:p w14:paraId="58107CF2" w14:textId="77777777" w:rsidR="0052375D" w:rsidRDefault="00BE1341">
      <w:r>
        <w:t xml:space="preserve"> </w:t>
      </w:r>
    </w:p>
    <w:p w14:paraId="0B963299" w14:textId="77777777" w:rsidR="0052375D" w:rsidRDefault="0052375D"/>
    <w:p w14:paraId="1C1FD387" w14:textId="77777777" w:rsidR="0052375D" w:rsidRDefault="00BE1341">
      <w:r>
        <w:rPr>
          <w:noProof/>
          <w:lang w:eastAsia="nl-NL"/>
        </w:rPr>
        <w:drawing>
          <wp:inline distT="0" distB="0" distL="0" distR="0" wp14:anchorId="0DF257F5" wp14:editId="25250F4C">
            <wp:extent cx="3199765" cy="2128520"/>
            <wp:effectExtent l="0" t="0" r="0" b="0"/>
            <wp:docPr id="34"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
                    <pic:cNvPicPr>
                      <a:picLocks noChangeAspect="1" noChangeArrowheads="1"/>
                    </pic:cNvPicPr>
                  </pic:nvPicPr>
                  <pic:blipFill>
                    <a:blip r:embed="rId42"/>
                    <a:stretch>
                      <a:fillRect/>
                    </a:stretch>
                  </pic:blipFill>
                  <pic:spPr bwMode="auto">
                    <a:xfrm>
                      <a:off x="0" y="0"/>
                      <a:ext cx="3199765" cy="2128520"/>
                    </a:xfrm>
                    <a:prstGeom prst="rect">
                      <a:avLst/>
                    </a:prstGeom>
                  </pic:spPr>
                </pic:pic>
              </a:graphicData>
            </a:graphic>
          </wp:inline>
        </w:drawing>
      </w:r>
    </w:p>
    <w:p w14:paraId="0C02A183" w14:textId="77777777" w:rsidR="0052375D" w:rsidRDefault="0052375D">
      <w:pPr>
        <w:pStyle w:val="Caption"/>
        <w:rPr>
          <w:sz w:val="22"/>
          <w:szCs w:val="22"/>
        </w:rPr>
      </w:pPr>
    </w:p>
    <w:p w14:paraId="5BFACC4B" w14:textId="77777777" w:rsidR="0052375D" w:rsidRDefault="00BE1341">
      <w:pPr>
        <w:pStyle w:val="Caption"/>
        <w:rPr>
          <w:sz w:val="22"/>
          <w:szCs w:val="22"/>
        </w:rPr>
      </w:pPr>
      <w:bookmarkStart w:id="27" w:name="_Ref65238289"/>
      <w:r>
        <w:t>Fig</w:t>
      </w:r>
      <w:r>
        <w:t xml:space="preserve">uur </w:t>
      </w:r>
      <w:r>
        <w:fldChar w:fldCharType="begin"/>
      </w:r>
      <w:r>
        <w:instrText>SEQ Figuur \* ARABIC</w:instrText>
      </w:r>
      <w:r>
        <w:fldChar w:fldCharType="separate"/>
      </w:r>
      <w:r>
        <w:t>8</w:t>
      </w:r>
      <w:r>
        <w:fldChar w:fldCharType="end"/>
      </w:r>
      <w:bookmarkEnd w:id="27"/>
      <w:r>
        <w:t xml:space="preserve">. Schematische weergave van het centrale deel van  </w:t>
      </w:r>
      <w:r>
        <w:fldChar w:fldCharType="begin"/>
      </w:r>
      <w:r>
        <w:instrText>REF _Ref36572562 \h</w:instrText>
      </w:r>
      <w:r>
        <w:fldChar w:fldCharType="separate"/>
      </w:r>
      <w:r>
        <w:t>Figuur 7</w:t>
      </w:r>
      <w:r>
        <w:fldChar w:fldCharType="end"/>
      </w:r>
      <w:r>
        <w:t>, waaruit blijkt dat er vier hoofdcategorieën van maatregelen denkbaar zijn, met el</w:t>
      </w:r>
      <w:r>
        <w:t>k operationele-, tactische- of strategische implementatievormen. De codes geven schematisch weer, dat er enerzijds een niveau van operationele “abatement”-oplossingen is, zoals een verminderde emissie door het aanbrengen van een emissie-reducerende voorzie</w:t>
      </w:r>
      <w:r>
        <w:t>ning (bij “A1”), maar anderzijds ook strategische ‘society’ oplossingen zoals het subsidiëren van “safe by design”-chemicaliën.</w:t>
      </w:r>
    </w:p>
    <w:p w14:paraId="3F7C51CE" w14:textId="77777777" w:rsidR="0052375D" w:rsidRDefault="00BE1341">
      <w:pPr>
        <w:pStyle w:val="Heading2"/>
        <w:numPr>
          <w:ilvl w:val="1"/>
          <w:numId w:val="2"/>
        </w:numPr>
        <w:rPr>
          <w:sz w:val="22"/>
          <w:szCs w:val="22"/>
        </w:rPr>
      </w:pPr>
      <w:bookmarkStart w:id="28" w:name="_Toc65239933"/>
      <w:r>
        <w:t>De praktijk</w:t>
      </w:r>
      <w:bookmarkEnd w:id="28"/>
    </w:p>
    <w:p w14:paraId="1F5B2FA5" w14:textId="77777777" w:rsidR="0052375D" w:rsidRDefault="00BE1341">
      <w:r>
        <w:t>Het nemen van maatregelen is uiteindelijk een praktische bezigheid. De mogelijke oplossingen kunnen mooi in een denk</w:t>
      </w:r>
      <w:r>
        <w:t>schema worden geplaatst, met (zelfs) een heldere relatie met het DPSIR-model, maar dat levert nog geen concrete informatie aan waterbeheerders die een concrete chemische verontreiniging moeten aanpakken. Op dit moment is daar geen ‘zelflerend’ systeem voor</w:t>
      </w:r>
      <w:r>
        <w:t>, waarbij de oplossing die de ene waterbeheerder vindt en toepast vindbaar is voor anderen. Het nadeel van de huidige situatie is, dat iedereen ‘steeds opnieuw het wiel uitvindt’.</w:t>
      </w:r>
    </w:p>
    <w:p w14:paraId="083F7E53" w14:textId="77777777" w:rsidR="0052375D" w:rsidRDefault="0052375D"/>
    <w:p w14:paraId="06DDDE2B" w14:textId="77777777" w:rsidR="0052375D" w:rsidRDefault="00BE1341">
      <w:r>
        <w:t>Om de waterbeheerders te faciliteren is er in het project KIWk-Toxiciteit e</w:t>
      </w:r>
      <w:r>
        <w:t>en niet-limitatieve opzoektabel gemaakt, waarmee de waterbeheerders de beschikking krijgen over de samengevatte verplichtingen of opties voor maatregelen. Sommige maatregelen zijn verplicht, omdat ze volgen uit een van toepassing zijnde wet of regel. Ander</w:t>
      </w:r>
      <w:r>
        <w:t>e maatregelen zijn niet verplicht, en kunnen vrij afgewogen worden. De niet-limitatieve lijst van denkbare oplossingen (de ‘oplossingenruimte’) is beschikbaar via @@@@ (link).</w:t>
      </w:r>
    </w:p>
    <w:p w14:paraId="08A0CAF3" w14:textId="77777777" w:rsidR="0052375D" w:rsidRDefault="0052375D"/>
    <w:p w14:paraId="1B969004" w14:textId="77777777" w:rsidR="0052375D" w:rsidRDefault="00BE1341">
      <w:pPr>
        <w:pStyle w:val="Heading1"/>
        <w:numPr>
          <w:ilvl w:val="0"/>
          <w:numId w:val="2"/>
        </w:numPr>
        <w:rPr>
          <w:sz w:val="22"/>
          <w:szCs w:val="22"/>
        </w:rPr>
      </w:pPr>
      <w:bookmarkStart w:id="29" w:name="_Toc65239934"/>
      <w:r>
        <w:lastRenderedPageBreak/>
        <w:t>Conclusie</w:t>
      </w:r>
      <w:bookmarkEnd w:id="29"/>
    </w:p>
    <w:p w14:paraId="7A1FA4B8" w14:textId="77777777" w:rsidR="0052375D" w:rsidRDefault="00BE1341">
      <w:r>
        <w:t xml:space="preserve">Een intensieve evaluatie van de bestaande werkwijzen bij de </w:t>
      </w:r>
      <w:r>
        <w:t>risicobeoordeling door de U.S. National Academy of Sciences bracht aan het licht, dat de ‘</w:t>
      </w:r>
      <w:r>
        <w:rPr>
          <w:i/>
          <w:iCs/>
        </w:rPr>
        <w:t>solution-focused risk assessment’</w:t>
      </w:r>
      <w:r>
        <w:t xml:space="preserve"> en goede aanvulling zou vormen op de gebruikelijke risicobeoordelingen. Het ‘solution-focused’ werken leidt tot de vraag naar het pr</w:t>
      </w:r>
      <w:r>
        <w:t xml:space="preserve">o-actief evalueren en verkennen van de oplossingen-ruimte als er chemische verontreinigingen geconstateerd worden. Deze Notitie beschrijft een drietal belangrijke aspecten van het afleiden, prioriteren en uiteindelijk nemen van maatregelen. </w:t>
      </w:r>
    </w:p>
    <w:p w14:paraId="2AFF1AAF" w14:textId="77777777" w:rsidR="0052375D" w:rsidRDefault="0052375D"/>
    <w:p w14:paraId="17AF7E86" w14:textId="77777777" w:rsidR="0052375D" w:rsidRDefault="00BE1341">
      <w:r>
        <w:t>Voor de “wat-</w:t>
      </w:r>
      <w:r>
        <w:t>vraag” (welke maatregelen) is door het KIWk-Toxiciteit project een opzoektabel opgesteld, die waterbeheerders kunnen gebruiken om (verplichte, of denkbare) oplossingen te kunnen vinden.</w:t>
      </w:r>
    </w:p>
    <w:p w14:paraId="42959114" w14:textId="77777777" w:rsidR="0052375D" w:rsidRDefault="0052375D"/>
    <w:p w14:paraId="7EEB8128" w14:textId="77777777" w:rsidR="0052375D" w:rsidRDefault="00BE1341">
      <w:r>
        <w:t>Voor de “hoe” en “met wie” vragen wordt een aantal overwegingen gegev</w:t>
      </w:r>
      <w:r>
        <w:t>en, zoals:</w:t>
      </w:r>
    </w:p>
    <w:p w14:paraId="2BC6D404" w14:textId="77777777" w:rsidR="0052375D" w:rsidRDefault="00BE1341">
      <w:pPr>
        <w:pStyle w:val="ListParagraph"/>
        <w:numPr>
          <w:ilvl w:val="0"/>
          <w:numId w:val="5"/>
        </w:numPr>
        <w:rPr>
          <w:rFonts w:ascii="Times New Roman" w:hAnsi="Times New Roman" w:cs="Times New Roman"/>
          <w:sz w:val="22"/>
          <w:szCs w:val="22"/>
        </w:rPr>
      </w:pPr>
      <w:r>
        <w:rPr>
          <w:rFonts w:ascii="Times New Roman" w:hAnsi="Times New Roman" w:cs="Times New Roman"/>
          <w:sz w:val="22"/>
          <w:szCs w:val="22"/>
        </w:rPr>
        <w:t xml:space="preserve">Het </w:t>
      </w:r>
      <w:r>
        <w:rPr>
          <w:rFonts w:ascii="Times New Roman" w:hAnsi="Times New Roman" w:cs="Times New Roman"/>
          <w:i/>
          <w:iCs/>
          <w:sz w:val="22"/>
          <w:szCs w:val="22"/>
        </w:rPr>
        <w:t>vroeg</w:t>
      </w:r>
      <w:r>
        <w:rPr>
          <w:rFonts w:ascii="Times New Roman" w:hAnsi="Times New Roman" w:cs="Times New Roman"/>
          <w:sz w:val="22"/>
          <w:szCs w:val="22"/>
        </w:rPr>
        <w:t xml:space="preserve"> in de KRW-monitoring/maatregelencyclus nadenken over de totale oplossingenruimte</w:t>
      </w:r>
    </w:p>
    <w:p w14:paraId="05C07A4B" w14:textId="77777777" w:rsidR="0052375D" w:rsidRDefault="00BE1341">
      <w:pPr>
        <w:pStyle w:val="ListParagraph"/>
        <w:numPr>
          <w:ilvl w:val="0"/>
          <w:numId w:val="5"/>
        </w:numPr>
        <w:rPr>
          <w:rFonts w:ascii="Times New Roman" w:hAnsi="Times New Roman" w:cs="Times New Roman"/>
          <w:sz w:val="22"/>
          <w:szCs w:val="22"/>
        </w:rPr>
      </w:pPr>
      <w:r>
        <w:rPr>
          <w:rFonts w:ascii="Times New Roman" w:hAnsi="Times New Roman" w:cs="Times New Roman"/>
          <w:sz w:val="22"/>
          <w:szCs w:val="22"/>
        </w:rPr>
        <w:t xml:space="preserve">Het </w:t>
      </w:r>
      <w:r>
        <w:rPr>
          <w:rFonts w:ascii="Times New Roman" w:hAnsi="Times New Roman" w:cs="Times New Roman"/>
          <w:i/>
          <w:iCs/>
          <w:sz w:val="22"/>
          <w:szCs w:val="22"/>
        </w:rPr>
        <w:t>samenwerken</w:t>
      </w:r>
      <w:r>
        <w:rPr>
          <w:rFonts w:ascii="Times New Roman" w:hAnsi="Times New Roman" w:cs="Times New Roman"/>
          <w:sz w:val="22"/>
          <w:szCs w:val="22"/>
        </w:rPr>
        <w:t xml:space="preserve"> van waterbeheerders die via het hydrologische systeem verbonden zijn wat betreft de problematiek van chemische verontreinigingen, maar ook wat betreft de oplossingsrichtingen en – als voordeel – het gezamenlijk financieren van oplossingen</w:t>
      </w:r>
    </w:p>
    <w:p w14:paraId="442044BF" w14:textId="77777777" w:rsidR="0052375D" w:rsidRDefault="00BE1341">
      <w:pPr>
        <w:pStyle w:val="ListParagraph"/>
        <w:numPr>
          <w:ilvl w:val="0"/>
          <w:numId w:val="5"/>
        </w:numPr>
        <w:rPr>
          <w:rFonts w:ascii="Times New Roman" w:hAnsi="Times New Roman" w:cs="Times New Roman"/>
          <w:sz w:val="22"/>
          <w:szCs w:val="22"/>
        </w:rPr>
      </w:pPr>
      <w:r>
        <w:rPr>
          <w:rFonts w:ascii="Times New Roman" w:hAnsi="Times New Roman" w:cs="Times New Roman"/>
          <w:sz w:val="22"/>
          <w:szCs w:val="22"/>
        </w:rPr>
        <w:t xml:space="preserve">Het denken over </w:t>
      </w:r>
      <w:r>
        <w:rPr>
          <w:rFonts w:ascii="Times New Roman" w:hAnsi="Times New Roman" w:cs="Times New Roman"/>
          <w:i/>
          <w:iCs/>
          <w:sz w:val="22"/>
          <w:szCs w:val="22"/>
        </w:rPr>
        <w:t>tactische en strategische oplossingen</w:t>
      </w:r>
      <w:r>
        <w:rPr>
          <w:rFonts w:ascii="Times New Roman" w:hAnsi="Times New Roman" w:cs="Times New Roman"/>
          <w:sz w:val="22"/>
          <w:szCs w:val="22"/>
        </w:rPr>
        <w:t xml:space="preserve"> die op de langere termijn de chemische verontreiniging voorkómen of teniet doen, naast het denken aan operationele lokale oplossingen </w:t>
      </w:r>
    </w:p>
    <w:p w14:paraId="24FA2164" w14:textId="77777777" w:rsidR="0052375D" w:rsidRDefault="0052375D"/>
    <w:p w14:paraId="2ADFB02D" w14:textId="77777777" w:rsidR="0052375D" w:rsidRDefault="00BE1341">
      <w:r>
        <w:t xml:space="preserve">Deze Notitie bevat geen concrete maatregelen bij een concreet geval van chemische </w:t>
      </w:r>
      <w:r>
        <w:t>verontreiniging. Deze Notitie geeft wel toegang tot een aantal handzame informatiebronnen:</w:t>
      </w:r>
    </w:p>
    <w:p w14:paraId="627686B0" w14:textId="77777777" w:rsidR="0052375D" w:rsidRDefault="00BE1341">
      <w:pPr>
        <w:pStyle w:val="ListParagraph"/>
        <w:numPr>
          <w:ilvl w:val="0"/>
          <w:numId w:val="5"/>
        </w:numPr>
        <w:rPr>
          <w:rFonts w:ascii="Times New Roman" w:hAnsi="Times New Roman" w:cs="Times New Roman"/>
          <w:sz w:val="22"/>
          <w:szCs w:val="22"/>
        </w:rPr>
      </w:pPr>
      <w:r>
        <w:rPr>
          <w:rFonts w:ascii="Times New Roman" w:hAnsi="Times New Roman" w:cs="Times New Roman"/>
          <w:sz w:val="22"/>
          <w:szCs w:val="22"/>
        </w:rPr>
        <w:t xml:space="preserve">Wetenschappelijk: de </w:t>
      </w:r>
      <w:r>
        <w:rPr>
          <w:rFonts w:ascii="Times New Roman" w:hAnsi="Times New Roman" w:cs="Times New Roman"/>
          <w:i/>
          <w:iCs/>
          <w:sz w:val="22"/>
          <w:szCs w:val="22"/>
        </w:rPr>
        <w:t>Policy Brief</w:t>
      </w:r>
      <w:r>
        <w:rPr>
          <w:rFonts w:ascii="Times New Roman" w:hAnsi="Times New Roman" w:cs="Times New Roman"/>
          <w:sz w:val="22"/>
          <w:szCs w:val="22"/>
        </w:rPr>
        <w:t xml:space="preserve"> van SOLUTIONS en het rapport over </w:t>
      </w:r>
      <w:r>
        <w:rPr>
          <w:rFonts w:ascii="Times New Roman" w:hAnsi="Times New Roman" w:cs="Times New Roman"/>
          <w:i/>
          <w:iCs/>
          <w:sz w:val="22"/>
          <w:szCs w:val="22"/>
        </w:rPr>
        <w:t xml:space="preserve">‘solution-focused risk assessment’ </w:t>
      </w:r>
      <w:r>
        <w:rPr>
          <w:rFonts w:ascii="Times New Roman" w:hAnsi="Times New Roman" w:cs="Times New Roman"/>
          <w:sz w:val="22"/>
          <w:szCs w:val="22"/>
        </w:rPr>
        <w:t>van U.S. NAS (2019)</w:t>
      </w:r>
    </w:p>
    <w:p w14:paraId="7819EDB1" w14:textId="77777777" w:rsidR="0052375D" w:rsidRDefault="00BE1341">
      <w:pPr>
        <w:pStyle w:val="ListParagraph"/>
        <w:numPr>
          <w:ilvl w:val="0"/>
          <w:numId w:val="5"/>
        </w:numPr>
        <w:rPr>
          <w:rFonts w:ascii="Times New Roman" w:hAnsi="Times New Roman" w:cs="Times New Roman"/>
          <w:sz w:val="22"/>
          <w:szCs w:val="22"/>
        </w:rPr>
      </w:pPr>
      <w:r>
        <w:rPr>
          <w:rFonts w:ascii="Times New Roman" w:hAnsi="Times New Roman" w:cs="Times New Roman"/>
          <w:sz w:val="22"/>
          <w:szCs w:val="22"/>
        </w:rPr>
        <w:t xml:space="preserve">Praktisch: </w:t>
      </w:r>
    </w:p>
    <w:p w14:paraId="15C0A4C0" w14:textId="77777777" w:rsidR="0052375D" w:rsidRDefault="00BE1341">
      <w:pPr>
        <w:pStyle w:val="ListParagraph"/>
        <w:numPr>
          <w:ilvl w:val="1"/>
          <w:numId w:val="5"/>
        </w:numPr>
        <w:rPr>
          <w:rFonts w:ascii="Times New Roman" w:hAnsi="Times New Roman" w:cs="Times New Roman"/>
          <w:sz w:val="22"/>
          <w:szCs w:val="22"/>
        </w:rPr>
      </w:pPr>
      <w:r>
        <w:rPr>
          <w:rFonts w:ascii="Times New Roman" w:hAnsi="Times New Roman" w:cs="Times New Roman"/>
          <w:sz w:val="22"/>
          <w:szCs w:val="22"/>
        </w:rPr>
        <w:t>alle aspecten van de aanpak va</w:t>
      </w:r>
      <w:r>
        <w:rPr>
          <w:rFonts w:ascii="Times New Roman" w:hAnsi="Times New Roman" w:cs="Times New Roman"/>
          <w:sz w:val="22"/>
          <w:szCs w:val="22"/>
        </w:rPr>
        <w:t>n maatregelen (deze Notitie)</w:t>
      </w:r>
    </w:p>
    <w:p w14:paraId="1A7D208F" w14:textId="77777777" w:rsidR="0052375D" w:rsidRDefault="00BE1341">
      <w:pPr>
        <w:pStyle w:val="ListParagraph"/>
        <w:numPr>
          <w:ilvl w:val="1"/>
          <w:numId w:val="5"/>
        </w:numPr>
        <w:rPr>
          <w:rFonts w:ascii="Times New Roman" w:hAnsi="Times New Roman" w:cs="Times New Roman"/>
          <w:sz w:val="22"/>
          <w:szCs w:val="22"/>
        </w:rPr>
      </w:pPr>
      <w:r>
        <w:rPr>
          <w:rFonts w:ascii="Times New Roman" w:hAnsi="Times New Roman" w:cs="Times New Roman"/>
          <w:sz w:val="22"/>
          <w:szCs w:val="22"/>
        </w:rPr>
        <w:t>een opzoektabel met toelichting, voor informatie over oplossingen die eerder zijn toegepast (en/of verplicht zijn)</w:t>
      </w:r>
    </w:p>
    <w:p w14:paraId="4D56DA60" w14:textId="77777777" w:rsidR="0052375D" w:rsidRDefault="0052375D"/>
    <w:p w14:paraId="18047935" w14:textId="77777777" w:rsidR="0052375D" w:rsidRDefault="00BE1341">
      <w:pPr>
        <w:sectPr w:rsidR="0052375D">
          <w:headerReference w:type="default" r:id="rId43"/>
          <w:footerReference w:type="default" r:id="rId44"/>
          <w:pgSz w:w="11906" w:h="16838"/>
          <w:pgMar w:top="1418" w:right="1418" w:bottom="1418" w:left="1418" w:header="709" w:footer="0" w:gutter="0"/>
          <w:cols w:space="708"/>
          <w:formProt w:val="0"/>
          <w:docGrid w:linePitch="360"/>
        </w:sectPr>
      </w:pPr>
      <w:r>
        <w:t>Deze info</w:t>
      </w:r>
      <w:r>
        <w:t>rmatiebronnen kunnen samengebracht worden met de DPSIR-analyse, zodat de waterbeheerders die (samen) allerlei DPSI-gegevens verzamelen daadwerkelijk geholpen worden om uit de verzamelde gegevens maatregelen af te leiden.</w:t>
      </w:r>
    </w:p>
    <w:p w14:paraId="7EAAA20B" w14:textId="77777777" w:rsidR="0052375D" w:rsidRDefault="00BE1341">
      <w:pPr>
        <w:pStyle w:val="Title"/>
        <w:rPr>
          <w:sz w:val="22"/>
          <w:szCs w:val="22"/>
        </w:rPr>
      </w:pPr>
      <w:bookmarkStart w:id="30" w:name="_Toc65239935"/>
      <w:r>
        <w:lastRenderedPageBreak/>
        <w:t>Verantwoording</w:t>
      </w:r>
      <w:bookmarkEnd w:id="30"/>
    </w:p>
    <w:p w14:paraId="73177E3F" w14:textId="77777777" w:rsidR="0052375D" w:rsidRDefault="00BE1341">
      <w:r>
        <w:t>Deze Notitie is opge</w:t>
      </w:r>
      <w:r>
        <w:t>steld in het kader van het Kennis Impuls Water Kwaliteit project “Toxiciteit” door @@@, @@@ en @@@. De Notitie is voorgelegd aan @@@. De Notitie wordt – waar mogelijk – gedurende het verdere verloop van het KIWK-Toxiciteit project geactualiseerd op basis v</w:t>
      </w:r>
      <w:r>
        <w:t xml:space="preserve">an nieuw verworven kennis uit het project en uit nieuwe (inter)nationale publicaties, alsmede op basis van suggesties van waterbeheerders. </w:t>
      </w:r>
    </w:p>
    <w:p w14:paraId="675339A2" w14:textId="77777777" w:rsidR="0052375D" w:rsidRDefault="00BE1341">
      <w:pPr>
        <w:pStyle w:val="Title"/>
        <w:rPr>
          <w:sz w:val="22"/>
          <w:szCs w:val="22"/>
        </w:rPr>
      </w:pPr>
      <w:bookmarkStart w:id="31" w:name="_Toc65239936"/>
      <w:r>
        <w:t>Disclaimer</w:t>
      </w:r>
      <w:bookmarkEnd w:id="31"/>
    </w:p>
    <w:p w14:paraId="7ED6FAB4" w14:textId="77777777" w:rsidR="0052375D" w:rsidRDefault="00BE1341">
      <w:r>
        <w:t xml:space="preserve">De in deze Notitie gepresenteerde kennis is gebaseerd op de meest recente inzichten in het vakgebied. Desalniettemin moeten bij toepassing ervan de resultaten te allen tijde kritisch worden beschouwd. De auteur(s) en STOWA kunnen niet aansprakelijk worden </w:t>
      </w:r>
      <w:r>
        <w:t xml:space="preserve">gesteld voor eventuele schade die ontstaat door toepassing van het gedachtegoed uit deze publicatie. </w:t>
      </w:r>
    </w:p>
    <w:p w14:paraId="185CB917" w14:textId="77777777" w:rsidR="0052375D" w:rsidRDefault="0052375D"/>
    <w:p w14:paraId="383557D6" w14:textId="77777777" w:rsidR="0052375D" w:rsidRDefault="0052375D"/>
    <w:p w14:paraId="71777439" w14:textId="77777777" w:rsidR="0052375D" w:rsidRDefault="00BE1341">
      <w:pPr>
        <w:pStyle w:val="Title"/>
        <w:rPr>
          <w:lang w:val="en-US"/>
        </w:rPr>
      </w:pPr>
      <w:bookmarkStart w:id="32" w:name="_Toc65239937"/>
      <w:r>
        <w:rPr>
          <w:lang w:val="en-US"/>
        </w:rPr>
        <w:t>Referenties</w:t>
      </w:r>
      <w:bookmarkEnd w:id="32"/>
    </w:p>
    <w:p w14:paraId="0EB2937D" w14:textId="77777777" w:rsidR="0052375D" w:rsidRDefault="00BE1341">
      <w:pPr>
        <w:pStyle w:val="EndNoteBibliography"/>
        <w:ind w:left="1120" w:hanging="1120"/>
        <w:rPr>
          <w:sz w:val="22"/>
        </w:rPr>
      </w:pPr>
      <w:r>
        <w:fldChar w:fldCharType="begin"/>
      </w:r>
      <w:r>
        <w:instrText>ADDIN EN.REFLIST</w:instrText>
      </w:r>
      <w:r>
        <w:fldChar w:fldCharType="separate"/>
      </w:r>
      <w:bookmarkStart w:id="33" w:name="_ENREF_1"/>
      <w:r>
        <w:t>Akhmouch, A., Clavreul, D. and Glas, P.  2018.  Introducing the OECD Principles on Water Governance. Water International 43(</w:t>
      </w:r>
      <w:r>
        <w:t>1), 5-12.</w:t>
      </w:r>
    </w:p>
    <w:p w14:paraId="73D0E1B9" w14:textId="77777777" w:rsidR="0052375D" w:rsidRDefault="00BE1341">
      <w:pPr>
        <w:pStyle w:val="EndNoteBibliography"/>
        <w:ind w:left="1120" w:hanging="1120"/>
        <w:rPr>
          <w:sz w:val="22"/>
        </w:rPr>
      </w:pPr>
      <w:r>
        <w:t>Backhaus, T., Brack, W., Van den Brink, P.J., Deutschmann, B., Hollert, H., Posthuma, L., Segner, H., Seiler, T.-B., Teodorovic, I. and Focks, A.  2019.  Assessing the ecological impact of chemical pollution on aquatic ecosystems requires the sys</w:t>
      </w:r>
      <w:r>
        <w:t>tematic exploration and evaluation of four lines of evidence. Environmental Sciences Europe 31(1), 98.</w:t>
      </w:r>
    </w:p>
    <w:p w14:paraId="2F7062B4" w14:textId="77777777" w:rsidR="0052375D" w:rsidRDefault="00BE1341">
      <w:pPr>
        <w:pStyle w:val="EndNoteBibliography"/>
        <w:ind w:left="1120" w:hanging="1120"/>
        <w:rPr>
          <w:sz w:val="22"/>
        </w:rPr>
      </w:pPr>
      <w:r>
        <w:t>Carvalho, L., Mackay, E.B., Cardoso, A.C., Baattrup-Pedersen, A., Birk, S., Blackstock, K.L., Borics, G., Borja, A., Feld, C.K., Ferreira, M.T., Globevni</w:t>
      </w:r>
      <w:r>
        <w:t>k, L., Grizzetti, B., Hendry, S., Hering, D., Kelly, M., Langaas, S., Meissner, K., Panagopoulos, Y., Penning, E., Rouillard, J., Sabater, S., Schmedtje, U., Spears, B.M., Venohr, M., van de Bund, W. and Solheim, A.L.  2019.  Protecting and restoring Europ</w:t>
      </w:r>
      <w:r>
        <w:t>e's waters: An analysis of the future development needs of the Water Framework Directive. Science of the Total Environment 658, 1228-1238.</w:t>
      </w:r>
    </w:p>
    <w:p w14:paraId="05876DD5" w14:textId="77777777" w:rsidR="0052375D" w:rsidRDefault="00BE1341">
      <w:pPr>
        <w:pStyle w:val="EndNoteBibliography"/>
        <w:ind w:left="1120" w:hanging="1120"/>
        <w:rPr>
          <w:sz w:val="22"/>
        </w:rPr>
      </w:pPr>
      <w:r>
        <w:t>EC 2019a  Fitness check of the Water Framework Directive, Groundwater Directive, Environmental Quality Standards Dire</w:t>
      </w:r>
      <w:r>
        <w:t xml:space="preserve">ctive and Floods Directive </w:t>
      </w:r>
      <w:hyperlink r:id="rId45">
        <w:r>
          <w:rPr>
            <w:rStyle w:val="Internetkoppeling"/>
          </w:rPr>
          <w:t>https://ec.europa.eu/environment/water/fitness_check_of_the_eu_water_legis</w:t>
        </w:r>
        <w:r>
          <w:rPr>
            <w:rStyle w:val="Internetkoppeling"/>
          </w:rPr>
          <w:t>lation/documents/Water%20Fitness%20Check%20-%20SWD(2019)439%20-%20web.pdf</w:t>
        </w:r>
      </w:hyperlink>
      <w:r>
        <w:t>, pp. 1-176.</w:t>
      </w:r>
    </w:p>
    <w:p w14:paraId="378D4112" w14:textId="77777777" w:rsidR="0052375D" w:rsidRDefault="00BE1341">
      <w:pPr>
        <w:pStyle w:val="EndNoteBibliography"/>
        <w:ind w:left="1120" w:hanging="1120"/>
        <w:rPr>
          <w:sz w:val="22"/>
        </w:rPr>
      </w:pPr>
      <w:r>
        <w:t>EC 2019b  Proposal for Effect-Based Monitoring and Assessment in the Water Framework Directive. Report to the CIS WG Chemicals on the outcome of the work performed in the</w:t>
      </w:r>
      <w:r>
        <w:t xml:space="preserve"> subgroup on effect-based methods (EBMs). Mandate 2016-2018. (draft november 2019).</w:t>
      </w:r>
    </w:p>
    <w:p w14:paraId="41062E53" w14:textId="77777777" w:rsidR="0052375D" w:rsidRDefault="00BE1341">
      <w:pPr>
        <w:pStyle w:val="EndNoteBibliography"/>
        <w:ind w:left="1120" w:hanging="1120"/>
        <w:rPr>
          <w:sz w:val="22"/>
        </w:rPr>
      </w:pPr>
      <w:r>
        <w:t>Elosegi, A., Gessner, M.O. and Young, R.G.  2017.  River doctors: Learning from medicine to improve ecosystem management. Science of the Total Environment 595, 294–302.</w:t>
      </w:r>
    </w:p>
    <w:p w14:paraId="252BF760" w14:textId="77777777" w:rsidR="0052375D" w:rsidRDefault="00BE1341">
      <w:pPr>
        <w:pStyle w:val="EndNoteBibliography"/>
        <w:ind w:left="1120" w:hanging="1120"/>
        <w:rPr>
          <w:sz w:val="22"/>
        </w:rPr>
      </w:pPr>
      <w:r>
        <w:t>Faust, M., Backhaus, T., Altenburger, R., Dulio, V., van Gils, J., Ginebreda, A., Kortenkamp, A., Munthe, J., Posthuma, L., Slobodnik, J., Tollefsen, K.E., van Wezel, A. and Brack, W.  2019.  Prioritisation of water pollutants: the EU Project SOLUTIONS pro</w:t>
      </w:r>
      <w:r>
        <w:t>poses a methodological framework for the integration of mixture risk assessments into prioritisation procedures under the European Water Framework Directive. Environmental Sciences Europe 31(1), 66.</w:t>
      </w:r>
    </w:p>
    <w:p w14:paraId="22BDF3D2" w14:textId="77777777" w:rsidR="0052375D" w:rsidRDefault="00BE1341">
      <w:pPr>
        <w:pStyle w:val="EndNoteBibliography"/>
        <w:ind w:left="1120" w:hanging="1120"/>
        <w:rPr>
          <w:sz w:val="22"/>
        </w:rPr>
      </w:pPr>
      <w:r>
        <w:t>Giakoumis, T. (2019) Improving the application of the Int</w:t>
      </w:r>
      <w:r>
        <w:t>egrated River Basin Management paradigm in the implementation of the EU Water Framework Directive, Imperial College London.</w:t>
      </w:r>
    </w:p>
    <w:p w14:paraId="6C3F7FE0" w14:textId="77777777" w:rsidR="0052375D" w:rsidRDefault="00BE1341">
      <w:pPr>
        <w:pStyle w:val="EndNoteBibliography"/>
        <w:ind w:left="1120" w:hanging="1120"/>
        <w:rPr>
          <w:lang w:val="nl-NL"/>
        </w:rPr>
      </w:pPr>
      <w:r>
        <w:t xml:space="preserve">Giakoumis, T. and Voulvoulis, N.  2018.  The transition of EU water policy towards the Water Framework Directive’s integrated river </w:t>
      </w:r>
      <w:r>
        <w:t xml:space="preserve">basin management paradigm. </w:t>
      </w:r>
      <w:r>
        <w:rPr>
          <w:lang w:val="nl-NL"/>
        </w:rPr>
        <w:t>Environmental Management 62, 819–831.</w:t>
      </w:r>
    </w:p>
    <w:p w14:paraId="5B19A43E" w14:textId="77777777" w:rsidR="0052375D" w:rsidRDefault="00BE1341">
      <w:pPr>
        <w:pStyle w:val="EndNoteBibliography"/>
        <w:ind w:left="1120" w:hanging="1120"/>
        <w:rPr>
          <w:lang w:val="nl-NL"/>
        </w:rPr>
      </w:pPr>
      <w:r>
        <w:rPr>
          <w:lang w:val="nl-NL"/>
        </w:rPr>
        <w:t>KIWK-Tox WP2 2020a  Notitie Kennis Impuls WaterKwaliteit - Toxiciteit: " Diagnose en communicatie van ESFT-resultaten", STOWA, Amsersfoort.</w:t>
      </w:r>
    </w:p>
    <w:p w14:paraId="01BEBFB6" w14:textId="77777777" w:rsidR="0052375D" w:rsidRDefault="00BE1341">
      <w:pPr>
        <w:pStyle w:val="EndNoteBibliography"/>
        <w:ind w:left="1120" w:hanging="1120"/>
        <w:rPr>
          <w:lang w:val="nl-NL"/>
        </w:rPr>
      </w:pPr>
      <w:r>
        <w:rPr>
          <w:lang w:val="nl-NL"/>
        </w:rPr>
        <w:t>KIWK-Tox WP2 2020b  Notitie Kennis Impuls WaterKwal</w:t>
      </w:r>
      <w:r>
        <w:rPr>
          <w:lang w:val="nl-NL"/>
        </w:rPr>
        <w:t>iteit - Toxiciteit: "Startmodule - strategie voor het afleiden van maatregelen", STOWA, Amsersfoort.</w:t>
      </w:r>
    </w:p>
    <w:p w14:paraId="0DCD4CC9" w14:textId="77777777" w:rsidR="0052375D" w:rsidRDefault="00BE1341">
      <w:pPr>
        <w:pStyle w:val="EndNoteBibliography"/>
        <w:ind w:left="1120" w:hanging="1120"/>
        <w:rPr>
          <w:lang w:val="nl-NL"/>
        </w:rPr>
      </w:pPr>
      <w:r>
        <w:rPr>
          <w:lang w:val="nl-NL"/>
        </w:rPr>
        <w:lastRenderedPageBreak/>
        <w:t>KIWK-Tox WP2 2020c  Notitie Kennis Impuls WaterKwaliteit - Toxiciteit:" Over DPSIR@@@, STOWA, Amsersfoort.</w:t>
      </w:r>
    </w:p>
    <w:p w14:paraId="1807802F" w14:textId="77777777" w:rsidR="0052375D" w:rsidRDefault="00BE1341">
      <w:pPr>
        <w:pStyle w:val="EndNoteBibliography"/>
        <w:ind w:left="1120" w:hanging="1120"/>
        <w:rPr>
          <w:lang w:val="nl-NL"/>
        </w:rPr>
      </w:pPr>
      <w:r>
        <w:rPr>
          <w:lang w:val="nl-NL"/>
        </w:rPr>
        <w:t>KIWK-Tox WP3 2020  Notitie Kennis Impuls WaterKw</w:t>
      </w:r>
      <w:r>
        <w:rPr>
          <w:lang w:val="nl-NL"/>
        </w:rPr>
        <w:t>aliteit - Toxiciteit:"Chemie-spoor" ESFT2, STOWA, Amsersfoort.</w:t>
      </w:r>
    </w:p>
    <w:p w14:paraId="72CD484A" w14:textId="77777777" w:rsidR="0052375D" w:rsidRDefault="00BE1341">
      <w:pPr>
        <w:pStyle w:val="EndNoteBibliography"/>
        <w:ind w:left="1120" w:hanging="1120"/>
        <w:rPr>
          <w:lang w:val="nl-NL"/>
        </w:rPr>
      </w:pPr>
      <w:r>
        <w:rPr>
          <w:lang w:val="nl-NL"/>
        </w:rPr>
        <w:t>KIWK-Tox WP4 2020  Notitie Kennis Impuls WaterKwaliteit - Toxiciteit: "Toxicologie-spoor" ESFT2, STOWA, Amsersfoort.</w:t>
      </w:r>
    </w:p>
    <w:p w14:paraId="485B2815" w14:textId="77777777" w:rsidR="0052375D" w:rsidRDefault="00BE1341">
      <w:pPr>
        <w:pStyle w:val="EndNoteBibliography"/>
        <w:ind w:left="1120" w:hanging="1120"/>
        <w:rPr>
          <w:lang w:val="nl-NL"/>
        </w:rPr>
      </w:pPr>
      <w:r>
        <w:rPr>
          <w:lang w:val="nl-NL"/>
        </w:rPr>
        <w:t>KIWK-Tox WP5 2020  Notitie Notitie Kennis Impuls WaterKwaliteit - Toxiciteit</w:t>
      </w:r>
      <w:r>
        <w:rPr>
          <w:lang w:val="nl-NL"/>
        </w:rPr>
        <w:t>: "Calibratie en interpretatie"WP5@@@, STOWA, Amsersfoort.</w:t>
      </w:r>
    </w:p>
    <w:p w14:paraId="6C1D885D" w14:textId="77777777" w:rsidR="0052375D" w:rsidRDefault="00BE1341">
      <w:pPr>
        <w:pStyle w:val="EndNoteBibliography"/>
        <w:ind w:left="1120" w:hanging="1120"/>
        <w:rPr>
          <w:sz w:val="22"/>
        </w:rPr>
      </w:pPr>
      <w:r>
        <w:t>Pistocchi, A., Aloe, A., Grizzetti, B., Udias, A., Vigiak, O., Bisselink, B., Bouraoui, F., De Roo, A., Gelati, E., Pastori, M. and Van de Bund, W. 2018  Assessment of the effectiveness of reported</w:t>
      </w:r>
      <w:r>
        <w:t xml:space="preserve"> Water Framework Directive Programmes of Measures. Part III – JRC Pressure Indicators v.2.0: nutrients, urban runoff, flow regime and hydromorphological alteration </w:t>
      </w:r>
      <w:hyperlink r:id="rId46">
        <w:r>
          <w:rPr>
            <w:rStyle w:val="Internetkoppeling"/>
          </w:rPr>
          <w:t>https://doi.org/doi:10.2760/325451</w:t>
        </w:r>
      </w:hyperlink>
      <w:r>
        <w:t>.</w:t>
      </w:r>
    </w:p>
    <w:p w14:paraId="440556B7" w14:textId="77777777" w:rsidR="0052375D" w:rsidRDefault="00BE1341">
      <w:pPr>
        <w:pStyle w:val="EndNoteBibliography"/>
        <w:ind w:left="1120" w:hanging="1120"/>
        <w:rPr>
          <w:sz w:val="22"/>
        </w:rPr>
      </w:pPr>
      <w:r>
        <w:t>Po</w:t>
      </w:r>
      <w:r>
        <w:t>sthuma, L., Backhaus, T., Hollender, J., Bunke, D., Brack, W., Müller, C., van Gils, J., Hollert, H., Munthe, J. and van Wezel, A.  2019a.  Exploring the ‘solution space’ is key: SOLUTIONS recommends an early-stage assessment of options to protect and rest</w:t>
      </w:r>
      <w:r>
        <w:t>ore water quality against chemical pollution. Environmental Sciences Europe 31(1), 73.</w:t>
      </w:r>
    </w:p>
    <w:p w14:paraId="1BDC78EF" w14:textId="77777777" w:rsidR="0052375D" w:rsidRDefault="00BE1341">
      <w:pPr>
        <w:pStyle w:val="EndNoteBibliography"/>
        <w:ind w:left="1120" w:hanging="1120"/>
        <w:rPr>
          <w:lang w:val="nl-NL"/>
        </w:rPr>
      </w:pPr>
      <w:r>
        <w:t>Posthuma, L., Munthe, J., van Gils, J., Altenburger, R., Müller, C., Slobodnik, J. and Brack, W.  2019b.  A holistic approach is key to protect water quality and monitor</w:t>
      </w:r>
      <w:r>
        <w:t xml:space="preserve">, assess and manage chemical pollution of European surface waters. </w:t>
      </w:r>
      <w:r>
        <w:rPr>
          <w:lang w:val="nl-NL"/>
        </w:rPr>
        <w:t>Environmental Sciences Europe 31(1), 67.</w:t>
      </w:r>
    </w:p>
    <w:p w14:paraId="7418231E" w14:textId="77777777" w:rsidR="0052375D" w:rsidRDefault="00BE1341">
      <w:pPr>
        <w:pStyle w:val="EndNoteBibliography"/>
        <w:ind w:left="1120" w:hanging="1120"/>
        <w:rPr>
          <w:lang w:val="nl-NL"/>
        </w:rPr>
      </w:pPr>
      <w:r>
        <w:rPr>
          <w:lang w:val="nl-NL"/>
        </w:rPr>
        <w:t>RLI 2020  Greep op gevaarlijke stoffen, Raad voor Leefomgeving en Infrastructuur, Den Haag, Nederland.</w:t>
      </w:r>
    </w:p>
    <w:p w14:paraId="5D081BE0" w14:textId="77777777" w:rsidR="0052375D" w:rsidRDefault="00BE1341">
      <w:pPr>
        <w:pStyle w:val="EndNoteBibliography"/>
        <w:ind w:left="1120" w:hanging="1120"/>
        <w:rPr>
          <w:sz w:val="22"/>
        </w:rPr>
      </w:pPr>
      <w:r>
        <w:t>U.S. NAS (2009) Science and Decisions: Advanc</w:t>
      </w:r>
      <w:r>
        <w:t>ing Risk Assessment, National Academies of Science - Committee on Improving Risk Analysis Approaches Used by the U.S. EPA, The National Academies Press.</w:t>
      </w:r>
    </w:p>
    <w:p w14:paraId="1B224275" w14:textId="77777777" w:rsidR="0052375D" w:rsidRDefault="00BE1341">
      <w:pPr>
        <w:pStyle w:val="EndNoteBibliography"/>
        <w:ind w:left="1120" w:hanging="1120"/>
        <w:rPr>
          <w:sz w:val="22"/>
        </w:rPr>
      </w:pPr>
      <w:r>
        <w:rPr>
          <w:lang w:val="nl-NL"/>
        </w:rPr>
        <w:t xml:space="preserve">Van Rijswijck, M., Edelenbos, J., Hellegers, P., Kok, M. and Kuks, S.  </w:t>
      </w:r>
      <w:r>
        <w:t>2014.  Ten building blocks for s</w:t>
      </w:r>
      <w:r>
        <w:t>ustainable water governance: an integrated method to assess the governance of water. Water International 39(5), 725-742.</w:t>
      </w:r>
    </w:p>
    <w:p w14:paraId="0C5C536E" w14:textId="77777777" w:rsidR="0052375D" w:rsidRDefault="00BE1341">
      <w:pPr>
        <w:pStyle w:val="EndNoteBibliography"/>
        <w:ind w:left="1120" w:hanging="1120"/>
        <w:rPr>
          <w:sz w:val="22"/>
        </w:rPr>
      </w:pPr>
      <w:r>
        <w:t>Voulvoulis, N., Arpon, K.D. and Giakoumis, T.  2017.  The EU Water Framework Directive: From great expectations to problems with implem</w:t>
      </w:r>
      <w:r>
        <w:t>entation. Science of the Total Environment 575, 358-366.</w:t>
      </w:r>
    </w:p>
    <w:p w14:paraId="4CF95D08" w14:textId="77777777" w:rsidR="0052375D" w:rsidRDefault="00BE1341">
      <w:pPr>
        <w:pStyle w:val="EndNoteBibliography"/>
        <w:ind w:left="1120" w:hanging="1120"/>
        <w:rPr>
          <w:sz w:val="22"/>
        </w:rPr>
      </w:pPr>
      <w:r>
        <w:t>Wuijts, S., Driessen, P. and Van Rijswick, H.  2018.  Towards More Effective Water Quality Governance: A Review of Social-Economic, Legal and Ecological Perspectives and Their Interactions. Sustainab</w:t>
      </w:r>
      <w:r>
        <w:t>ility 10(4), 914.</w:t>
      </w:r>
    </w:p>
    <w:bookmarkStart w:id="34" w:name="_ENREF_11"/>
    <w:bookmarkStart w:id="35" w:name="_ENREF_2"/>
    <w:bookmarkStart w:id="36" w:name="_ENREF_3"/>
    <w:bookmarkStart w:id="37" w:name="_ENREF_12"/>
    <w:bookmarkStart w:id="38" w:name="_ENREF_4"/>
    <w:bookmarkStart w:id="39" w:name="_ENREF_5"/>
    <w:bookmarkStart w:id="40" w:name="_ENREF_6"/>
    <w:bookmarkStart w:id="41" w:name="_ENREF_7"/>
    <w:bookmarkStart w:id="42" w:name="_ENREF_8"/>
    <w:bookmarkStart w:id="43" w:name="_ENREF_9"/>
    <w:bookmarkStart w:id="44" w:name="_ENREF_10"/>
    <w:bookmarkStart w:id="45" w:name="_ENREF_23"/>
    <w:bookmarkStart w:id="46" w:name="_ENREF_13"/>
    <w:bookmarkStart w:id="47" w:name="_ENREF_22"/>
    <w:bookmarkStart w:id="48" w:name="_ENREF_21"/>
    <w:bookmarkStart w:id="49" w:name="_ENREF_20"/>
    <w:bookmarkStart w:id="50" w:name="_ENREF_19"/>
    <w:bookmarkStart w:id="51" w:name="_ENREF_18"/>
    <w:bookmarkStart w:id="52" w:name="_ENREF_17"/>
    <w:bookmarkStart w:id="53" w:name="_ENREF_16"/>
    <w:bookmarkStart w:id="54" w:name="_ENREF_15"/>
    <w:bookmarkStart w:id="55" w:name="_ENREF_14"/>
    <w:p w14:paraId="1572CCFB" w14:textId="77777777" w:rsidR="0052375D" w:rsidRDefault="00BE1341">
      <w:pPr>
        <w:pStyle w:val="EndNoteBibliography"/>
        <w:ind w:left="1120" w:hanging="1120"/>
        <w:rPr>
          <w:sz w:val="22"/>
        </w:rPr>
      </w:pPr>
      <w:r>
        <w:fldChar w:fldCharType="end"/>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sectPr w:rsidR="0052375D">
      <w:headerReference w:type="default" r:id="rId47"/>
      <w:footerReference w:type="default" r:id="rId48"/>
      <w:pgSz w:w="11906" w:h="16838"/>
      <w:pgMar w:top="1418" w:right="1418" w:bottom="1418" w:left="1418" w:header="709" w:footer="0" w:gutter="0"/>
      <w:cols w:space="708"/>
      <w:formProt w:val="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 w:author="Leo Posthuma" w:date="2021-02-26T13:51:00Z" w:initials="LP">
    <w:p w14:paraId="2895B817" w14:textId="77777777" w:rsidR="0052375D" w:rsidRDefault="00BE1341">
      <w:r>
        <w:rPr>
          <w:rFonts w:ascii="Carlito" w:eastAsia="DejaVu Sans" w:hAnsi="Carlito" w:cs="DejaVu Sans"/>
          <w:sz w:val="24"/>
          <w:szCs w:val="24"/>
          <w:lang w:val="en-US" w:bidi="en-US"/>
        </w:rPr>
        <w:t>Nog actualiseren (Inge, tessa,Mattijs, Susanne, Leo?)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95B81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F7935E" w14:textId="77777777" w:rsidR="00BE1341" w:rsidRDefault="00BE1341">
      <w:r>
        <w:separator/>
      </w:r>
    </w:p>
  </w:endnote>
  <w:endnote w:type="continuationSeparator" w:id="0">
    <w:p w14:paraId="58B07B05" w14:textId="77777777" w:rsidR="00BE1341" w:rsidRDefault="00BE1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rlito">
    <w:altName w:val="Calibri"/>
    <w:charset w:val="01"/>
    <w:family w:val="roman"/>
    <w:pitch w:val="variable"/>
  </w:font>
  <w:font w:name="Noto Sans SC Regular">
    <w:panose1 w:val="00000000000000000000"/>
    <w:charset w:val="00"/>
    <w:family w:val="roman"/>
    <w:notTrueType/>
    <w:pitch w:val="default"/>
  </w:font>
  <w:font w:name="Noto Sans Devanagari">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DejaVu Sans">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1671D" w14:textId="77777777" w:rsidR="0052375D" w:rsidRDefault="0052375D">
    <w:pPr>
      <w:pStyle w:val="Footer"/>
    </w:pPr>
  </w:p>
  <w:p w14:paraId="6B4DC1B6" w14:textId="77777777" w:rsidR="0052375D" w:rsidRDefault="0052375D">
    <w:pPr>
      <w:pStyle w:val="Footer"/>
    </w:pPr>
  </w:p>
  <w:p w14:paraId="210D5ED3" w14:textId="77777777" w:rsidR="0052375D" w:rsidRDefault="00BE1341">
    <w:pPr>
      <w:pStyle w:val="Footer"/>
    </w:pPr>
    <w:r>
      <w:t xml:space="preserve">Pagina </w:t>
    </w:r>
    <w:r>
      <w:fldChar w:fldCharType="begin"/>
    </w:r>
    <w:r>
      <w:instrText>PAGE</w:instrText>
    </w:r>
    <w:r>
      <w:fldChar w:fldCharType="separate"/>
    </w:r>
    <w:r w:rsidR="00DF6166">
      <w:rPr>
        <w:noProof/>
      </w:rPr>
      <w:t>1</w:t>
    </w:r>
    <w:r>
      <w:fldChar w:fldCharType="end"/>
    </w:r>
    <w:r>
      <w:t xml:space="preserve"> van </w:t>
    </w:r>
    <w:r>
      <w:fldChar w:fldCharType="begin"/>
    </w:r>
    <w:r>
      <w:instrText>NUMPAGES</w:instrText>
    </w:r>
    <w:r>
      <w:fldChar w:fldCharType="separate"/>
    </w:r>
    <w:r w:rsidR="00DF6166">
      <w:rPr>
        <w:noProof/>
      </w:rPr>
      <w:t>23</w:t>
    </w:r>
    <w:r>
      <w:fldChar w:fldCharType="end"/>
    </w:r>
    <w:r>
      <w:tab/>
    </w:r>
    <w:r>
      <w:tab/>
    </w:r>
    <w:r>
      <w:rPr>
        <w:b/>
        <w:i/>
        <w:color w:val="009FE3"/>
      </w:rPr>
      <w:t>Sleutel factor Toxiciteit (versie 2)</w:t>
    </w:r>
    <w:r>
      <w:rPr>
        <w:noProof/>
        <w:lang w:eastAsia="nl-NL"/>
      </w:rPr>
      <w:drawing>
        <wp:inline distT="0" distB="0" distL="0" distR="0" wp14:anchorId="45DE3A9F" wp14:editId="797BBC60">
          <wp:extent cx="724535" cy="52260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
                  <a:stretch>
                    <a:fillRect/>
                  </a:stretch>
                </pic:blipFill>
                <pic:spPr bwMode="auto">
                  <a:xfrm>
                    <a:off x="0" y="0"/>
                    <a:ext cx="724535" cy="522605"/>
                  </a:xfrm>
                  <a:prstGeom prst="rect">
                    <a:avLst/>
                  </a:prstGeom>
                </pic:spPr>
              </pic:pic>
            </a:graphicData>
          </a:graphic>
        </wp:inline>
      </w:drawing>
    </w:r>
  </w:p>
  <w:p w14:paraId="18FB9A4C" w14:textId="77777777" w:rsidR="0052375D" w:rsidRDefault="0052375D">
    <w:pPr>
      <w:pStyle w:val="Footer"/>
    </w:pPr>
  </w:p>
  <w:p w14:paraId="075B20B1" w14:textId="77777777" w:rsidR="0052375D" w:rsidRDefault="0052375D">
    <w:pPr>
      <w:pStyle w:val="Footer"/>
    </w:pPr>
  </w:p>
  <w:p w14:paraId="4E01D9ED" w14:textId="77777777" w:rsidR="0052375D" w:rsidRDefault="0052375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FCE9E" w14:textId="77777777" w:rsidR="0052375D" w:rsidRDefault="0052375D">
    <w:pPr>
      <w:pStyle w:val="Footer"/>
    </w:pPr>
  </w:p>
  <w:p w14:paraId="32C66D59" w14:textId="77777777" w:rsidR="0052375D" w:rsidRDefault="0052375D">
    <w:pPr>
      <w:pStyle w:val="Footer"/>
    </w:pPr>
  </w:p>
  <w:p w14:paraId="015DC308" w14:textId="77777777" w:rsidR="0052375D" w:rsidRDefault="00BE1341">
    <w:pPr>
      <w:pStyle w:val="Footer"/>
    </w:pPr>
    <w:r>
      <w:t xml:space="preserve">Pagina </w:t>
    </w:r>
    <w:r>
      <w:fldChar w:fldCharType="begin"/>
    </w:r>
    <w:r>
      <w:instrText>PAGE</w:instrText>
    </w:r>
    <w:r>
      <w:fldChar w:fldCharType="separate"/>
    </w:r>
    <w:r w:rsidR="00DF6166">
      <w:rPr>
        <w:noProof/>
      </w:rPr>
      <w:t>23</w:t>
    </w:r>
    <w:r>
      <w:fldChar w:fldCharType="end"/>
    </w:r>
    <w:r>
      <w:t xml:space="preserve"> van </w:t>
    </w:r>
    <w:r>
      <w:fldChar w:fldCharType="begin"/>
    </w:r>
    <w:r>
      <w:instrText>NUMPAGES</w:instrText>
    </w:r>
    <w:r>
      <w:fldChar w:fldCharType="separate"/>
    </w:r>
    <w:r w:rsidR="00DF6166">
      <w:rPr>
        <w:noProof/>
      </w:rPr>
      <w:t>24</w:t>
    </w:r>
    <w:r>
      <w:fldChar w:fldCharType="end"/>
    </w:r>
    <w:r>
      <w:tab/>
    </w:r>
    <w:r>
      <w:tab/>
    </w:r>
    <w:r>
      <w:rPr>
        <w:b/>
        <w:i/>
        <w:color w:val="009FE3"/>
      </w:rPr>
      <w:t>Sleutel factor Toxiciteit (versie 2)</w:t>
    </w:r>
    <w:r>
      <w:rPr>
        <w:noProof/>
        <w:lang w:eastAsia="nl-NL"/>
      </w:rPr>
      <w:drawing>
        <wp:inline distT="0" distB="0" distL="0" distR="0" wp14:anchorId="5915D49A" wp14:editId="3589F130">
          <wp:extent cx="724535" cy="522605"/>
          <wp:effectExtent l="0" t="0" r="0" b="0"/>
          <wp:docPr id="38"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
                  <pic:cNvPicPr>
                    <a:picLocks noChangeAspect="1" noChangeArrowheads="1"/>
                  </pic:cNvPicPr>
                </pic:nvPicPr>
                <pic:blipFill>
                  <a:blip r:embed="rId1"/>
                  <a:stretch>
                    <a:fillRect/>
                  </a:stretch>
                </pic:blipFill>
                <pic:spPr bwMode="auto">
                  <a:xfrm>
                    <a:off x="0" y="0"/>
                    <a:ext cx="724535" cy="522605"/>
                  </a:xfrm>
                  <a:prstGeom prst="rect">
                    <a:avLst/>
                  </a:prstGeom>
                </pic:spPr>
              </pic:pic>
            </a:graphicData>
          </a:graphic>
        </wp:inline>
      </w:drawing>
    </w:r>
  </w:p>
  <w:p w14:paraId="050FB944" w14:textId="77777777" w:rsidR="0052375D" w:rsidRDefault="0052375D">
    <w:pPr>
      <w:pStyle w:val="Footer"/>
    </w:pPr>
  </w:p>
  <w:p w14:paraId="47431163" w14:textId="77777777" w:rsidR="0052375D" w:rsidRDefault="0052375D">
    <w:pPr>
      <w:pStyle w:val="Footer"/>
    </w:pPr>
  </w:p>
  <w:p w14:paraId="72FEE454" w14:textId="77777777" w:rsidR="0052375D" w:rsidRDefault="005237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7D9E6" w14:textId="77777777" w:rsidR="0052375D" w:rsidRDefault="0052375D">
    <w:pPr>
      <w:pStyle w:val="Footer"/>
    </w:pPr>
  </w:p>
  <w:p w14:paraId="0E0F3C0D" w14:textId="77777777" w:rsidR="0052375D" w:rsidRDefault="0052375D">
    <w:pPr>
      <w:pStyle w:val="Footer"/>
    </w:pPr>
  </w:p>
  <w:p w14:paraId="797F7CFC" w14:textId="77777777" w:rsidR="0052375D" w:rsidRDefault="00BE1341">
    <w:pPr>
      <w:pStyle w:val="Footer"/>
    </w:pPr>
    <w:r>
      <w:t xml:space="preserve">Pagina </w:t>
    </w:r>
    <w:r>
      <w:fldChar w:fldCharType="begin"/>
    </w:r>
    <w:r>
      <w:instrText>PAGE</w:instrText>
    </w:r>
    <w:r>
      <w:fldChar w:fldCharType="separate"/>
    </w:r>
    <w:r w:rsidR="00DF6166">
      <w:rPr>
        <w:noProof/>
      </w:rPr>
      <w:t>2</w:t>
    </w:r>
    <w:r>
      <w:fldChar w:fldCharType="end"/>
    </w:r>
    <w:r>
      <w:t xml:space="preserve"> van </w:t>
    </w:r>
    <w:r>
      <w:fldChar w:fldCharType="begin"/>
    </w:r>
    <w:r>
      <w:instrText>NUMPAGES</w:instrText>
    </w:r>
    <w:r>
      <w:fldChar w:fldCharType="separate"/>
    </w:r>
    <w:r w:rsidR="00DF6166">
      <w:rPr>
        <w:noProof/>
      </w:rPr>
      <w:t>23</w:t>
    </w:r>
    <w:r>
      <w:fldChar w:fldCharType="end"/>
    </w:r>
    <w:r>
      <w:tab/>
    </w:r>
    <w:r>
      <w:tab/>
    </w:r>
    <w:r>
      <w:rPr>
        <w:b/>
        <w:i/>
        <w:color w:val="009FE3"/>
      </w:rPr>
      <w:t>Sleutel factor Toxiciteit (versie 2)</w:t>
    </w:r>
    <w:r>
      <w:rPr>
        <w:noProof/>
        <w:lang w:eastAsia="nl-NL"/>
      </w:rPr>
      <w:drawing>
        <wp:inline distT="0" distB="0" distL="0" distR="0" wp14:anchorId="19422599" wp14:editId="19A9100A">
          <wp:extent cx="724535" cy="52260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1"/>
                  <a:stretch>
                    <a:fillRect/>
                  </a:stretch>
                </pic:blipFill>
                <pic:spPr bwMode="auto">
                  <a:xfrm>
                    <a:off x="0" y="0"/>
                    <a:ext cx="724535" cy="522605"/>
                  </a:xfrm>
                  <a:prstGeom prst="rect">
                    <a:avLst/>
                  </a:prstGeom>
                </pic:spPr>
              </pic:pic>
            </a:graphicData>
          </a:graphic>
        </wp:inline>
      </w:drawing>
    </w:r>
  </w:p>
  <w:p w14:paraId="2AEACD94" w14:textId="77777777" w:rsidR="0052375D" w:rsidRDefault="0052375D">
    <w:pPr>
      <w:pStyle w:val="Footer"/>
    </w:pPr>
  </w:p>
  <w:p w14:paraId="0CDD6E53" w14:textId="77777777" w:rsidR="0052375D" w:rsidRDefault="0052375D">
    <w:pPr>
      <w:pStyle w:val="Footer"/>
    </w:pPr>
  </w:p>
  <w:p w14:paraId="25DE2B8A" w14:textId="77777777" w:rsidR="0052375D" w:rsidRDefault="005237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01355" w14:textId="77777777" w:rsidR="0052375D" w:rsidRDefault="0052375D">
    <w:pPr>
      <w:pStyle w:val="Footer"/>
    </w:pPr>
  </w:p>
  <w:p w14:paraId="6AB261B1" w14:textId="77777777" w:rsidR="0052375D" w:rsidRDefault="0052375D">
    <w:pPr>
      <w:pStyle w:val="Footer"/>
    </w:pPr>
  </w:p>
  <w:p w14:paraId="585ABDE2" w14:textId="77777777" w:rsidR="0052375D" w:rsidRDefault="00BE1341">
    <w:pPr>
      <w:pStyle w:val="Footer"/>
    </w:pPr>
    <w:r>
      <w:t xml:space="preserve">Pagina </w:t>
    </w:r>
    <w:r>
      <w:fldChar w:fldCharType="begin"/>
    </w:r>
    <w:r>
      <w:instrText>PAGE</w:instrText>
    </w:r>
    <w:r>
      <w:fldChar w:fldCharType="separate"/>
    </w:r>
    <w:r w:rsidR="00DF6166">
      <w:rPr>
        <w:noProof/>
      </w:rPr>
      <w:t>3</w:t>
    </w:r>
    <w:r>
      <w:fldChar w:fldCharType="end"/>
    </w:r>
    <w:r>
      <w:t xml:space="preserve"> van </w:t>
    </w:r>
    <w:r>
      <w:fldChar w:fldCharType="begin"/>
    </w:r>
    <w:r>
      <w:instrText>NUMPAGES</w:instrText>
    </w:r>
    <w:r>
      <w:fldChar w:fldCharType="separate"/>
    </w:r>
    <w:r w:rsidR="00DF6166">
      <w:rPr>
        <w:noProof/>
      </w:rPr>
      <w:t>23</w:t>
    </w:r>
    <w:r>
      <w:fldChar w:fldCharType="end"/>
    </w:r>
    <w:r>
      <w:tab/>
    </w:r>
    <w:r>
      <w:tab/>
    </w:r>
    <w:r>
      <w:rPr>
        <w:b/>
        <w:i/>
        <w:color w:val="009FE3"/>
      </w:rPr>
      <w:t>Sleutel factor Toxiciteit (versie 2)</w:t>
    </w:r>
    <w:r>
      <w:rPr>
        <w:noProof/>
        <w:lang w:eastAsia="nl-NL"/>
      </w:rPr>
      <w:drawing>
        <wp:inline distT="0" distB="0" distL="0" distR="0" wp14:anchorId="3A90824A" wp14:editId="54E3216E">
          <wp:extent cx="724535" cy="522605"/>
          <wp:effectExtent l="0" t="0" r="0" b="0"/>
          <wp:docPr id="1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
                  <pic:cNvPicPr>
                    <a:picLocks noChangeAspect="1" noChangeArrowheads="1"/>
                  </pic:cNvPicPr>
                </pic:nvPicPr>
                <pic:blipFill>
                  <a:blip r:embed="rId1"/>
                  <a:stretch>
                    <a:fillRect/>
                  </a:stretch>
                </pic:blipFill>
                <pic:spPr bwMode="auto">
                  <a:xfrm>
                    <a:off x="0" y="0"/>
                    <a:ext cx="724535" cy="522605"/>
                  </a:xfrm>
                  <a:prstGeom prst="rect">
                    <a:avLst/>
                  </a:prstGeom>
                </pic:spPr>
              </pic:pic>
            </a:graphicData>
          </a:graphic>
        </wp:inline>
      </w:drawing>
    </w:r>
  </w:p>
  <w:p w14:paraId="2C33673C" w14:textId="77777777" w:rsidR="0052375D" w:rsidRDefault="0052375D">
    <w:pPr>
      <w:pStyle w:val="Footer"/>
    </w:pPr>
  </w:p>
  <w:p w14:paraId="4B0C445C" w14:textId="77777777" w:rsidR="0052375D" w:rsidRDefault="0052375D">
    <w:pPr>
      <w:pStyle w:val="Footer"/>
    </w:pPr>
  </w:p>
  <w:p w14:paraId="30A755EA" w14:textId="77777777" w:rsidR="0052375D" w:rsidRDefault="0052375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F5CC2" w14:textId="77777777" w:rsidR="0052375D" w:rsidRDefault="0052375D">
    <w:pPr>
      <w:pStyle w:val="Footer"/>
    </w:pPr>
  </w:p>
  <w:p w14:paraId="07B63DB8" w14:textId="77777777" w:rsidR="0052375D" w:rsidRDefault="0052375D">
    <w:pPr>
      <w:pStyle w:val="Footer"/>
    </w:pPr>
  </w:p>
  <w:p w14:paraId="756A7B01" w14:textId="77777777" w:rsidR="0052375D" w:rsidRDefault="00BE1341">
    <w:pPr>
      <w:pStyle w:val="Footer"/>
    </w:pPr>
    <w:r>
      <w:t xml:space="preserve">Pagina </w:t>
    </w:r>
    <w:r>
      <w:fldChar w:fldCharType="begin"/>
    </w:r>
    <w:r>
      <w:instrText>PAGE</w:instrText>
    </w:r>
    <w:r>
      <w:fldChar w:fldCharType="separate"/>
    </w:r>
    <w:r w:rsidR="00DF6166">
      <w:rPr>
        <w:noProof/>
      </w:rPr>
      <w:t>4</w:t>
    </w:r>
    <w:r>
      <w:fldChar w:fldCharType="end"/>
    </w:r>
    <w:r>
      <w:t xml:space="preserve"> van </w:t>
    </w:r>
    <w:r>
      <w:fldChar w:fldCharType="begin"/>
    </w:r>
    <w:r>
      <w:instrText>NUMPAGES</w:instrText>
    </w:r>
    <w:r>
      <w:fldChar w:fldCharType="separate"/>
    </w:r>
    <w:r w:rsidR="00DF6166">
      <w:rPr>
        <w:noProof/>
      </w:rPr>
      <w:t>23</w:t>
    </w:r>
    <w:r>
      <w:fldChar w:fldCharType="end"/>
    </w:r>
    <w:r>
      <w:tab/>
    </w:r>
    <w:r>
      <w:tab/>
    </w:r>
    <w:r>
      <w:rPr>
        <w:b/>
        <w:i/>
        <w:color w:val="009FE3"/>
      </w:rPr>
      <w:t>Sleutel factor Toxiciteit (versie 2)</w:t>
    </w:r>
    <w:r>
      <w:rPr>
        <w:noProof/>
        <w:lang w:eastAsia="nl-NL"/>
      </w:rPr>
      <w:drawing>
        <wp:inline distT="0" distB="0" distL="0" distR="0" wp14:anchorId="383FF5E0" wp14:editId="08C8712A">
          <wp:extent cx="724535" cy="522605"/>
          <wp:effectExtent l="0" t="0" r="0" b="0"/>
          <wp:docPr id="1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
                  <pic:cNvPicPr>
                    <a:picLocks noChangeAspect="1" noChangeArrowheads="1"/>
                  </pic:cNvPicPr>
                </pic:nvPicPr>
                <pic:blipFill>
                  <a:blip r:embed="rId1"/>
                  <a:stretch>
                    <a:fillRect/>
                  </a:stretch>
                </pic:blipFill>
                <pic:spPr bwMode="auto">
                  <a:xfrm>
                    <a:off x="0" y="0"/>
                    <a:ext cx="724535" cy="522605"/>
                  </a:xfrm>
                  <a:prstGeom prst="rect">
                    <a:avLst/>
                  </a:prstGeom>
                </pic:spPr>
              </pic:pic>
            </a:graphicData>
          </a:graphic>
        </wp:inline>
      </w:drawing>
    </w:r>
  </w:p>
  <w:p w14:paraId="10FDDA4A" w14:textId="77777777" w:rsidR="0052375D" w:rsidRDefault="0052375D">
    <w:pPr>
      <w:pStyle w:val="Footer"/>
    </w:pPr>
  </w:p>
  <w:p w14:paraId="75AC0559" w14:textId="77777777" w:rsidR="0052375D" w:rsidRDefault="0052375D">
    <w:pPr>
      <w:pStyle w:val="Footer"/>
    </w:pPr>
  </w:p>
  <w:p w14:paraId="63561793" w14:textId="77777777" w:rsidR="0052375D" w:rsidRDefault="0052375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DE318" w14:textId="77777777" w:rsidR="0052375D" w:rsidRDefault="0052375D">
    <w:pPr>
      <w:pStyle w:val="Footer"/>
    </w:pPr>
  </w:p>
  <w:p w14:paraId="6DFE0248" w14:textId="77777777" w:rsidR="0052375D" w:rsidRDefault="0052375D">
    <w:pPr>
      <w:pStyle w:val="Footer"/>
    </w:pPr>
  </w:p>
  <w:p w14:paraId="44AA7A05" w14:textId="77777777" w:rsidR="0052375D" w:rsidRDefault="00BE1341">
    <w:pPr>
      <w:pStyle w:val="Footer"/>
    </w:pPr>
    <w:r>
      <w:t xml:space="preserve">Pagina </w:t>
    </w:r>
    <w:r>
      <w:fldChar w:fldCharType="begin"/>
    </w:r>
    <w:r>
      <w:instrText>PAGE</w:instrText>
    </w:r>
    <w:r>
      <w:fldChar w:fldCharType="separate"/>
    </w:r>
    <w:r w:rsidR="00DF6166">
      <w:rPr>
        <w:noProof/>
      </w:rPr>
      <w:t>5</w:t>
    </w:r>
    <w:r>
      <w:fldChar w:fldCharType="end"/>
    </w:r>
    <w:r>
      <w:t xml:space="preserve"> van </w:t>
    </w:r>
    <w:r>
      <w:fldChar w:fldCharType="begin"/>
    </w:r>
    <w:r>
      <w:instrText>NUMPAGES</w:instrText>
    </w:r>
    <w:r>
      <w:fldChar w:fldCharType="separate"/>
    </w:r>
    <w:r w:rsidR="00DF6166">
      <w:rPr>
        <w:noProof/>
      </w:rPr>
      <w:t>23</w:t>
    </w:r>
    <w:r>
      <w:fldChar w:fldCharType="end"/>
    </w:r>
    <w:r>
      <w:tab/>
    </w:r>
    <w:r>
      <w:tab/>
    </w:r>
    <w:r>
      <w:rPr>
        <w:b/>
        <w:i/>
        <w:color w:val="009FE3"/>
      </w:rPr>
      <w:t>Sleutel factor Toxiciteit (versie 2)</w:t>
    </w:r>
    <w:r>
      <w:rPr>
        <w:noProof/>
        <w:lang w:eastAsia="nl-NL"/>
      </w:rPr>
      <w:drawing>
        <wp:inline distT="0" distB="0" distL="0" distR="0" wp14:anchorId="5D25877D" wp14:editId="03CBA7BF">
          <wp:extent cx="724535" cy="522605"/>
          <wp:effectExtent l="0" t="0" r="0" b="0"/>
          <wp:docPr id="18"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
                  <pic:cNvPicPr>
                    <a:picLocks noChangeAspect="1" noChangeArrowheads="1"/>
                  </pic:cNvPicPr>
                </pic:nvPicPr>
                <pic:blipFill>
                  <a:blip r:embed="rId1"/>
                  <a:stretch>
                    <a:fillRect/>
                  </a:stretch>
                </pic:blipFill>
                <pic:spPr bwMode="auto">
                  <a:xfrm>
                    <a:off x="0" y="0"/>
                    <a:ext cx="724535" cy="522605"/>
                  </a:xfrm>
                  <a:prstGeom prst="rect">
                    <a:avLst/>
                  </a:prstGeom>
                </pic:spPr>
              </pic:pic>
            </a:graphicData>
          </a:graphic>
        </wp:inline>
      </w:drawing>
    </w:r>
  </w:p>
  <w:p w14:paraId="5B17E104" w14:textId="77777777" w:rsidR="0052375D" w:rsidRDefault="0052375D">
    <w:pPr>
      <w:pStyle w:val="Footer"/>
    </w:pPr>
  </w:p>
  <w:p w14:paraId="3E203011" w14:textId="77777777" w:rsidR="0052375D" w:rsidRDefault="0052375D">
    <w:pPr>
      <w:pStyle w:val="Footer"/>
    </w:pPr>
  </w:p>
  <w:p w14:paraId="73E0DF4E" w14:textId="77777777" w:rsidR="0052375D" w:rsidRDefault="0052375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F3C9A6" w14:textId="77777777" w:rsidR="0052375D" w:rsidRDefault="0052375D">
    <w:pPr>
      <w:pStyle w:val="Footer"/>
    </w:pPr>
  </w:p>
  <w:p w14:paraId="548BCF54" w14:textId="77777777" w:rsidR="0052375D" w:rsidRDefault="0052375D">
    <w:pPr>
      <w:pStyle w:val="Footer"/>
    </w:pPr>
  </w:p>
  <w:p w14:paraId="129DA42F" w14:textId="77777777" w:rsidR="0052375D" w:rsidRDefault="00BE1341">
    <w:pPr>
      <w:pStyle w:val="Footer"/>
    </w:pPr>
    <w:r>
      <w:t xml:space="preserve">Pagina </w:t>
    </w:r>
    <w:r>
      <w:fldChar w:fldCharType="begin"/>
    </w:r>
    <w:r>
      <w:instrText>PAGE</w:instrText>
    </w:r>
    <w:r>
      <w:fldChar w:fldCharType="separate"/>
    </w:r>
    <w:r w:rsidR="00DF6166">
      <w:rPr>
        <w:noProof/>
      </w:rPr>
      <w:t>6</w:t>
    </w:r>
    <w:r>
      <w:fldChar w:fldCharType="end"/>
    </w:r>
    <w:r>
      <w:t xml:space="preserve"> van </w:t>
    </w:r>
    <w:r>
      <w:fldChar w:fldCharType="begin"/>
    </w:r>
    <w:r>
      <w:instrText>NUMPAGES</w:instrText>
    </w:r>
    <w:r>
      <w:fldChar w:fldCharType="separate"/>
    </w:r>
    <w:r w:rsidR="00DF6166">
      <w:rPr>
        <w:noProof/>
      </w:rPr>
      <w:t>23</w:t>
    </w:r>
    <w:r>
      <w:fldChar w:fldCharType="end"/>
    </w:r>
    <w:r>
      <w:tab/>
    </w:r>
    <w:r>
      <w:tab/>
    </w:r>
    <w:r>
      <w:rPr>
        <w:b/>
        <w:i/>
        <w:color w:val="009FE3"/>
      </w:rPr>
      <w:t>Sleutel factor Toxiciteit (versie 2)</w:t>
    </w:r>
    <w:r>
      <w:rPr>
        <w:noProof/>
        <w:lang w:eastAsia="nl-NL"/>
      </w:rPr>
      <w:drawing>
        <wp:inline distT="0" distB="0" distL="0" distR="0" wp14:anchorId="5E0072E6" wp14:editId="5244BDF1">
          <wp:extent cx="724535" cy="522605"/>
          <wp:effectExtent l="0" t="0" r="0" b="0"/>
          <wp:docPr id="21"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8"/>
                  <pic:cNvPicPr>
                    <a:picLocks noChangeAspect="1" noChangeArrowheads="1"/>
                  </pic:cNvPicPr>
                </pic:nvPicPr>
                <pic:blipFill>
                  <a:blip r:embed="rId1"/>
                  <a:stretch>
                    <a:fillRect/>
                  </a:stretch>
                </pic:blipFill>
                <pic:spPr bwMode="auto">
                  <a:xfrm>
                    <a:off x="0" y="0"/>
                    <a:ext cx="724535" cy="522605"/>
                  </a:xfrm>
                  <a:prstGeom prst="rect">
                    <a:avLst/>
                  </a:prstGeom>
                </pic:spPr>
              </pic:pic>
            </a:graphicData>
          </a:graphic>
        </wp:inline>
      </w:drawing>
    </w:r>
  </w:p>
  <w:p w14:paraId="44B04A4F" w14:textId="77777777" w:rsidR="0052375D" w:rsidRDefault="0052375D">
    <w:pPr>
      <w:pStyle w:val="Footer"/>
    </w:pPr>
  </w:p>
  <w:p w14:paraId="3A1F8B1F" w14:textId="77777777" w:rsidR="0052375D" w:rsidRDefault="0052375D">
    <w:pPr>
      <w:pStyle w:val="Footer"/>
    </w:pPr>
  </w:p>
  <w:p w14:paraId="6728F69B" w14:textId="77777777" w:rsidR="0052375D" w:rsidRDefault="0052375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741707" w14:textId="77777777" w:rsidR="0052375D" w:rsidRDefault="0052375D">
    <w:pPr>
      <w:pStyle w:val="Footer"/>
    </w:pPr>
  </w:p>
  <w:p w14:paraId="00A4286F" w14:textId="77777777" w:rsidR="0052375D" w:rsidRDefault="0052375D">
    <w:pPr>
      <w:pStyle w:val="Footer"/>
    </w:pPr>
  </w:p>
  <w:p w14:paraId="34AFE957" w14:textId="77777777" w:rsidR="0052375D" w:rsidRDefault="00BE1341">
    <w:pPr>
      <w:pStyle w:val="Footer"/>
    </w:pPr>
    <w:r>
      <w:t xml:space="preserve">Pagina </w:t>
    </w:r>
    <w:r>
      <w:fldChar w:fldCharType="begin"/>
    </w:r>
    <w:r>
      <w:instrText>PAGE</w:instrText>
    </w:r>
    <w:r>
      <w:fldChar w:fldCharType="separate"/>
    </w:r>
    <w:r w:rsidR="00DF6166">
      <w:rPr>
        <w:noProof/>
      </w:rPr>
      <w:t>7</w:t>
    </w:r>
    <w:r>
      <w:fldChar w:fldCharType="end"/>
    </w:r>
    <w:r>
      <w:t xml:space="preserve"> van </w:t>
    </w:r>
    <w:r>
      <w:fldChar w:fldCharType="begin"/>
    </w:r>
    <w:r>
      <w:instrText>NUMPAGES</w:instrText>
    </w:r>
    <w:r>
      <w:fldChar w:fldCharType="separate"/>
    </w:r>
    <w:r w:rsidR="00DF6166">
      <w:rPr>
        <w:noProof/>
      </w:rPr>
      <w:t>23</w:t>
    </w:r>
    <w:r>
      <w:fldChar w:fldCharType="end"/>
    </w:r>
    <w:r>
      <w:tab/>
    </w:r>
    <w:r>
      <w:tab/>
    </w:r>
    <w:r>
      <w:rPr>
        <w:b/>
        <w:i/>
        <w:color w:val="009FE3"/>
      </w:rPr>
      <w:t>Sleutel factor Toxiciteit (versie 2)</w:t>
    </w:r>
    <w:r>
      <w:rPr>
        <w:noProof/>
        <w:lang w:eastAsia="nl-NL"/>
      </w:rPr>
      <w:drawing>
        <wp:inline distT="0" distB="0" distL="0" distR="0" wp14:anchorId="444D7378" wp14:editId="6A5389B3">
          <wp:extent cx="724535" cy="522605"/>
          <wp:effectExtent l="0" t="0" r="0" b="0"/>
          <wp:docPr id="23"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9"/>
                  <pic:cNvPicPr>
                    <a:picLocks noChangeAspect="1" noChangeArrowheads="1"/>
                  </pic:cNvPicPr>
                </pic:nvPicPr>
                <pic:blipFill>
                  <a:blip r:embed="rId1"/>
                  <a:stretch>
                    <a:fillRect/>
                  </a:stretch>
                </pic:blipFill>
                <pic:spPr bwMode="auto">
                  <a:xfrm>
                    <a:off x="0" y="0"/>
                    <a:ext cx="724535" cy="522605"/>
                  </a:xfrm>
                  <a:prstGeom prst="rect">
                    <a:avLst/>
                  </a:prstGeom>
                </pic:spPr>
              </pic:pic>
            </a:graphicData>
          </a:graphic>
        </wp:inline>
      </w:drawing>
    </w:r>
  </w:p>
  <w:p w14:paraId="5B978ABA" w14:textId="77777777" w:rsidR="0052375D" w:rsidRDefault="0052375D">
    <w:pPr>
      <w:pStyle w:val="Footer"/>
    </w:pPr>
  </w:p>
  <w:p w14:paraId="5FB1E423" w14:textId="77777777" w:rsidR="0052375D" w:rsidRDefault="0052375D">
    <w:pPr>
      <w:pStyle w:val="Footer"/>
    </w:pPr>
  </w:p>
  <w:p w14:paraId="4689FDB6" w14:textId="77777777" w:rsidR="0052375D" w:rsidRDefault="0052375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C3834" w14:textId="77777777" w:rsidR="0052375D" w:rsidRDefault="0052375D">
    <w:pPr>
      <w:pStyle w:val="Footer"/>
    </w:pPr>
  </w:p>
  <w:p w14:paraId="0EC4F5EA" w14:textId="77777777" w:rsidR="0052375D" w:rsidRDefault="0052375D">
    <w:pPr>
      <w:pStyle w:val="Footer"/>
    </w:pPr>
  </w:p>
  <w:p w14:paraId="351ACF60" w14:textId="77777777" w:rsidR="0052375D" w:rsidRDefault="00BE1341">
    <w:pPr>
      <w:pStyle w:val="Footer"/>
    </w:pPr>
    <w:r>
      <w:t xml:space="preserve">Pagina </w:t>
    </w:r>
    <w:r>
      <w:fldChar w:fldCharType="begin"/>
    </w:r>
    <w:r>
      <w:instrText>PAGE</w:instrText>
    </w:r>
    <w:r>
      <w:fldChar w:fldCharType="separate"/>
    </w:r>
    <w:r w:rsidR="00DF6166">
      <w:rPr>
        <w:noProof/>
      </w:rPr>
      <w:t>8</w:t>
    </w:r>
    <w:r>
      <w:fldChar w:fldCharType="end"/>
    </w:r>
    <w:r>
      <w:t xml:space="preserve"> van </w:t>
    </w:r>
    <w:r>
      <w:fldChar w:fldCharType="begin"/>
    </w:r>
    <w:r>
      <w:instrText>NUMPAGES</w:instrText>
    </w:r>
    <w:r>
      <w:fldChar w:fldCharType="separate"/>
    </w:r>
    <w:r w:rsidR="00DF6166">
      <w:rPr>
        <w:noProof/>
      </w:rPr>
      <w:t>23</w:t>
    </w:r>
    <w:r>
      <w:fldChar w:fldCharType="end"/>
    </w:r>
    <w:r>
      <w:tab/>
    </w:r>
    <w:r>
      <w:tab/>
    </w:r>
    <w:r>
      <w:rPr>
        <w:b/>
        <w:i/>
        <w:color w:val="009FE3"/>
      </w:rPr>
      <w:t>Sleutel factor Toxiciteit (versie 2)</w:t>
    </w:r>
    <w:r>
      <w:rPr>
        <w:noProof/>
        <w:lang w:eastAsia="nl-NL"/>
      </w:rPr>
      <w:drawing>
        <wp:inline distT="0" distB="0" distL="0" distR="0" wp14:anchorId="26FCAF14" wp14:editId="46D55C12">
          <wp:extent cx="724535" cy="522605"/>
          <wp:effectExtent l="0" t="0" r="0" b="0"/>
          <wp:docPr id="25"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1"/>
                  <pic:cNvPicPr>
                    <a:picLocks noChangeAspect="1" noChangeArrowheads="1"/>
                  </pic:cNvPicPr>
                </pic:nvPicPr>
                <pic:blipFill>
                  <a:blip r:embed="rId1"/>
                  <a:stretch>
                    <a:fillRect/>
                  </a:stretch>
                </pic:blipFill>
                <pic:spPr bwMode="auto">
                  <a:xfrm>
                    <a:off x="0" y="0"/>
                    <a:ext cx="724535" cy="522605"/>
                  </a:xfrm>
                  <a:prstGeom prst="rect">
                    <a:avLst/>
                  </a:prstGeom>
                </pic:spPr>
              </pic:pic>
            </a:graphicData>
          </a:graphic>
        </wp:inline>
      </w:drawing>
    </w:r>
  </w:p>
  <w:p w14:paraId="609266A5" w14:textId="77777777" w:rsidR="0052375D" w:rsidRDefault="0052375D">
    <w:pPr>
      <w:pStyle w:val="Footer"/>
    </w:pPr>
  </w:p>
  <w:p w14:paraId="6B78C0CC" w14:textId="77777777" w:rsidR="0052375D" w:rsidRDefault="0052375D">
    <w:pPr>
      <w:pStyle w:val="Footer"/>
    </w:pPr>
  </w:p>
  <w:p w14:paraId="128951CA" w14:textId="77777777" w:rsidR="0052375D" w:rsidRDefault="0052375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8CE6D" w14:textId="77777777" w:rsidR="0052375D" w:rsidRDefault="0052375D">
    <w:pPr>
      <w:pStyle w:val="Footer"/>
    </w:pPr>
  </w:p>
  <w:p w14:paraId="268414B9" w14:textId="77777777" w:rsidR="0052375D" w:rsidRDefault="0052375D">
    <w:pPr>
      <w:pStyle w:val="Footer"/>
    </w:pPr>
  </w:p>
  <w:p w14:paraId="341BD0FA" w14:textId="77777777" w:rsidR="0052375D" w:rsidRDefault="00BE1341">
    <w:pPr>
      <w:pStyle w:val="Footer"/>
    </w:pPr>
    <w:r>
      <w:t xml:space="preserve">Pagina </w:t>
    </w:r>
    <w:r>
      <w:fldChar w:fldCharType="begin"/>
    </w:r>
    <w:r>
      <w:instrText>PAGE</w:instrText>
    </w:r>
    <w:r>
      <w:fldChar w:fldCharType="separate"/>
    </w:r>
    <w:r w:rsidR="00DF6166">
      <w:rPr>
        <w:noProof/>
      </w:rPr>
      <w:t>20</w:t>
    </w:r>
    <w:r>
      <w:fldChar w:fldCharType="end"/>
    </w:r>
    <w:r>
      <w:t xml:space="preserve"> van </w:t>
    </w:r>
    <w:r>
      <w:fldChar w:fldCharType="begin"/>
    </w:r>
    <w:r>
      <w:instrText>NUMPAGES</w:instrText>
    </w:r>
    <w:r>
      <w:fldChar w:fldCharType="separate"/>
    </w:r>
    <w:r w:rsidR="00DF6166">
      <w:rPr>
        <w:noProof/>
      </w:rPr>
      <w:t>23</w:t>
    </w:r>
    <w:r>
      <w:fldChar w:fldCharType="end"/>
    </w:r>
    <w:r>
      <w:tab/>
    </w:r>
    <w:r>
      <w:tab/>
    </w:r>
    <w:r>
      <w:rPr>
        <w:b/>
        <w:i/>
        <w:color w:val="009FE3"/>
      </w:rPr>
      <w:t>Sleutel factor Toxiciteit (versie 2)</w:t>
    </w:r>
    <w:r>
      <w:rPr>
        <w:noProof/>
        <w:lang w:eastAsia="nl-NL"/>
      </w:rPr>
      <w:drawing>
        <wp:inline distT="0" distB="0" distL="0" distR="0" wp14:anchorId="114364BE" wp14:editId="617C7BC5">
          <wp:extent cx="724535" cy="522605"/>
          <wp:effectExtent l="0" t="0" r="0" b="0"/>
          <wp:docPr id="36"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4"/>
                  <pic:cNvPicPr>
                    <a:picLocks noChangeAspect="1" noChangeArrowheads="1"/>
                  </pic:cNvPicPr>
                </pic:nvPicPr>
                <pic:blipFill>
                  <a:blip r:embed="rId1"/>
                  <a:stretch>
                    <a:fillRect/>
                  </a:stretch>
                </pic:blipFill>
                <pic:spPr bwMode="auto">
                  <a:xfrm>
                    <a:off x="0" y="0"/>
                    <a:ext cx="724535" cy="522605"/>
                  </a:xfrm>
                  <a:prstGeom prst="rect">
                    <a:avLst/>
                  </a:prstGeom>
                </pic:spPr>
              </pic:pic>
            </a:graphicData>
          </a:graphic>
        </wp:inline>
      </w:drawing>
    </w:r>
  </w:p>
  <w:p w14:paraId="2A2CE382" w14:textId="77777777" w:rsidR="0052375D" w:rsidRDefault="0052375D">
    <w:pPr>
      <w:pStyle w:val="Footer"/>
    </w:pPr>
  </w:p>
  <w:p w14:paraId="1720C028" w14:textId="77777777" w:rsidR="0052375D" w:rsidRDefault="0052375D">
    <w:pPr>
      <w:pStyle w:val="Footer"/>
    </w:pPr>
  </w:p>
  <w:p w14:paraId="5E786E69" w14:textId="77777777" w:rsidR="0052375D" w:rsidRDefault="005237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D8AB53" w14:textId="77777777" w:rsidR="00BE1341" w:rsidRDefault="00BE1341">
      <w:pPr>
        <w:rPr>
          <w:sz w:val="12"/>
        </w:rPr>
      </w:pPr>
      <w:r>
        <w:separator/>
      </w:r>
    </w:p>
  </w:footnote>
  <w:footnote w:type="continuationSeparator" w:id="0">
    <w:p w14:paraId="4BD74471" w14:textId="77777777" w:rsidR="00BE1341" w:rsidRDefault="00BE1341">
      <w:pPr>
        <w:rPr>
          <w:sz w:val="12"/>
        </w:rPr>
      </w:pPr>
      <w:r>
        <w:continuationSeparator/>
      </w:r>
    </w:p>
  </w:footnote>
  <w:footnote w:id="1">
    <w:p w14:paraId="07F67EBB" w14:textId="77777777" w:rsidR="0052375D" w:rsidRDefault="00BE1341">
      <w:pPr>
        <w:pStyle w:val="FootnoteText"/>
      </w:pPr>
      <w:r>
        <w:rPr>
          <w:rStyle w:val="Voetnoottekens"/>
        </w:rPr>
        <w:footnoteRef/>
      </w:r>
      <w:r>
        <w:t xml:space="preserve"> De product-code is afkomstig uit de offerte-2020. Versie A is goedgekeurd door het </w:t>
      </w:r>
      <w:r>
        <w:t>projectteam. Versie B wordt gemaakt na suggesties vanuit de gebruikersgroep en de mee-lees groep van eindgebruikers (zomer 2021). Versie C is de eindversie (december 2021).</w:t>
      </w:r>
    </w:p>
  </w:footnote>
  <w:footnote w:id="2">
    <w:p w14:paraId="16687991" w14:textId="77777777" w:rsidR="0052375D" w:rsidRDefault="00BE1341">
      <w:pPr>
        <w:pStyle w:val="FootnoteText"/>
      </w:pPr>
      <w:r>
        <w:rPr>
          <w:rStyle w:val="Voetnoottekens"/>
        </w:rPr>
        <w:footnoteRef/>
      </w:r>
      <w:r>
        <w:t xml:space="preserve"> Het project Toxiciteit van de Kennis Impuls WaterKwaliteit loopt tot einde 2021. </w:t>
      </w:r>
      <w:r>
        <w:t xml:space="preserve">Dit document wordt gebruikt bij praktijkevaluaties, en kan daarom geactualiseerd worden. Suggesties voor verbetering kunnen gezonden worden aan </w:t>
      </w:r>
      <w:hyperlink r:id="rId1">
        <w:r>
          <w:rPr>
            <w:rStyle w:val="Internetkoppeling"/>
            <w:rFonts w:ascii="Times New Roman" w:hAnsi="Times New Roman" w:cs="Times New Roman"/>
          </w:rPr>
          <w:t>Harald.dik@rivm.nl</w:t>
        </w:r>
      </w:hyperlink>
      <w:r>
        <w:t xml:space="preserve">. </w:t>
      </w:r>
    </w:p>
  </w:footnote>
  <w:footnote w:id="3">
    <w:p w14:paraId="410C7AE7" w14:textId="77777777" w:rsidR="0052375D" w:rsidRDefault="00BE1341">
      <w:pPr>
        <w:pStyle w:val="FootnoteText"/>
      </w:pPr>
      <w:r>
        <w:rPr>
          <w:rStyle w:val="Voetnoottekens"/>
        </w:rPr>
        <w:footnoteRef/>
      </w:r>
      <w:r>
        <w:t xml:space="preserve"> </w:t>
      </w:r>
      <w:hyperlink r:id="rId2">
        <w:r>
          <w:rPr>
            <w:rStyle w:val="Internetkoppeling"/>
          </w:rPr>
          <w:t>https://www.helpdeskwater.nl/onderwerpen/wetgeving-beleid/kaderrichtlijn-water/uitvoering/rijn-west/we/krw/dpsir/</w:t>
        </w:r>
      </w:hyperlink>
      <w:r>
        <w:t xml:space="preserve"> </w:t>
      </w:r>
    </w:p>
  </w:footnote>
  <w:footnote w:id="4">
    <w:p w14:paraId="16D3D7D9" w14:textId="77777777" w:rsidR="0052375D" w:rsidRDefault="00BE1341">
      <w:pPr>
        <w:pStyle w:val="FootnoteText"/>
      </w:pPr>
      <w:r>
        <w:rPr>
          <w:rStyle w:val="Voetnoottekens"/>
        </w:rPr>
        <w:footnoteRef/>
      </w:r>
      <w:r>
        <w:t xml:space="preserve"> Deze sch</w:t>
      </w:r>
      <w:r>
        <w:t>aalgewijze uitwerking van het begrip ‘specifieke verontreinigende stoffen’ is geheel in lijn met de principes van de KRW. Het is momenteel echter ongebruikelijk om bijvoorbeeld ‘polder-specifieke stoffen te identificeren’, waarbij het nemen van maatregelen</w:t>
      </w:r>
      <w:r>
        <w:t xml:space="preserve"> valt onder de verantwoordelijkheid van de autoriteit waar de polder onder ressorteert (bv. een waterschap)..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465A3" w14:textId="77777777" w:rsidR="0052375D" w:rsidRDefault="00BE1341">
    <w:pPr>
      <w:pStyle w:val="Header"/>
    </w:pPr>
    <w:r>
      <w:rPr>
        <w:noProof/>
        <w:lang w:eastAsia="nl-NL"/>
      </w:rPr>
      <mc:AlternateContent>
        <mc:Choice Requires="wps">
          <w:drawing>
            <wp:anchor distT="0" distB="0" distL="0" distR="0" simplePos="0" relativeHeight="56" behindDoc="1" locked="0" layoutInCell="1" allowOverlap="1" wp14:anchorId="3217BFB1" wp14:editId="5421AB3D">
              <wp:simplePos x="0" y="0"/>
              <wp:positionH relativeFrom="column">
                <wp:posOffset>-422275</wp:posOffset>
              </wp:positionH>
              <wp:positionV relativeFrom="paragraph">
                <wp:posOffset>657860</wp:posOffset>
              </wp:positionV>
              <wp:extent cx="6849110" cy="18415"/>
              <wp:effectExtent l="10795" t="15240" r="10160" b="16510"/>
              <wp:wrapNone/>
              <wp:docPr id="2" name="AutoShape 2"/>
              <wp:cNvGraphicFramePr/>
              <a:graphic xmlns:a="http://schemas.openxmlformats.org/drawingml/2006/main">
                <a:graphicData uri="http://schemas.microsoft.com/office/word/2010/wordprocessingShape">
                  <wps:wsp>
                    <wps:cNvSpPr/>
                    <wps:spPr>
                      <a:xfrm flipV="1">
                        <a:off x="0" y="0"/>
                        <a:ext cx="6848640" cy="17640"/>
                      </a:xfrm>
                      <a:custGeom>
                        <a:avLst/>
                        <a:gdLst/>
                        <a:ahLst/>
                        <a:cxnLst/>
                        <a:rect l="l" t="t" r="r" b="b"/>
                        <a:pathLst>
                          <a:path w="21600" h="21600">
                            <a:moveTo>
                              <a:pt x="0" y="0"/>
                            </a:moveTo>
                            <a:lnTo>
                              <a:pt x="21600" y="21600"/>
                            </a:lnTo>
                          </a:path>
                        </a:pathLst>
                      </a:custGeom>
                      <a:noFill/>
                      <a:ln w="15840">
                        <a:solidFill>
                          <a:srgbClr val="2C2276"/>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noProof/>
        <w:lang w:eastAsia="nl-NL"/>
      </w:rPr>
      <w:drawing>
        <wp:inline distT="0" distB="0" distL="0" distR="0" wp14:anchorId="2AB31702" wp14:editId="33866505">
          <wp:extent cx="2410460" cy="7721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
                  <a:stretch>
                    <a:fillRect/>
                  </a:stretch>
                </pic:blipFill>
                <pic:spPr bwMode="auto">
                  <a:xfrm>
                    <a:off x="0" y="0"/>
                    <a:ext cx="2410460" cy="772160"/>
                  </a:xfrm>
                  <a:prstGeom prst="rect">
                    <a:avLst/>
                  </a:prstGeom>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BAFB1" w14:textId="77777777" w:rsidR="0052375D" w:rsidRDefault="00BE1341">
    <w:pPr>
      <w:pStyle w:val="Header"/>
    </w:pPr>
    <w:r>
      <w:rPr>
        <w:noProof/>
        <w:lang w:eastAsia="nl-NL"/>
      </w:rPr>
      <w:drawing>
        <wp:inline distT="0" distB="0" distL="0" distR="0" wp14:anchorId="7FA50C57" wp14:editId="79D770F8">
          <wp:extent cx="2410460" cy="772160"/>
          <wp:effectExtent l="0" t="0" r="0" b="0"/>
          <wp:docPr id="37"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5"/>
                  <pic:cNvPicPr>
                    <a:picLocks noChangeAspect="1" noChangeArrowheads="1"/>
                  </pic:cNvPicPr>
                </pic:nvPicPr>
                <pic:blipFill>
                  <a:blip r:embed="rId1"/>
                  <a:stretch>
                    <a:fillRect/>
                  </a:stretch>
                </pic:blipFill>
                <pic:spPr bwMode="auto">
                  <a:xfrm>
                    <a:off x="0" y="0"/>
                    <a:ext cx="2410460" cy="77216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1648E7" w14:textId="77777777" w:rsidR="0052375D" w:rsidRDefault="00BE1341">
    <w:pPr>
      <w:pStyle w:val="Header"/>
    </w:pPr>
    <w:r>
      <w:rPr>
        <w:noProof/>
        <w:lang w:eastAsia="nl-NL"/>
      </w:rPr>
      <mc:AlternateContent>
        <mc:Choice Requires="wps">
          <w:drawing>
            <wp:anchor distT="0" distB="0" distL="0" distR="0" simplePos="0" relativeHeight="54" behindDoc="1" locked="0" layoutInCell="1" allowOverlap="1" wp14:anchorId="47839CE3" wp14:editId="1F2686C9">
              <wp:simplePos x="0" y="0"/>
              <wp:positionH relativeFrom="column">
                <wp:posOffset>-422275</wp:posOffset>
              </wp:positionH>
              <wp:positionV relativeFrom="paragraph">
                <wp:posOffset>657860</wp:posOffset>
              </wp:positionV>
              <wp:extent cx="6849110" cy="18415"/>
              <wp:effectExtent l="10795" t="15240" r="10160" b="16510"/>
              <wp:wrapNone/>
              <wp:docPr id="5" name="AutoShape 1"/>
              <wp:cNvGraphicFramePr/>
              <a:graphic xmlns:a="http://schemas.openxmlformats.org/drawingml/2006/main">
                <a:graphicData uri="http://schemas.microsoft.com/office/word/2010/wordprocessingShape">
                  <wps:wsp>
                    <wps:cNvSpPr/>
                    <wps:spPr>
                      <a:xfrm flipV="1">
                        <a:off x="0" y="0"/>
                        <a:ext cx="6848640" cy="17640"/>
                      </a:xfrm>
                      <a:custGeom>
                        <a:avLst/>
                        <a:gdLst/>
                        <a:ahLst/>
                        <a:cxnLst/>
                        <a:rect l="l" t="t" r="r" b="b"/>
                        <a:pathLst>
                          <a:path w="21600" h="21600">
                            <a:moveTo>
                              <a:pt x="0" y="0"/>
                            </a:moveTo>
                            <a:lnTo>
                              <a:pt x="21600" y="21600"/>
                            </a:lnTo>
                          </a:path>
                        </a:pathLst>
                      </a:custGeom>
                      <a:noFill/>
                      <a:ln w="15840">
                        <a:solidFill>
                          <a:srgbClr val="2C2276"/>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noProof/>
        <w:lang w:eastAsia="nl-NL"/>
      </w:rPr>
      <w:drawing>
        <wp:inline distT="0" distB="0" distL="0" distR="0" wp14:anchorId="240D8A17" wp14:editId="36774941">
          <wp:extent cx="2410460" cy="77216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1"/>
                  <a:stretch>
                    <a:fillRect/>
                  </a:stretch>
                </pic:blipFill>
                <pic:spPr bwMode="auto">
                  <a:xfrm>
                    <a:off x="0" y="0"/>
                    <a:ext cx="2410460" cy="77216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E6527" w14:textId="77777777" w:rsidR="0052375D" w:rsidRDefault="00BE1341">
    <w:pPr>
      <w:pStyle w:val="Header"/>
    </w:pPr>
    <w:r>
      <w:rPr>
        <w:noProof/>
        <w:lang w:eastAsia="nl-NL"/>
      </w:rPr>
      <mc:AlternateContent>
        <mc:Choice Requires="wps">
          <w:drawing>
            <wp:anchor distT="0" distB="0" distL="0" distR="0" simplePos="0" relativeHeight="65" behindDoc="1" locked="0" layoutInCell="1" allowOverlap="1" wp14:anchorId="05D8FE9E" wp14:editId="70ACA29A">
              <wp:simplePos x="0" y="0"/>
              <wp:positionH relativeFrom="column">
                <wp:posOffset>-422275</wp:posOffset>
              </wp:positionH>
              <wp:positionV relativeFrom="paragraph">
                <wp:posOffset>657860</wp:posOffset>
              </wp:positionV>
              <wp:extent cx="6849110" cy="18415"/>
              <wp:effectExtent l="10795" t="15240" r="10160" b="16510"/>
              <wp:wrapNone/>
              <wp:docPr id="9" name="AutoShape 1_0"/>
              <wp:cNvGraphicFramePr/>
              <a:graphic xmlns:a="http://schemas.openxmlformats.org/drawingml/2006/main">
                <a:graphicData uri="http://schemas.microsoft.com/office/word/2010/wordprocessingShape">
                  <wps:wsp>
                    <wps:cNvSpPr/>
                    <wps:spPr>
                      <a:xfrm flipV="1">
                        <a:off x="0" y="0"/>
                        <a:ext cx="6848640" cy="17640"/>
                      </a:xfrm>
                      <a:custGeom>
                        <a:avLst/>
                        <a:gdLst/>
                        <a:ahLst/>
                        <a:cxnLst/>
                        <a:rect l="l" t="t" r="r" b="b"/>
                        <a:pathLst>
                          <a:path w="21600" h="21600">
                            <a:moveTo>
                              <a:pt x="0" y="0"/>
                            </a:moveTo>
                            <a:lnTo>
                              <a:pt x="21600" y="21600"/>
                            </a:lnTo>
                          </a:path>
                        </a:pathLst>
                      </a:custGeom>
                      <a:noFill/>
                      <a:ln w="15840">
                        <a:solidFill>
                          <a:srgbClr val="2C2276"/>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noProof/>
        <w:lang w:eastAsia="nl-NL"/>
      </w:rPr>
      <w:drawing>
        <wp:inline distT="0" distB="0" distL="0" distR="0" wp14:anchorId="29E6D86C" wp14:editId="18095F0F">
          <wp:extent cx="2410460" cy="772160"/>
          <wp:effectExtent l="0" t="0" r="0" b="0"/>
          <wp:docPr id="1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
                  <pic:cNvPicPr>
                    <a:picLocks noChangeAspect="1" noChangeArrowheads="1"/>
                  </pic:cNvPicPr>
                </pic:nvPicPr>
                <pic:blipFill>
                  <a:blip r:embed="rId1"/>
                  <a:stretch>
                    <a:fillRect/>
                  </a:stretch>
                </pic:blipFill>
                <pic:spPr bwMode="auto">
                  <a:xfrm>
                    <a:off x="0" y="0"/>
                    <a:ext cx="2410460" cy="77216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E1573" w14:textId="77777777" w:rsidR="0052375D" w:rsidRDefault="00BE1341">
    <w:pPr>
      <w:pStyle w:val="Header"/>
    </w:pPr>
    <w:r>
      <w:rPr>
        <w:noProof/>
        <w:lang w:eastAsia="nl-NL"/>
      </w:rPr>
      <mc:AlternateContent>
        <mc:Choice Requires="wps">
          <w:drawing>
            <wp:anchor distT="0" distB="0" distL="0" distR="0" simplePos="0" relativeHeight="66" behindDoc="1" locked="0" layoutInCell="1" allowOverlap="1" wp14:anchorId="28865CEB" wp14:editId="45A762AF">
              <wp:simplePos x="0" y="0"/>
              <wp:positionH relativeFrom="column">
                <wp:posOffset>-422275</wp:posOffset>
              </wp:positionH>
              <wp:positionV relativeFrom="paragraph">
                <wp:posOffset>657860</wp:posOffset>
              </wp:positionV>
              <wp:extent cx="6849110" cy="18415"/>
              <wp:effectExtent l="10795" t="15240" r="10160" b="16510"/>
              <wp:wrapNone/>
              <wp:docPr id="12" name="AutoShape 1_1"/>
              <wp:cNvGraphicFramePr/>
              <a:graphic xmlns:a="http://schemas.openxmlformats.org/drawingml/2006/main">
                <a:graphicData uri="http://schemas.microsoft.com/office/word/2010/wordprocessingShape">
                  <wps:wsp>
                    <wps:cNvSpPr/>
                    <wps:spPr>
                      <a:xfrm flipV="1">
                        <a:off x="0" y="0"/>
                        <a:ext cx="6848640" cy="17640"/>
                      </a:xfrm>
                      <a:custGeom>
                        <a:avLst/>
                        <a:gdLst/>
                        <a:ahLst/>
                        <a:cxnLst/>
                        <a:rect l="l" t="t" r="r" b="b"/>
                        <a:pathLst>
                          <a:path w="21600" h="21600">
                            <a:moveTo>
                              <a:pt x="0" y="0"/>
                            </a:moveTo>
                            <a:lnTo>
                              <a:pt x="21600" y="21600"/>
                            </a:lnTo>
                          </a:path>
                        </a:pathLst>
                      </a:custGeom>
                      <a:noFill/>
                      <a:ln w="15840">
                        <a:solidFill>
                          <a:srgbClr val="2C2276"/>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noProof/>
        <w:lang w:eastAsia="nl-NL"/>
      </w:rPr>
      <w:drawing>
        <wp:inline distT="0" distB="0" distL="0" distR="0" wp14:anchorId="4181C012" wp14:editId="29B24CFB">
          <wp:extent cx="2410460" cy="772160"/>
          <wp:effectExtent l="0" t="0" r="0" b="0"/>
          <wp:docPr id="1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
                  <pic:cNvPicPr>
                    <a:picLocks noChangeAspect="1" noChangeArrowheads="1"/>
                  </pic:cNvPicPr>
                </pic:nvPicPr>
                <pic:blipFill>
                  <a:blip r:embed="rId1"/>
                  <a:stretch>
                    <a:fillRect/>
                  </a:stretch>
                </pic:blipFill>
                <pic:spPr bwMode="auto">
                  <a:xfrm>
                    <a:off x="0" y="0"/>
                    <a:ext cx="2410460" cy="772160"/>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06178" w14:textId="77777777" w:rsidR="0052375D" w:rsidRDefault="00BE1341">
    <w:pPr>
      <w:pStyle w:val="Header"/>
    </w:pPr>
    <w:r>
      <w:rPr>
        <w:noProof/>
        <w:lang w:eastAsia="nl-NL"/>
      </w:rPr>
      <mc:AlternateContent>
        <mc:Choice Requires="wps">
          <w:drawing>
            <wp:anchor distT="0" distB="0" distL="0" distR="0" simplePos="0" relativeHeight="67" behindDoc="1" locked="0" layoutInCell="1" allowOverlap="1" wp14:anchorId="0CAA031F" wp14:editId="71466BD7">
              <wp:simplePos x="0" y="0"/>
              <wp:positionH relativeFrom="column">
                <wp:posOffset>-422275</wp:posOffset>
              </wp:positionH>
              <wp:positionV relativeFrom="paragraph">
                <wp:posOffset>657860</wp:posOffset>
              </wp:positionV>
              <wp:extent cx="6849110" cy="18415"/>
              <wp:effectExtent l="10795" t="15240" r="10160" b="16510"/>
              <wp:wrapNone/>
              <wp:docPr id="16" name="AutoShape 1_4"/>
              <wp:cNvGraphicFramePr/>
              <a:graphic xmlns:a="http://schemas.openxmlformats.org/drawingml/2006/main">
                <a:graphicData uri="http://schemas.microsoft.com/office/word/2010/wordprocessingShape">
                  <wps:wsp>
                    <wps:cNvSpPr/>
                    <wps:spPr>
                      <a:xfrm flipV="1">
                        <a:off x="0" y="0"/>
                        <a:ext cx="6848640" cy="17640"/>
                      </a:xfrm>
                      <a:custGeom>
                        <a:avLst/>
                        <a:gdLst/>
                        <a:ahLst/>
                        <a:cxnLst/>
                        <a:rect l="l" t="t" r="r" b="b"/>
                        <a:pathLst>
                          <a:path w="21600" h="21600">
                            <a:moveTo>
                              <a:pt x="0" y="0"/>
                            </a:moveTo>
                            <a:lnTo>
                              <a:pt x="21600" y="21600"/>
                            </a:lnTo>
                          </a:path>
                        </a:pathLst>
                      </a:custGeom>
                      <a:noFill/>
                      <a:ln w="15840">
                        <a:solidFill>
                          <a:srgbClr val="2C2276"/>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noProof/>
        <w:lang w:eastAsia="nl-NL"/>
      </w:rPr>
      <w:drawing>
        <wp:inline distT="0" distB="0" distL="0" distR="0" wp14:anchorId="35A3FE0F" wp14:editId="6F564F1A">
          <wp:extent cx="2410460" cy="772160"/>
          <wp:effectExtent l="0" t="0" r="0" b="0"/>
          <wp:docPr id="17"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5"/>
                  <pic:cNvPicPr>
                    <a:picLocks noChangeAspect="1" noChangeArrowheads="1"/>
                  </pic:cNvPicPr>
                </pic:nvPicPr>
                <pic:blipFill>
                  <a:blip r:embed="rId1"/>
                  <a:stretch>
                    <a:fillRect/>
                  </a:stretch>
                </pic:blipFill>
                <pic:spPr bwMode="auto">
                  <a:xfrm>
                    <a:off x="0" y="0"/>
                    <a:ext cx="2410460" cy="772160"/>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74D49A" w14:textId="77777777" w:rsidR="0052375D" w:rsidRDefault="00BE1341">
    <w:pPr>
      <w:pStyle w:val="Header"/>
    </w:pPr>
    <w:r>
      <w:rPr>
        <w:noProof/>
        <w:lang w:eastAsia="nl-NL"/>
      </w:rPr>
      <mc:AlternateContent>
        <mc:Choice Requires="wps">
          <w:drawing>
            <wp:anchor distT="0" distB="0" distL="0" distR="0" simplePos="0" relativeHeight="68" behindDoc="1" locked="0" layoutInCell="1" allowOverlap="1" wp14:anchorId="36EEFBFD" wp14:editId="0945FC32">
              <wp:simplePos x="0" y="0"/>
              <wp:positionH relativeFrom="column">
                <wp:posOffset>-422275</wp:posOffset>
              </wp:positionH>
              <wp:positionV relativeFrom="paragraph">
                <wp:posOffset>657860</wp:posOffset>
              </wp:positionV>
              <wp:extent cx="6849110" cy="18415"/>
              <wp:effectExtent l="10795" t="15240" r="10160" b="16510"/>
              <wp:wrapNone/>
              <wp:docPr id="19" name="AutoShape 1_5"/>
              <wp:cNvGraphicFramePr/>
              <a:graphic xmlns:a="http://schemas.openxmlformats.org/drawingml/2006/main">
                <a:graphicData uri="http://schemas.microsoft.com/office/word/2010/wordprocessingShape">
                  <wps:wsp>
                    <wps:cNvSpPr/>
                    <wps:spPr>
                      <a:xfrm flipV="1">
                        <a:off x="0" y="0"/>
                        <a:ext cx="6848640" cy="17640"/>
                      </a:xfrm>
                      <a:custGeom>
                        <a:avLst/>
                        <a:gdLst/>
                        <a:ahLst/>
                        <a:cxnLst/>
                        <a:rect l="l" t="t" r="r" b="b"/>
                        <a:pathLst>
                          <a:path w="21600" h="21600">
                            <a:moveTo>
                              <a:pt x="0" y="0"/>
                            </a:moveTo>
                            <a:lnTo>
                              <a:pt x="21600" y="21600"/>
                            </a:lnTo>
                          </a:path>
                        </a:pathLst>
                      </a:custGeom>
                      <a:noFill/>
                      <a:ln w="15840">
                        <a:solidFill>
                          <a:srgbClr val="2C2276"/>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noProof/>
        <w:lang w:eastAsia="nl-NL"/>
      </w:rPr>
      <w:drawing>
        <wp:inline distT="0" distB="0" distL="0" distR="0" wp14:anchorId="5CE8B120" wp14:editId="65E003D8">
          <wp:extent cx="2410460" cy="772160"/>
          <wp:effectExtent l="0" t="0" r="0" b="0"/>
          <wp:docPr id="20"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
                  <pic:cNvPicPr>
                    <a:picLocks noChangeAspect="1" noChangeArrowheads="1"/>
                  </pic:cNvPicPr>
                </pic:nvPicPr>
                <pic:blipFill>
                  <a:blip r:embed="rId1"/>
                  <a:stretch>
                    <a:fillRect/>
                  </a:stretch>
                </pic:blipFill>
                <pic:spPr bwMode="auto">
                  <a:xfrm>
                    <a:off x="0" y="0"/>
                    <a:ext cx="2410460" cy="772160"/>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1E439" w14:textId="77777777" w:rsidR="0052375D" w:rsidRDefault="00BE1341">
    <w:pPr>
      <w:pStyle w:val="Header"/>
    </w:pPr>
    <w:r>
      <w:rPr>
        <w:noProof/>
        <w:lang w:eastAsia="nl-NL"/>
      </w:rPr>
      <w:drawing>
        <wp:inline distT="0" distB="0" distL="0" distR="0" wp14:anchorId="32379EF8" wp14:editId="1ADA5076">
          <wp:extent cx="2410460" cy="772160"/>
          <wp:effectExtent l="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pic:cNvPicPr>
                    <a:picLocks noChangeAspect="1" noChangeArrowheads="1"/>
                  </pic:cNvPicPr>
                </pic:nvPicPr>
                <pic:blipFill>
                  <a:blip r:embed="rId1"/>
                  <a:stretch>
                    <a:fillRect/>
                  </a:stretch>
                </pic:blipFill>
                <pic:spPr bwMode="auto">
                  <a:xfrm>
                    <a:off x="0" y="0"/>
                    <a:ext cx="2410460" cy="772160"/>
                  </a:xfrm>
                  <a:prstGeom prst="rect">
                    <a:avLst/>
                  </a:prstGeom>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2D753" w14:textId="77777777" w:rsidR="0052375D" w:rsidRDefault="00BE1341">
    <w:pPr>
      <w:pStyle w:val="Header"/>
    </w:pPr>
    <w:r>
      <w:rPr>
        <w:noProof/>
        <w:lang w:eastAsia="nl-NL"/>
      </w:rPr>
      <w:drawing>
        <wp:inline distT="0" distB="0" distL="0" distR="0" wp14:anchorId="21D68054" wp14:editId="3D05EA5C">
          <wp:extent cx="2410460" cy="772160"/>
          <wp:effectExtent l="0" t="0" r="0" b="0"/>
          <wp:docPr id="24"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
                  <pic:cNvPicPr>
                    <a:picLocks noChangeAspect="1" noChangeArrowheads="1"/>
                  </pic:cNvPicPr>
                </pic:nvPicPr>
                <pic:blipFill>
                  <a:blip r:embed="rId1"/>
                  <a:stretch>
                    <a:fillRect/>
                  </a:stretch>
                </pic:blipFill>
                <pic:spPr bwMode="auto">
                  <a:xfrm>
                    <a:off x="0" y="0"/>
                    <a:ext cx="2410460" cy="772160"/>
                  </a:xfrm>
                  <a:prstGeom prst="rect">
                    <a:avLst/>
                  </a:prstGeom>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E5874" w14:textId="77777777" w:rsidR="0052375D" w:rsidRDefault="00BE1341">
    <w:pPr>
      <w:pStyle w:val="Header"/>
    </w:pPr>
    <w:r>
      <w:rPr>
        <w:noProof/>
        <w:lang w:eastAsia="nl-NL"/>
      </w:rPr>
      <w:drawing>
        <wp:inline distT="0" distB="0" distL="0" distR="0" wp14:anchorId="0239F529" wp14:editId="047ED87A">
          <wp:extent cx="2410460" cy="772160"/>
          <wp:effectExtent l="0" t="0" r="0" b="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9"/>
                  <pic:cNvPicPr>
                    <a:picLocks noChangeAspect="1" noChangeArrowheads="1"/>
                  </pic:cNvPicPr>
                </pic:nvPicPr>
                <pic:blipFill>
                  <a:blip r:embed="rId1"/>
                  <a:stretch>
                    <a:fillRect/>
                  </a:stretch>
                </pic:blipFill>
                <pic:spPr bwMode="auto">
                  <a:xfrm>
                    <a:off x="0" y="0"/>
                    <a:ext cx="2410460" cy="7721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074831"/>
    <w:multiLevelType w:val="multilevel"/>
    <w:tmpl w:val="6F0A2E90"/>
    <w:lvl w:ilvl="0">
      <w:start w:val="2"/>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51032F35"/>
    <w:multiLevelType w:val="multilevel"/>
    <w:tmpl w:val="92B810A4"/>
    <w:lvl w:ilvl="0">
      <w:start w:val="1"/>
      <w:numFmt w:val="decimal"/>
      <w:pStyle w:val="Heading1"/>
      <w:lvlText w:val="%1"/>
      <w:lvlJc w:val="left"/>
      <w:pPr>
        <w:tabs>
          <w:tab w:val="num" w:pos="0"/>
        </w:tabs>
        <w:ind w:left="432" w:hanging="432"/>
      </w:p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2" w15:restartNumberingAfterBreak="0">
    <w:nsid w:val="52F41386"/>
    <w:multiLevelType w:val="multilevel"/>
    <w:tmpl w:val="6DBE9DB4"/>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3" w15:restartNumberingAfterBreak="0">
    <w:nsid w:val="5A604E45"/>
    <w:multiLevelType w:val="multilevel"/>
    <w:tmpl w:val="078611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79CF5F13"/>
    <w:multiLevelType w:val="multilevel"/>
    <w:tmpl w:val="4DE0F982"/>
    <w:lvl w:ilvl="0">
      <w:start w:val="2"/>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75D"/>
    <w:rsid w:val="0052375D"/>
    <w:rsid w:val="00BE1341"/>
    <w:rsid w:val="00DF6166"/>
  </w:rsids>
  <m:mathPr>
    <m:mathFont m:val="Cambria Math"/>
    <m:brkBin m:val="before"/>
    <m:brkBinSub m:val="--"/>
    <m:smallFrac m:val="0"/>
    <m:dispDef/>
    <m:lMargin m:val="0"/>
    <m:rMargin m:val="0"/>
    <m:defJc m:val="centerGroup"/>
    <m:wrapIndent m:val="1440"/>
    <m:intLim m:val="subSup"/>
    <m:naryLim m:val="undOvr"/>
  </m:mathPr>
  <w:themeFontLang w:val="nl-N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6AE2E"/>
  <w15:docId w15:val="{5DEFD3DC-B83D-4F4B-999A-DC958EA14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32B"/>
    <w:pPr>
      <w:jc w:val="both"/>
    </w:pPr>
    <w:rPr>
      <w:sz w:val="22"/>
      <w:szCs w:val="22"/>
      <w:lang w:eastAsia="en-US"/>
    </w:rPr>
  </w:style>
  <w:style w:type="paragraph" w:styleId="Heading1">
    <w:name w:val="heading 1"/>
    <w:basedOn w:val="Normal"/>
    <w:next w:val="Normal"/>
    <w:link w:val="Heading1Char"/>
    <w:uiPriority w:val="9"/>
    <w:qFormat/>
    <w:rsid w:val="00A321EE"/>
    <w:pPr>
      <w:keepNext/>
      <w:pageBreakBefore/>
      <w:numPr>
        <w:numId w:val="1"/>
      </w:numPr>
      <w:spacing w:before="240" w:after="60"/>
      <w:outlineLvl w:val="0"/>
    </w:pPr>
    <w:rPr>
      <w:rFonts w:cs="Arial"/>
      <w:b/>
      <w:bCs/>
      <w:color w:val="2C2276"/>
      <w:kern w:val="2"/>
      <w:sz w:val="32"/>
      <w:szCs w:val="32"/>
    </w:rPr>
  </w:style>
  <w:style w:type="paragraph" w:styleId="Heading2">
    <w:name w:val="heading 2"/>
    <w:basedOn w:val="Normal"/>
    <w:next w:val="Normal"/>
    <w:qFormat/>
    <w:rsid w:val="00A321EE"/>
    <w:pPr>
      <w:keepNext/>
      <w:numPr>
        <w:ilvl w:val="1"/>
        <w:numId w:val="1"/>
      </w:numPr>
      <w:spacing w:before="240" w:after="60"/>
      <w:outlineLvl w:val="1"/>
    </w:pPr>
    <w:rPr>
      <w:rFonts w:cs="Arial"/>
      <w:b/>
      <w:bCs/>
      <w:i/>
      <w:iCs/>
      <w:color w:val="009FE3"/>
      <w:sz w:val="28"/>
      <w:szCs w:val="28"/>
    </w:rPr>
  </w:style>
  <w:style w:type="paragraph" w:styleId="Heading3">
    <w:name w:val="heading 3"/>
    <w:basedOn w:val="Normal"/>
    <w:next w:val="Normal"/>
    <w:qFormat/>
    <w:rsid w:val="0042419A"/>
    <w:pPr>
      <w:keepNext/>
      <w:numPr>
        <w:ilvl w:val="2"/>
        <w:numId w:val="1"/>
      </w:numPr>
      <w:spacing w:before="240" w:after="60"/>
      <w:outlineLvl w:val="2"/>
    </w:pPr>
    <w:rPr>
      <w:rFonts w:cs="Arial"/>
      <w:bCs/>
      <w:i/>
      <w:color w:val="009FE3"/>
      <w:sz w:val="26"/>
      <w:szCs w:val="26"/>
    </w:rPr>
  </w:style>
  <w:style w:type="paragraph" w:styleId="Heading4">
    <w:name w:val="heading 4"/>
    <w:basedOn w:val="Normal"/>
    <w:next w:val="Normal"/>
    <w:qFormat/>
    <w:rsid w:val="00005B94"/>
    <w:pPr>
      <w:keepNext/>
      <w:numPr>
        <w:ilvl w:val="3"/>
        <w:numId w:val="1"/>
      </w:numPr>
      <w:spacing w:before="240" w:after="60"/>
      <w:outlineLvl w:val="3"/>
    </w:pPr>
    <w:rPr>
      <w:b/>
      <w:bCs/>
      <w:sz w:val="28"/>
      <w:szCs w:val="28"/>
    </w:rPr>
  </w:style>
  <w:style w:type="paragraph" w:styleId="Heading5">
    <w:name w:val="heading 5"/>
    <w:basedOn w:val="Normal"/>
    <w:next w:val="Normal"/>
    <w:qFormat/>
    <w:rsid w:val="00005B94"/>
    <w:pPr>
      <w:numPr>
        <w:ilvl w:val="4"/>
        <w:numId w:val="1"/>
      </w:numPr>
      <w:spacing w:before="240" w:after="60"/>
      <w:outlineLvl w:val="4"/>
    </w:pPr>
    <w:rPr>
      <w:b/>
      <w:bCs/>
      <w:i/>
      <w:iCs/>
      <w:sz w:val="26"/>
      <w:szCs w:val="26"/>
    </w:rPr>
  </w:style>
  <w:style w:type="paragraph" w:styleId="Heading6">
    <w:name w:val="heading 6"/>
    <w:basedOn w:val="Normal"/>
    <w:next w:val="Normal"/>
    <w:qFormat/>
    <w:rsid w:val="00005B94"/>
    <w:pPr>
      <w:numPr>
        <w:ilvl w:val="5"/>
        <w:numId w:val="1"/>
      </w:numPr>
      <w:spacing w:before="240" w:after="60"/>
      <w:outlineLvl w:val="5"/>
    </w:pPr>
    <w:rPr>
      <w:b/>
      <w:bCs/>
    </w:rPr>
  </w:style>
  <w:style w:type="paragraph" w:styleId="Heading7">
    <w:name w:val="heading 7"/>
    <w:basedOn w:val="Normal"/>
    <w:next w:val="Normal"/>
    <w:qFormat/>
    <w:rsid w:val="00005B94"/>
    <w:pPr>
      <w:numPr>
        <w:ilvl w:val="6"/>
        <w:numId w:val="1"/>
      </w:numPr>
      <w:spacing w:before="240" w:after="60"/>
      <w:outlineLvl w:val="6"/>
    </w:pPr>
    <w:rPr>
      <w:sz w:val="24"/>
      <w:szCs w:val="24"/>
    </w:rPr>
  </w:style>
  <w:style w:type="paragraph" w:styleId="Heading8">
    <w:name w:val="heading 8"/>
    <w:basedOn w:val="Normal"/>
    <w:next w:val="Normal"/>
    <w:qFormat/>
    <w:rsid w:val="00005B94"/>
    <w:pPr>
      <w:numPr>
        <w:ilvl w:val="7"/>
        <w:numId w:val="1"/>
      </w:numPr>
      <w:spacing w:before="240" w:after="60"/>
      <w:outlineLvl w:val="7"/>
    </w:pPr>
    <w:rPr>
      <w:i/>
      <w:iCs/>
      <w:sz w:val="24"/>
      <w:szCs w:val="24"/>
    </w:rPr>
  </w:style>
  <w:style w:type="paragraph" w:styleId="Heading9">
    <w:name w:val="heading 9"/>
    <w:basedOn w:val="Normal"/>
    <w:next w:val="Normal"/>
    <w:qFormat/>
    <w:rsid w:val="00005B9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qFormat/>
    <w:rsid w:val="00A321EE"/>
    <w:rPr>
      <w:rFonts w:cs="Arial"/>
      <w:b/>
      <w:bCs/>
      <w:color w:val="2C2276"/>
      <w:kern w:val="2"/>
      <w:sz w:val="32"/>
      <w:szCs w:val="32"/>
      <w:lang w:eastAsia="en-US"/>
    </w:rPr>
  </w:style>
  <w:style w:type="character" w:customStyle="1" w:styleId="Internetkoppeling">
    <w:name w:val="Internetkoppeling"/>
    <w:uiPriority w:val="99"/>
    <w:unhideWhenUsed/>
    <w:rsid w:val="004E285F"/>
    <w:rPr>
      <w:color w:val="0563C1"/>
      <w:u w:val="single"/>
    </w:rPr>
  </w:style>
  <w:style w:type="character" w:styleId="CommentReference">
    <w:name w:val="annotation reference"/>
    <w:uiPriority w:val="99"/>
    <w:semiHidden/>
    <w:unhideWhenUsed/>
    <w:qFormat/>
    <w:rsid w:val="000B5DD0"/>
    <w:rPr>
      <w:sz w:val="16"/>
      <w:szCs w:val="16"/>
    </w:rPr>
  </w:style>
  <w:style w:type="character" w:customStyle="1" w:styleId="CommentTextChar">
    <w:name w:val="Comment Text Char"/>
    <w:basedOn w:val="DefaultParagraphFont"/>
    <w:link w:val="CommentText"/>
    <w:uiPriority w:val="99"/>
    <w:qFormat/>
    <w:rsid w:val="000B5DD0"/>
  </w:style>
  <w:style w:type="character" w:customStyle="1" w:styleId="CommentSubjectChar">
    <w:name w:val="Comment Subject Char"/>
    <w:link w:val="CommentSubject"/>
    <w:uiPriority w:val="99"/>
    <w:semiHidden/>
    <w:qFormat/>
    <w:rsid w:val="000B5DD0"/>
    <w:rPr>
      <w:b/>
      <w:bCs/>
    </w:rPr>
  </w:style>
  <w:style w:type="character" w:customStyle="1" w:styleId="BalloonTextChar">
    <w:name w:val="Balloon Text Char"/>
    <w:link w:val="BalloonText"/>
    <w:uiPriority w:val="99"/>
    <w:semiHidden/>
    <w:qFormat/>
    <w:rsid w:val="000B5DD0"/>
    <w:rPr>
      <w:rFonts w:ascii="Tahoma" w:hAnsi="Tahoma" w:cs="Tahoma"/>
      <w:sz w:val="16"/>
      <w:szCs w:val="16"/>
    </w:rPr>
  </w:style>
  <w:style w:type="character" w:customStyle="1" w:styleId="EndNoteBibliographyTitleChar">
    <w:name w:val="EndNote Bibliography Title Char"/>
    <w:link w:val="EndNoteBibliographyTitle"/>
    <w:qFormat/>
    <w:rsid w:val="008A23D2"/>
    <w:rPr>
      <w:szCs w:val="22"/>
      <w:lang w:eastAsia="en-US"/>
    </w:rPr>
  </w:style>
  <w:style w:type="character" w:customStyle="1" w:styleId="EndNoteBibliographyChar">
    <w:name w:val="EndNote Bibliography Char"/>
    <w:link w:val="EndNoteBibliography"/>
    <w:qFormat/>
    <w:rsid w:val="001E3A54"/>
    <w:rPr>
      <w:szCs w:val="22"/>
      <w:lang w:val="en-US" w:eastAsia="en-US"/>
    </w:rPr>
  </w:style>
  <w:style w:type="character" w:customStyle="1" w:styleId="TitleChar">
    <w:name w:val="Title Char"/>
    <w:link w:val="Title"/>
    <w:uiPriority w:val="10"/>
    <w:qFormat/>
    <w:rsid w:val="00CC659A"/>
    <w:rPr>
      <w:rFonts w:ascii="Cambria" w:hAnsi="Cambria"/>
      <w:b/>
      <w:bCs/>
      <w:color w:val="2C2276"/>
      <w:kern w:val="2"/>
      <w:sz w:val="28"/>
      <w:szCs w:val="28"/>
      <w:lang w:eastAsia="en-US"/>
    </w:rPr>
  </w:style>
  <w:style w:type="character" w:customStyle="1" w:styleId="HeaderChar">
    <w:name w:val="Header Char"/>
    <w:link w:val="Header"/>
    <w:uiPriority w:val="99"/>
    <w:qFormat/>
    <w:rsid w:val="003C6B21"/>
    <w:rPr>
      <w:sz w:val="22"/>
      <w:szCs w:val="22"/>
      <w:lang w:val="en-US" w:eastAsia="en-US"/>
    </w:rPr>
  </w:style>
  <w:style w:type="character" w:customStyle="1" w:styleId="FooterChar">
    <w:name w:val="Footer Char"/>
    <w:link w:val="Footer"/>
    <w:uiPriority w:val="99"/>
    <w:qFormat/>
    <w:rsid w:val="003C6B21"/>
    <w:rPr>
      <w:sz w:val="22"/>
      <w:szCs w:val="22"/>
      <w:lang w:val="en-US" w:eastAsia="en-US"/>
    </w:rPr>
  </w:style>
  <w:style w:type="character" w:customStyle="1" w:styleId="UnresolvedMention">
    <w:name w:val="Unresolved Mention"/>
    <w:uiPriority w:val="99"/>
    <w:semiHidden/>
    <w:unhideWhenUsed/>
    <w:qFormat/>
    <w:rsid w:val="004A609F"/>
    <w:rPr>
      <w:color w:val="605E5C"/>
      <w:shd w:val="clear" w:color="auto" w:fill="E1DFDD"/>
    </w:rPr>
  </w:style>
  <w:style w:type="character" w:customStyle="1" w:styleId="UnresolvedMention1">
    <w:name w:val="Unresolved Mention1"/>
    <w:uiPriority w:val="99"/>
    <w:qFormat/>
    <w:rsid w:val="004E285F"/>
    <w:rPr>
      <w:color w:val="605E5C"/>
      <w:shd w:val="clear" w:color="auto" w:fill="E1DFDD"/>
    </w:rPr>
  </w:style>
  <w:style w:type="character" w:customStyle="1" w:styleId="FootnoteTextChar">
    <w:name w:val="Footnote Text Char"/>
    <w:link w:val="FootnoteText"/>
    <w:uiPriority w:val="99"/>
    <w:qFormat/>
    <w:rsid w:val="004E285F"/>
    <w:rPr>
      <w:rFonts w:ascii="Calibri" w:eastAsia="Calibri" w:hAnsi="Calibri" w:cs="Calibri"/>
    </w:rPr>
  </w:style>
  <w:style w:type="character" w:customStyle="1" w:styleId="FootnoteCharacters">
    <w:name w:val="Footnote Characters"/>
    <w:uiPriority w:val="99"/>
    <w:semiHidden/>
    <w:unhideWhenUsed/>
    <w:qFormat/>
    <w:rsid w:val="00FF3715"/>
    <w:rPr>
      <w:vertAlign w:val="superscript"/>
    </w:rPr>
  </w:style>
  <w:style w:type="character" w:customStyle="1" w:styleId="FootnoteAnchor">
    <w:name w:val="Footnote Anchor"/>
    <w:qFormat/>
    <w:rsid w:val="004E285F"/>
    <w:rPr>
      <w:vertAlign w:val="superscript"/>
    </w:rPr>
  </w:style>
  <w:style w:type="character" w:customStyle="1" w:styleId="EndnoteAnchor">
    <w:name w:val="Endnote Anchor"/>
    <w:qFormat/>
    <w:rsid w:val="004E285F"/>
    <w:rPr>
      <w:vertAlign w:val="superscript"/>
    </w:rPr>
  </w:style>
  <w:style w:type="character" w:customStyle="1" w:styleId="EndnoteCharacters">
    <w:name w:val="Endnote Characters"/>
    <w:uiPriority w:val="99"/>
    <w:semiHidden/>
    <w:unhideWhenUsed/>
    <w:qFormat/>
    <w:rsid w:val="000B4109"/>
    <w:rPr>
      <w:vertAlign w:val="superscript"/>
    </w:rPr>
  </w:style>
  <w:style w:type="character" w:customStyle="1" w:styleId="BodyTextChar">
    <w:name w:val="Body Text Char"/>
    <w:link w:val="BodyText"/>
    <w:qFormat/>
    <w:rsid w:val="004E285F"/>
    <w:rPr>
      <w:rFonts w:ascii="Calibri" w:eastAsia="Calibri" w:hAnsi="Calibri" w:cs="Calibri"/>
      <w:sz w:val="24"/>
      <w:szCs w:val="24"/>
      <w:lang w:eastAsia="en-US"/>
    </w:rPr>
  </w:style>
  <w:style w:type="character" w:customStyle="1" w:styleId="FootnoteTextChar1">
    <w:name w:val="Footnote Text Char1"/>
    <w:uiPriority w:val="99"/>
    <w:semiHidden/>
    <w:qFormat/>
    <w:rsid w:val="004E285F"/>
    <w:rPr>
      <w:lang w:val="en-US" w:eastAsia="en-US"/>
    </w:rPr>
  </w:style>
  <w:style w:type="character" w:customStyle="1" w:styleId="EndnoteTextChar">
    <w:name w:val="Endnote Text Char"/>
    <w:link w:val="EndnoteText"/>
    <w:uiPriority w:val="99"/>
    <w:semiHidden/>
    <w:qFormat/>
    <w:rsid w:val="000B4109"/>
    <w:rPr>
      <w:lang w:eastAsia="en-US"/>
    </w:rPr>
  </w:style>
  <w:style w:type="character" w:customStyle="1" w:styleId="Bezochteinternetkoppeling">
    <w:name w:val="Bezochte internetkoppeling"/>
    <w:uiPriority w:val="99"/>
    <w:semiHidden/>
    <w:unhideWhenUsed/>
    <w:rsid w:val="007F5D07"/>
    <w:rPr>
      <w:color w:val="954F72"/>
      <w:u w:val="single"/>
    </w:rPr>
  </w:style>
  <w:style w:type="character" w:customStyle="1" w:styleId="Indexkoppeling">
    <w:name w:val="Indexkoppeling"/>
    <w:qFormat/>
  </w:style>
  <w:style w:type="character" w:customStyle="1" w:styleId="Voetnoottekens">
    <w:name w:val="Voetnoottekens"/>
    <w:qFormat/>
  </w:style>
  <w:style w:type="character" w:customStyle="1" w:styleId="Voetnootanker">
    <w:name w:val="Voetnootanker"/>
    <w:rPr>
      <w:vertAlign w:val="superscript"/>
    </w:rPr>
  </w:style>
  <w:style w:type="character" w:customStyle="1" w:styleId="Eindnootanker">
    <w:name w:val="Eindnootanker"/>
    <w:rPr>
      <w:vertAlign w:val="superscript"/>
    </w:rPr>
  </w:style>
  <w:style w:type="character" w:customStyle="1" w:styleId="Eindnoottekens">
    <w:name w:val="Eindnoottekens"/>
    <w:qFormat/>
  </w:style>
  <w:style w:type="paragraph" w:customStyle="1" w:styleId="Kop">
    <w:name w:val="Kop"/>
    <w:basedOn w:val="Normal"/>
    <w:next w:val="BodyText"/>
    <w:qFormat/>
    <w:rsid w:val="004E285F"/>
    <w:pPr>
      <w:keepNext/>
      <w:spacing w:before="240" w:after="120"/>
    </w:pPr>
    <w:rPr>
      <w:rFonts w:ascii="Carlito" w:eastAsia="Noto Sans SC Regular" w:hAnsi="Carlito" w:cs="Noto Sans Devanagari"/>
      <w:sz w:val="28"/>
      <w:szCs w:val="28"/>
    </w:rPr>
  </w:style>
  <w:style w:type="paragraph" w:styleId="BodyText">
    <w:name w:val="Body Text"/>
    <w:basedOn w:val="Normal"/>
    <w:link w:val="BodyTextChar"/>
    <w:rsid w:val="004E285F"/>
    <w:pPr>
      <w:spacing w:after="140" w:line="276" w:lineRule="auto"/>
    </w:pPr>
    <w:rPr>
      <w:rFonts w:ascii="Calibri" w:eastAsia="Calibri" w:hAnsi="Calibri" w:cs="Calibri"/>
      <w:sz w:val="24"/>
      <w:szCs w:val="24"/>
    </w:rPr>
  </w:style>
  <w:style w:type="paragraph" w:styleId="List">
    <w:name w:val="List"/>
    <w:basedOn w:val="BodyText"/>
    <w:rsid w:val="004E285F"/>
    <w:rPr>
      <w:rFonts w:cs="Noto Sans Devanagari"/>
    </w:rPr>
  </w:style>
  <w:style w:type="paragraph" w:styleId="Caption">
    <w:name w:val="caption"/>
    <w:basedOn w:val="Normal"/>
    <w:next w:val="Normal"/>
    <w:uiPriority w:val="35"/>
    <w:unhideWhenUsed/>
    <w:qFormat/>
    <w:rsid w:val="00D01E8C"/>
    <w:rPr>
      <w:b/>
      <w:bCs/>
      <w:sz w:val="20"/>
      <w:szCs w:val="20"/>
    </w:rPr>
  </w:style>
  <w:style w:type="paragraph" w:customStyle="1" w:styleId="Index">
    <w:name w:val="Index"/>
    <w:basedOn w:val="Normal"/>
    <w:qFormat/>
    <w:rsid w:val="004E285F"/>
    <w:pPr>
      <w:suppressLineNumbers/>
    </w:pPr>
    <w:rPr>
      <w:rFonts w:ascii="Calibri" w:eastAsia="Calibri" w:hAnsi="Calibri" w:cs="Noto Sans Devanagari"/>
      <w:sz w:val="24"/>
      <w:szCs w:val="24"/>
    </w:rPr>
  </w:style>
  <w:style w:type="paragraph" w:styleId="TOC2">
    <w:name w:val="toc 2"/>
    <w:basedOn w:val="Normal"/>
    <w:next w:val="Normal"/>
    <w:autoRedefine/>
    <w:uiPriority w:val="39"/>
    <w:rsid w:val="00005B94"/>
    <w:pPr>
      <w:ind w:left="220"/>
    </w:pPr>
  </w:style>
  <w:style w:type="paragraph" w:styleId="TOC1">
    <w:name w:val="toc 1"/>
    <w:basedOn w:val="Normal"/>
    <w:next w:val="Normal"/>
    <w:autoRedefine/>
    <w:uiPriority w:val="39"/>
    <w:rsid w:val="0001068A"/>
    <w:pPr>
      <w:tabs>
        <w:tab w:val="left" w:pos="440"/>
        <w:tab w:val="right" w:leader="dot" w:pos="8303"/>
      </w:tabs>
    </w:pPr>
  </w:style>
  <w:style w:type="paragraph" w:styleId="TOC3">
    <w:name w:val="toc 3"/>
    <w:basedOn w:val="Normal"/>
    <w:next w:val="Normal"/>
    <w:autoRedefine/>
    <w:uiPriority w:val="39"/>
    <w:rsid w:val="00005B94"/>
    <w:pPr>
      <w:ind w:left="440"/>
    </w:pPr>
  </w:style>
  <w:style w:type="paragraph" w:styleId="CommentText">
    <w:name w:val="annotation text"/>
    <w:basedOn w:val="Normal"/>
    <w:link w:val="CommentTextChar"/>
    <w:uiPriority w:val="99"/>
    <w:unhideWhenUsed/>
    <w:qFormat/>
    <w:rsid w:val="000B5DD0"/>
    <w:rPr>
      <w:sz w:val="20"/>
      <w:szCs w:val="20"/>
    </w:rPr>
  </w:style>
  <w:style w:type="paragraph" w:styleId="CommentSubject">
    <w:name w:val="annotation subject"/>
    <w:basedOn w:val="CommentText"/>
    <w:next w:val="CommentText"/>
    <w:link w:val="CommentSubjectChar"/>
    <w:uiPriority w:val="99"/>
    <w:semiHidden/>
    <w:unhideWhenUsed/>
    <w:qFormat/>
    <w:rsid w:val="000B5DD0"/>
    <w:rPr>
      <w:b/>
      <w:bCs/>
    </w:rPr>
  </w:style>
  <w:style w:type="paragraph" w:styleId="BalloonText">
    <w:name w:val="Balloon Text"/>
    <w:basedOn w:val="Normal"/>
    <w:link w:val="BalloonTextChar"/>
    <w:uiPriority w:val="99"/>
    <w:semiHidden/>
    <w:unhideWhenUsed/>
    <w:qFormat/>
    <w:rsid w:val="000B5DD0"/>
    <w:rPr>
      <w:rFonts w:ascii="Tahoma" w:hAnsi="Tahoma" w:cs="Tahoma"/>
      <w:sz w:val="16"/>
      <w:szCs w:val="16"/>
    </w:rPr>
  </w:style>
  <w:style w:type="paragraph" w:customStyle="1" w:styleId="EndNoteBibliographyTitle">
    <w:name w:val="EndNote Bibliography Title"/>
    <w:basedOn w:val="Normal"/>
    <w:link w:val="EndNoteBibliographyTitleChar"/>
    <w:qFormat/>
    <w:rsid w:val="008A23D2"/>
    <w:pPr>
      <w:jc w:val="center"/>
    </w:pPr>
    <w:rPr>
      <w:sz w:val="20"/>
    </w:rPr>
  </w:style>
  <w:style w:type="paragraph" w:customStyle="1" w:styleId="EndNoteBibliography">
    <w:name w:val="EndNote Bibliography"/>
    <w:basedOn w:val="Normal"/>
    <w:link w:val="EndNoteBibliographyChar"/>
    <w:qFormat/>
    <w:rsid w:val="001E3A54"/>
    <w:pPr>
      <w:ind w:left="567" w:hanging="567"/>
    </w:pPr>
    <w:rPr>
      <w:sz w:val="20"/>
      <w:lang w:val="en-US"/>
    </w:rPr>
  </w:style>
  <w:style w:type="paragraph" w:customStyle="1" w:styleId="Default">
    <w:name w:val="Default"/>
    <w:qFormat/>
    <w:rsid w:val="00A763A2"/>
    <w:rPr>
      <w:rFonts w:ascii="Verdana" w:hAnsi="Verdana" w:cs="Verdana"/>
      <w:color w:val="000000"/>
      <w:sz w:val="24"/>
      <w:szCs w:val="24"/>
      <w:lang w:val="en-US" w:eastAsia="en-US"/>
    </w:rPr>
  </w:style>
  <w:style w:type="paragraph" w:styleId="Title">
    <w:name w:val="Title"/>
    <w:basedOn w:val="Normal"/>
    <w:next w:val="Normal"/>
    <w:link w:val="TitleChar"/>
    <w:uiPriority w:val="10"/>
    <w:qFormat/>
    <w:rsid w:val="00CC659A"/>
    <w:pPr>
      <w:spacing w:before="240" w:after="60"/>
      <w:outlineLvl w:val="0"/>
    </w:pPr>
    <w:rPr>
      <w:rFonts w:ascii="Cambria" w:hAnsi="Cambria"/>
      <w:b/>
      <w:bCs/>
      <w:color w:val="2C2276"/>
      <w:kern w:val="2"/>
      <w:sz w:val="28"/>
      <w:szCs w:val="28"/>
    </w:rPr>
  </w:style>
  <w:style w:type="paragraph" w:customStyle="1" w:styleId="Kop-envoettekst">
    <w:name w:val="Kop- en voettekst"/>
    <w:basedOn w:val="Normal"/>
    <w:qFormat/>
  </w:style>
  <w:style w:type="paragraph" w:styleId="Header">
    <w:name w:val="header"/>
    <w:basedOn w:val="Normal"/>
    <w:link w:val="HeaderChar"/>
    <w:uiPriority w:val="99"/>
    <w:unhideWhenUsed/>
    <w:rsid w:val="003C6B21"/>
    <w:pPr>
      <w:tabs>
        <w:tab w:val="center" w:pos="4513"/>
        <w:tab w:val="right" w:pos="9026"/>
      </w:tabs>
    </w:pPr>
  </w:style>
  <w:style w:type="paragraph" w:styleId="Footer">
    <w:name w:val="footer"/>
    <w:basedOn w:val="Normal"/>
    <w:link w:val="FooterChar"/>
    <w:uiPriority w:val="99"/>
    <w:unhideWhenUsed/>
    <w:rsid w:val="003C6B21"/>
    <w:pPr>
      <w:tabs>
        <w:tab w:val="center" w:pos="4513"/>
        <w:tab w:val="right" w:pos="9026"/>
      </w:tabs>
    </w:pPr>
  </w:style>
  <w:style w:type="paragraph" w:styleId="FootnoteText">
    <w:name w:val="footnote text"/>
    <w:basedOn w:val="Normal"/>
    <w:link w:val="FootnoteTextChar"/>
    <w:uiPriority w:val="99"/>
    <w:unhideWhenUsed/>
    <w:rsid w:val="004E285F"/>
    <w:rPr>
      <w:rFonts w:ascii="Calibri" w:eastAsia="Calibri" w:hAnsi="Calibri" w:cs="Calibri"/>
      <w:sz w:val="20"/>
      <w:szCs w:val="20"/>
      <w:lang w:eastAsia="nl-NL"/>
    </w:rPr>
  </w:style>
  <w:style w:type="paragraph" w:styleId="ListParagraph">
    <w:name w:val="List Paragraph"/>
    <w:basedOn w:val="Normal"/>
    <w:uiPriority w:val="34"/>
    <w:qFormat/>
    <w:rsid w:val="004E285F"/>
    <w:pPr>
      <w:ind w:left="720"/>
      <w:contextualSpacing/>
    </w:pPr>
    <w:rPr>
      <w:rFonts w:ascii="Calibri" w:eastAsia="Calibri" w:hAnsi="Calibri" w:cs="Calibri"/>
      <w:sz w:val="24"/>
      <w:szCs w:val="24"/>
    </w:rPr>
  </w:style>
  <w:style w:type="paragraph" w:styleId="EndnoteText">
    <w:name w:val="endnote text"/>
    <w:basedOn w:val="Normal"/>
    <w:link w:val="EndnoteTextChar"/>
    <w:uiPriority w:val="99"/>
    <w:semiHidden/>
    <w:unhideWhenUsed/>
    <w:rsid w:val="000B4109"/>
    <w:rPr>
      <w:sz w:val="20"/>
      <w:szCs w:val="20"/>
    </w:rPr>
  </w:style>
  <w:style w:type="paragraph" w:customStyle="1" w:styleId="western">
    <w:name w:val="western"/>
    <w:basedOn w:val="Normal"/>
    <w:qFormat/>
    <w:rsid w:val="009C0A79"/>
    <w:pPr>
      <w:spacing w:beforeAutospacing="1" w:after="142" w:line="276" w:lineRule="auto"/>
    </w:pPr>
    <w:rPr>
      <w:rFonts w:ascii="Calibri" w:hAnsi="Calibri" w:cs="Calibri"/>
      <w:color w:val="000000"/>
      <w:sz w:val="24"/>
      <w:szCs w:val="24"/>
      <w:lang w:eastAsia="nl-NL"/>
    </w:rPr>
  </w:style>
  <w:style w:type="table" w:styleId="TableGrid">
    <w:name w:val="Table Grid"/>
    <w:basedOn w:val="TableNormal"/>
    <w:uiPriority w:val="39"/>
    <w:rsid w:val="00DA0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4E285F"/>
    <w:rPr>
      <w:sz w:val="24"/>
      <w:szCs w:val="24"/>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bCs/>
      </w:rPr>
    </w:tblStylePr>
    <w:tblStylePr w:type="lastRow">
      <w:rPr>
        <w:b/>
        <w:bCs/>
      </w:rPr>
      <w:tblPr/>
      <w:tcPr>
        <w:tcBorders>
          <w:top w:val="double" w:sz="4" w:space="0" w:color="FFFFF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LineNumber">
    <w:name w:val="line number"/>
    <w:basedOn w:val="DefaultParagraphFont"/>
    <w:uiPriority w:val="99"/>
    <w:semiHidden/>
    <w:unhideWhenUsed/>
    <w:rsid w:val="00DF61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omments" Target="comments.xml"/><Relationship Id="rId26" Type="http://schemas.openxmlformats.org/officeDocument/2006/relationships/header" Target="header8.xml"/><Relationship Id="rId39" Type="http://schemas.openxmlformats.org/officeDocument/2006/relationships/hyperlink" Target="https://doi.org/10.1186/s12302-019-0253-6" TargetMode="Externa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6.png"/><Relationship Id="rId42" Type="http://schemas.openxmlformats.org/officeDocument/2006/relationships/image" Target="media/image11.png"/><Relationship Id="rId47" Type="http://schemas.openxmlformats.org/officeDocument/2006/relationships/header" Target="header10.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image" Target="media/image5.jpeg"/><Relationship Id="rId38" Type="http://schemas.openxmlformats.org/officeDocument/2006/relationships/hyperlink" Target="http://www.solutions-project.eu/" TargetMode="External"/><Relationship Id="rId46" Type="http://schemas.openxmlformats.org/officeDocument/2006/relationships/hyperlink" Target="https://doi.org/doi:10.2760/325451"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5.xml"/><Relationship Id="rId29" Type="http://schemas.openxmlformats.org/officeDocument/2006/relationships/hyperlink" Target="http://www.solutions-project.eu/"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hyperlink" Target="https://www.springeropen.com/collections/solutions" TargetMode="External"/><Relationship Id="rId37" Type="http://schemas.openxmlformats.org/officeDocument/2006/relationships/image" Target="media/image9.png"/><Relationship Id="rId40" Type="http://schemas.openxmlformats.org/officeDocument/2006/relationships/hyperlink" Target="https://www.springeropen.com/collections/solutions" TargetMode="External"/><Relationship Id="rId45" Type="http://schemas.openxmlformats.org/officeDocument/2006/relationships/hyperlink" Target="https://ec.europa.eu/environment/water/fitness_check_of_the_eu_water_legislation/documents/Water%20Fitness%20Check%20-%20SWD(2019)439%20-%20web.pdf"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yperlink" Target="https://www.springeropen.com/collections/solutions" TargetMode="External"/><Relationship Id="rId36" Type="http://schemas.openxmlformats.org/officeDocument/2006/relationships/image" Target="media/image8.png"/><Relationship Id="rId49" Type="http://schemas.openxmlformats.org/officeDocument/2006/relationships/fontTable" Target="fontTable.xml"/><Relationship Id="rId10" Type="http://schemas.openxmlformats.org/officeDocument/2006/relationships/footer" Target="footer1.xml"/><Relationship Id="rId19" Type="http://schemas.microsoft.com/office/2011/relationships/commentsExtended" Target="commentsExtended.xml"/><Relationship Id="rId31" Type="http://schemas.openxmlformats.org/officeDocument/2006/relationships/image" Target="media/image4.jpeg"/><Relationship Id="rId44"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yperlink" Target="https://doi.org/10.1186/s12302-019-0253-6" TargetMode="External"/><Relationship Id="rId35" Type="http://schemas.openxmlformats.org/officeDocument/2006/relationships/image" Target="media/image7.png"/><Relationship Id="rId43" Type="http://schemas.openxmlformats.org/officeDocument/2006/relationships/header" Target="header9.xml"/><Relationship Id="rId48" Type="http://schemas.openxmlformats.org/officeDocument/2006/relationships/footer" Target="footer10.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www.helpdeskwater.nl/onderwerpen/wetgeving-beleid/kaderrichtlijn-water/uitvoering/rijn-west/we/krw/dpsir/" TargetMode="External"/><Relationship Id="rId1" Type="http://schemas.openxmlformats.org/officeDocument/2006/relationships/hyperlink" Target="mailto:Harald.dik@rivm.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7B54D2-44CA-4549-8F21-775362C86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8956</Words>
  <Characters>49262</Characters>
  <Application>Microsoft Office Word</Application>
  <DocSecurity>0</DocSecurity>
  <Lines>410</Lines>
  <Paragraphs>116</Paragraphs>
  <ScaleCrop>false</ScaleCrop>
  <HeadingPairs>
    <vt:vector size="2" baseType="variant">
      <vt:variant>
        <vt:lpstr>Title</vt:lpstr>
      </vt:variant>
      <vt:variant>
        <vt:i4>1</vt:i4>
      </vt:variant>
    </vt:vector>
  </HeadingPairs>
  <TitlesOfParts>
    <vt:vector size="1" baseType="lpstr">
      <vt:lpstr>Title</vt:lpstr>
    </vt:vector>
  </TitlesOfParts>
  <Company>RIVM</Company>
  <LinksUpToDate>false</LinksUpToDate>
  <CharactersWithSpaces>58102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Leo Posthuma</dc:creator>
  <dc:description/>
  <cp:lastModifiedBy>Pronk, Tessa</cp:lastModifiedBy>
  <cp:revision>2</cp:revision>
  <dcterms:created xsi:type="dcterms:W3CDTF">2021-04-01T16:29:00Z</dcterms:created>
  <dcterms:modified xsi:type="dcterms:W3CDTF">2021-04-01T16:29:00Z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RIVM</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