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391" w:rsidRDefault="00DE6391"/>
    <w:p w:rsidR="00DE6391" w:rsidRDefault="00DE6391"/>
    <w:p w:rsidR="00DE6391" w:rsidRDefault="00DE6391"/>
    <w:p w:rsidR="00DE6391" w:rsidRDefault="00022B29">
      <w:pPr>
        <w:jc w:val="center"/>
      </w:pPr>
      <w:r>
        <w:rPr>
          <w:b/>
          <w:color w:val="2C2276"/>
          <w:sz w:val="36"/>
        </w:rPr>
        <w:t>Sleutelfactor</w:t>
      </w:r>
      <w:r>
        <w:t xml:space="preserve"> </w:t>
      </w:r>
      <w:r>
        <w:rPr>
          <w:b/>
          <w:color w:val="2C2276"/>
          <w:sz w:val="36"/>
        </w:rPr>
        <w:t>Toxiciteit</w:t>
      </w:r>
    </w:p>
    <w:p w:rsidR="00DE6391" w:rsidRDefault="00DE6391"/>
    <w:p w:rsidR="00DE6391" w:rsidRDefault="00022B29">
      <w:pPr>
        <w:jc w:val="center"/>
      </w:pPr>
      <w:r>
        <w:rPr>
          <w:noProof/>
          <w:lang w:eastAsia="nl-NL"/>
        </w:rPr>
        <w:drawing>
          <wp:inline distT="0" distB="0" distL="0" distR="0">
            <wp:extent cx="1594485" cy="1143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1594485" cy="1143635"/>
                    </a:xfrm>
                    <a:prstGeom prst="rect">
                      <a:avLst/>
                    </a:prstGeom>
                  </pic:spPr>
                </pic:pic>
              </a:graphicData>
            </a:graphic>
          </wp:inline>
        </w:drawing>
      </w:r>
    </w:p>
    <w:p w:rsidR="00DE6391" w:rsidRDefault="00DE6391"/>
    <w:p w:rsidR="00DE6391" w:rsidRDefault="00022B29">
      <w:pPr>
        <w:jc w:val="center"/>
      </w:pPr>
      <w:r>
        <w:rPr>
          <w:b/>
          <w:color w:val="2C2276"/>
          <w:sz w:val="36"/>
        </w:rPr>
        <w:t>Diagnose en communicatie van de effecten van chemische verontreiniging op aquatische ecosystemen (productcode S2, versie A</w:t>
      </w:r>
      <w:r>
        <w:rPr>
          <w:rStyle w:val="Voetnootanker"/>
          <w:b/>
          <w:color w:val="2C2276"/>
          <w:sz w:val="36"/>
        </w:rPr>
        <w:footnoteReference w:id="1"/>
      </w:r>
      <w:r>
        <w:rPr>
          <w:b/>
          <w:color w:val="2C2276"/>
          <w:sz w:val="36"/>
        </w:rPr>
        <w:t>)</w:t>
      </w:r>
    </w:p>
    <w:p w:rsidR="00DE6391" w:rsidRDefault="00DE6391"/>
    <w:p w:rsidR="00DE6391" w:rsidRDefault="00022B29">
      <w:pPr>
        <w:jc w:val="center"/>
      </w:pPr>
      <w:r>
        <w:rPr>
          <w:b/>
          <w:color w:val="009FE3"/>
          <w:sz w:val="32"/>
        </w:rPr>
        <w:t>Achtergronddocument beschikbare kennis bij de sleutelfactor Toxiciteit</w:t>
      </w:r>
    </w:p>
    <w:p w:rsidR="00DE6391" w:rsidRDefault="00DE6391">
      <w:pPr>
        <w:spacing w:beforeAutospacing="1"/>
        <w:rPr>
          <w:rFonts w:ascii="Calibri" w:hAnsi="Calibri"/>
          <w:color w:val="000000"/>
          <w:sz w:val="24"/>
        </w:rPr>
      </w:pPr>
    </w:p>
    <w:p w:rsidR="00DE6391" w:rsidRDefault="00DE6391"/>
    <w:p w:rsidR="00DE6391" w:rsidRDefault="00022B29" w:rsidP="00F37F3B">
      <w:pPr>
        <w:jc w:val="left"/>
        <w:sectPr w:rsidR="00DE6391" w:rsidSect="00F37F3B">
          <w:headerReference w:type="default" r:id="rId9"/>
          <w:footerReference w:type="default" r:id="rId10"/>
          <w:pgSz w:w="11906" w:h="16838"/>
          <w:pgMar w:top="1440" w:right="1797" w:bottom="1440" w:left="1797" w:header="709" w:footer="709" w:gutter="0"/>
          <w:lnNumType w:countBy="1" w:restart="continuous"/>
          <w:cols w:space="708"/>
          <w:formProt w:val="0"/>
          <w:docGrid w:linePitch="360"/>
        </w:sectPr>
      </w:pPr>
      <w:r>
        <w:t>Versie: 25 februari 2021</w:t>
      </w:r>
    </w:p>
    <w:p w:rsidR="00DE6391" w:rsidRDefault="00022B29">
      <w:pPr>
        <w:pStyle w:val="Title"/>
      </w:pPr>
      <w:bookmarkStart w:id="0" w:name="_Toc65147550"/>
      <w:r>
        <w:lastRenderedPageBreak/>
        <w:t>Hoe effecten van chemische verontreinigingen gediagnosticeerd en gecommuniceerd kunnen worde</w:t>
      </w:r>
      <w:r>
        <w:t>n</w:t>
      </w:r>
      <w:bookmarkEnd w:id="0"/>
    </w:p>
    <w:p w:rsidR="00DE6391" w:rsidRDefault="00022B29">
      <w:r>
        <w:t>De sleutelfactor toxiciteit is ontwikkeld, omdat er zorgen zijn over chemische verontreiniging en de invloeden ervan op de waterkwaliteit, meer in het bijzonder: de aquatische ecologie en de zuiveringsinspanning bij de bereiding van drinkwater uit opperv</w:t>
      </w:r>
      <w:r>
        <w:t>laktewater. Analyses van de waterkwaliteit die uitgevoerd worden met de methodieken van de Kader Richtlijn Water (KRW) tonen aan, dat chemische stoffen vaak worden aangetroffen, en dat er nooit sprake is van stoffen die alleen voorkomen. Het zijn altijd me</w:t>
      </w:r>
      <w:r>
        <w:t xml:space="preserve">ngsels. De belangrijkste vraag die zich voordoet in het waterbeheer is dan ook of de huidige, in ruimte en tijd variërende mengsels, ongewenste effecten hebben op de waterkwaliteit. Deze Notitie beschrijft hoe de in de KRW gehanteerde classificatie van de </w:t>
      </w:r>
      <w:r>
        <w:t>waterkwaliteit “omgekeerd” kan worden ingezet voor het doen van een diagnose: het vaststellen van de mogelijke oorzaak of oorzaken van verminderde waterkwaliteit. Vervolgens beschrijft de Notitie ook hoe de diagnostische inzichten gecommuniceerd kunnen wor</w:t>
      </w:r>
      <w:r>
        <w:t>den in het kader van een watersysteemanalyse. De Notitie beschrijft de motieven voor en achtergronden van de werkwijzen, zoals die toegepast kunnen worden in het kader van de (ecologische) sleutelfactor Toxiciteit.</w:t>
      </w:r>
    </w:p>
    <w:p w:rsidR="00DE6391" w:rsidRDefault="00022B29">
      <w:pPr>
        <w:sectPr w:rsidR="00DE6391" w:rsidSect="00F37F3B">
          <w:headerReference w:type="default" r:id="rId11"/>
          <w:footerReference w:type="default" r:id="rId12"/>
          <w:type w:val="continuous"/>
          <w:pgSz w:w="11906" w:h="16838"/>
          <w:pgMar w:top="1440" w:right="1797" w:bottom="1440" w:left="1797" w:header="709" w:footer="709" w:gutter="0"/>
          <w:lnNumType w:countBy="1" w:restart="continuous"/>
          <w:cols w:space="708"/>
          <w:formProt w:val="0"/>
          <w:docGrid w:linePitch="360"/>
        </w:sectPr>
      </w:pPr>
      <w:r>
        <w:rPr>
          <w:i/>
        </w:rPr>
        <w:t xml:space="preserve">Deze notitie is onderdeel van de Startmodule van de sleutelfactor toxiciteit. Dit onderdeel geeft informatie over de diagnose van de effecten van chemische verontreinigingen in een </w:t>
      </w:r>
      <w:r>
        <w:rPr>
          <w:i/>
        </w:rPr>
        <w:t>watersysteemanalyse</w:t>
      </w:r>
      <w:r>
        <w:t xml:space="preserve"> Deze notitie heeft als doel om waterbeheerders te informeren over de achtergronden en werkwijzen die hierbij gehanteerd kunnen worden, op basis van de huidige stand van kennis.</w:t>
      </w:r>
    </w:p>
    <w:p w:rsidR="00DE6391" w:rsidRDefault="00022B29">
      <w:pPr>
        <w:pStyle w:val="Title"/>
      </w:pPr>
      <w:bookmarkStart w:id="1" w:name="_Toc65147551"/>
      <w:r>
        <w:rPr>
          <w:noProof/>
          <w:lang w:eastAsia="nl-NL"/>
        </w:rPr>
        <w:lastRenderedPageBreak/>
        <w:drawing>
          <wp:anchor distT="0" distB="0" distL="0" distR="0" simplePos="0" relativeHeight="251668480" behindDoc="0" locked="0" layoutInCell="1" allowOverlap="1">
            <wp:simplePos x="0" y="0"/>
            <wp:positionH relativeFrom="column">
              <wp:posOffset>19685</wp:posOffset>
            </wp:positionH>
            <wp:positionV relativeFrom="paragraph">
              <wp:posOffset>462280</wp:posOffset>
            </wp:positionV>
            <wp:extent cx="4413250" cy="2640965"/>
            <wp:effectExtent l="0" t="0" r="0" b="0"/>
            <wp:wrapTopAndBottom/>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3"/>
                    <a:srcRect l="66544" t="21097" r="4516" b="17290"/>
                    <a:stretch>
                      <a:fillRect/>
                    </a:stretch>
                  </pic:blipFill>
                  <pic:spPr bwMode="auto">
                    <a:xfrm>
                      <a:off x="0" y="0"/>
                      <a:ext cx="4413250" cy="2640965"/>
                    </a:xfrm>
                    <a:prstGeom prst="rect">
                      <a:avLst/>
                    </a:prstGeom>
                  </pic:spPr>
                </pic:pic>
              </a:graphicData>
            </a:graphic>
          </wp:anchor>
        </w:drawing>
      </w:r>
      <w:r>
        <w:t>Grafische samenvatting</w:t>
      </w:r>
      <w:bookmarkEnd w:id="1"/>
    </w:p>
    <w:p w:rsidR="00DE6391" w:rsidRDefault="00DE6391"/>
    <w:p w:rsidR="00DE6391" w:rsidRDefault="00022B29">
      <w:pPr>
        <w:sectPr w:rsidR="00DE6391" w:rsidSect="00F37F3B">
          <w:headerReference w:type="default" r:id="rId14"/>
          <w:footerReference w:type="default" r:id="rId15"/>
          <w:pgSz w:w="11906" w:h="16838"/>
          <w:pgMar w:top="1440" w:right="1797" w:bottom="1440" w:left="1797" w:header="709" w:footer="709" w:gutter="0"/>
          <w:cols w:space="708"/>
          <w:formProt w:val="0"/>
          <w:docGrid w:linePitch="360"/>
        </w:sectPr>
      </w:pPr>
      <w:r>
        <w:rPr>
          <w:b/>
        </w:rPr>
        <w:t>Chemische verontreiniging vormt samen met andere drukfactoren vaak een belangrijke belemmering voor het behouden of bereiken van de goede ecologische toestand in Europese watersystemen. De</w:t>
      </w:r>
      <w:r>
        <w:rPr>
          <w:b/>
        </w:rPr>
        <w:t xml:space="preserve"> classificatie-systematiek van de Kader Richtlijn Water kan “omgekeerd” gebruikt worden om inzicht te krijgen in de mogelijke oorzaken van een verminderde ecologische toestand (links). Het KRW-principe van “</w:t>
      </w:r>
      <w:r>
        <w:rPr>
          <w:b/>
          <w:i/>
          <w:iCs/>
        </w:rPr>
        <w:t>one out all out</w:t>
      </w:r>
      <w:r>
        <w:rPr>
          <w:b/>
        </w:rPr>
        <w:t>” dat bij de classificatie gebruik</w:t>
      </w:r>
      <w:r>
        <w:rPr>
          <w:b/>
        </w:rPr>
        <w:t>t wordt helpt door de toepassing van een “Matroesjka-poppen” schema bij de diagnose van de oorzaken van de effecten.</w:t>
      </w:r>
    </w:p>
    <w:p w:rsidR="00DE6391" w:rsidRDefault="00DE6391"/>
    <w:p w:rsidR="00DE6391" w:rsidRDefault="00022B29">
      <w:pPr>
        <w:pStyle w:val="Title"/>
      </w:pPr>
      <w:bookmarkStart w:id="2" w:name="_Toc65147552"/>
      <w:r>
        <w:t>Colofon</w:t>
      </w:r>
      <w:bookmarkEnd w:id="2"/>
    </w:p>
    <w:p w:rsidR="00DE6391" w:rsidRDefault="00022B29">
      <w:r>
        <w:t>Deze notitie is geschreven in het kader van het project Toxiciteit van de Kennisimpuls Waterkwaliteit. In de Kennisimpuls werken R</w:t>
      </w:r>
      <w:r>
        <w:t>ijk, provincies, waterschappen, drinkwaterbedrijven en kennisinstituten aan meer inzicht in de kwaliteit van het grond- en oppervlaktewater en de factoren die deze kwaliteit beïnvloeden. Daarmee kunnen waterbeheerders en andere partijen de juiste maatregel</w:t>
      </w:r>
      <w:r>
        <w:t xml:space="preserve">en nemen om de waterkwaliteit te verbeteren en de biodiversiteit te vergroten. </w:t>
      </w:r>
    </w:p>
    <w:p w:rsidR="00DE6391" w:rsidRDefault="00DE6391"/>
    <w:p w:rsidR="00DE6391" w:rsidRDefault="00022B29">
      <w:pPr>
        <w:sectPr w:rsidR="00DE6391" w:rsidSect="00F37F3B">
          <w:headerReference w:type="default" r:id="rId16"/>
          <w:footerReference w:type="default" r:id="rId17"/>
          <w:pgSz w:w="11906" w:h="16838"/>
          <w:pgMar w:top="1440" w:right="1797" w:bottom="1440" w:left="1797" w:header="709" w:footer="709" w:gutter="0"/>
          <w:cols w:space="708"/>
          <w:formProt w:val="0"/>
          <w:docGrid w:linePitch="360"/>
        </w:sectPr>
      </w:pPr>
      <w:r>
        <w:t>In het programma brengen partijen bestaande en nieuwe kennis bijeen, en m</w:t>
      </w:r>
      <w:r>
        <w:t>aken ze deze kennis (beter) toepasbaar voor de praktijk. Hiermee verstevigen ze de basis onder het waterkwaliteitsbeleid. Het programma is gestart in 2018 en duurt vier jaar. Het wordt gefinancierd door het ministerie van Infrastructuur en Waterstaat, STOW</w:t>
      </w:r>
      <w:r>
        <w:t xml:space="preserve">A, waterschappen, provincies en drinkwaterbedrijven. </w:t>
      </w:r>
    </w:p>
    <w:p w:rsidR="00DE6391" w:rsidRDefault="00DE6391"/>
    <w:p w:rsidR="00DE6391" w:rsidRDefault="00DE6391"/>
    <w:p w:rsidR="00DE6391" w:rsidRDefault="00DE6391"/>
    <w:p w:rsidR="00DE6391" w:rsidRDefault="00022B29">
      <w:pPr>
        <w:jc w:val="center"/>
        <w:rPr>
          <w:b/>
          <w:color w:val="2C2276"/>
          <w:sz w:val="36"/>
        </w:rPr>
      </w:pPr>
      <w:r>
        <w:rPr>
          <w:b/>
          <w:color w:val="2C2276"/>
          <w:sz w:val="36"/>
        </w:rPr>
        <w:t>Sleutelfactor Toxiciteit</w:t>
      </w:r>
    </w:p>
    <w:p w:rsidR="00DE6391" w:rsidRDefault="00DE6391">
      <w:pPr>
        <w:jc w:val="center"/>
        <w:rPr>
          <w:b/>
          <w:color w:val="2C2276"/>
          <w:sz w:val="36"/>
        </w:rPr>
      </w:pPr>
    </w:p>
    <w:p w:rsidR="00DE6391" w:rsidRDefault="00022B29">
      <w:pPr>
        <w:jc w:val="center"/>
      </w:pPr>
      <w:r>
        <w:rPr>
          <w:noProof/>
          <w:lang w:eastAsia="nl-NL"/>
        </w:rPr>
        <w:drawing>
          <wp:inline distT="0" distB="0" distL="0" distR="0">
            <wp:extent cx="1594485" cy="1143635"/>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8"/>
                    <a:stretch>
                      <a:fillRect/>
                    </a:stretch>
                  </pic:blipFill>
                  <pic:spPr bwMode="auto">
                    <a:xfrm>
                      <a:off x="0" y="0"/>
                      <a:ext cx="1594485" cy="1143635"/>
                    </a:xfrm>
                    <a:prstGeom prst="rect">
                      <a:avLst/>
                    </a:prstGeom>
                  </pic:spPr>
                </pic:pic>
              </a:graphicData>
            </a:graphic>
          </wp:inline>
        </w:drawing>
      </w:r>
    </w:p>
    <w:p w:rsidR="00DE6391" w:rsidRDefault="00DE6391">
      <w:pPr>
        <w:jc w:val="center"/>
        <w:rPr>
          <w:b/>
          <w:sz w:val="36"/>
        </w:rPr>
      </w:pPr>
    </w:p>
    <w:p w:rsidR="00DE6391" w:rsidRDefault="00022B29">
      <w:pPr>
        <w:jc w:val="center"/>
        <w:rPr>
          <w:b/>
          <w:color w:val="2C2276"/>
          <w:sz w:val="36"/>
        </w:rPr>
      </w:pPr>
      <w:r>
        <w:rPr>
          <w:b/>
          <w:color w:val="2C2276"/>
          <w:sz w:val="36"/>
        </w:rPr>
        <w:t>Diagnose en communicatie van de effecten van chemische verontreiniging op aquatische ecosystemen</w:t>
      </w:r>
    </w:p>
    <w:p w:rsidR="00DE6391" w:rsidRDefault="00DE6391">
      <w:pPr>
        <w:jc w:val="center"/>
        <w:rPr>
          <w:b/>
          <w:color w:val="2C2276"/>
          <w:sz w:val="36"/>
        </w:rPr>
      </w:pPr>
    </w:p>
    <w:p w:rsidR="00DE6391" w:rsidRDefault="00022B29">
      <w:pPr>
        <w:jc w:val="center"/>
        <w:rPr>
          <w:b/>
          <w:color w:val="009FE3"/>
          <w:sz w:val="32"/>
        </w:rPr>
      </w:pPr>
      <w:r>
        <w:rPr>
          <w:b/>
          <w:color w:val="009FE3"/>
          <w:sz w:val="32"/>
        </w:rPr>
        <w:t>Achtergronddocument beschikbare kennis bij de sleutelfactor Toxiciteit</w:t>
      </w:r>
    </w:p>
    <w:p w:rsidR="00DE6391" w:rsidRDefault="00DE6391"/>
    <w:p w:rsidR="00DE6391" w:rsidRDefault="00DE6391"/>
    <w:p w:rsidR="00DE6391" w:rsidRDefault="00DE6391"/>
    <w:p w:rsidR="00DE6391" w:rsidRDefault="00DE6391"/>
    <w:p w:rsidR="00DE6391" w:rsidRDefault="00DE6391"/>
    <w:p w:rsidR="00DE6391" w:rsidRDefault="00022B29">
      <w:r>
        <w:rPr>
          <w:highlight w:val="yellow"/>
        </w:rPr>
        <w:t>Versie: 25 februari 2021</w:t>
      </w:r>
      <w:r>
        <w:rPr>
          <w:rStyle w:val="Voetnootanker"/>
          <w:highlight w:val="yellow"/>
        </w:rPr>
        <w:footnoteReference w:id="2"/>
      </w:r>
      <w:r>
        <w:t xml:space="preserve">     </w:t>
      </w:r>
    </w:p>
    <w:p w:rsidR="00DE6391" w:rsidRDefault="00022B29">
      <w:r>
        <w:t>@@@[nog bewerken: literatuur-tagging door Leo, eind controle door Inge en Jappe, finaal akkoord Kernteam, dan z.s.m. formele versie opleveren=openbaar, als download onder de website]</w:t>
      </w:r>
    </w:p>
    <w:p w:rsidR="00DE6391" w:rsidRDefault="00DE6391"/>
    <w:p w:rsidR="00DE6391" w:rsidRDefault="00DE6391"/>
    <w:p w:rsidR="00DE6391" w:rsidRDefault="00DE6391"/>
    <w:p w:rsidR="00DE6391" w:rsidRDefault="00DE6391"/>
    <w:p w:rsidR="00DE6391" w:rsidRDefault="00022B29">
      <w:r>
        <w:t>Auteurs:@@@</w:t>
      </w:r>
    </w:p>
    <w:p w:rsidR="00DE6391" w:rsidRDefault="00022B29">
      <w:r>
        <w:t>Leo Posthuma (RIVM)</w:t>
      </w:r>
    </w:p>
    <w:p w:rsidR="00DE6391" w:rsidRDefault="00022B29">
      <w:r>
        <w:t>In</w:t>
      </w:r>
      <w:r>
        <w:t>ge van Driezum (RIVM)</w:t>
      </w:r>
    </w:p>
    <w:p w:rsidR="00DE6391" w:rsidRDefault="00022B29">
      <w:pPr>
        <w:rPr>
          <w:lang w:val="en-US"/>
        </w:rPr>
      </w:pPr>
      <w:r>
        <w:rPr>
          <w:lang w:val="en-US"/>
        </w:rPr>
        <w:t xml:space="preserve">Jappe Beekman (RIVM) </w:t>
      </w:r>
    </w:p>
    <w:p w:rsidR="00DE6391" w:rsidRDefault="00DE6391">
      <w:pPr>
        <w:rPr>
          <w:lang w:val="en-US"/>
        </w:rPr>
      </w:pPr>
    </w:p>
    <w:p w:rsidR="00DE6391" w:rsidRDefault="00DE6391">
      <w:pPr>
        <w:rPr>
          <w:lang w:val="en-US"/>
        </w:rPr>
      </w:pPr>
    </w:p>
    <w:p w:rsidR="00DE6391" w:rsidRDefault="00022B29">
      <w:pPr>
        <w:pStyle w:val="Title"/>
      </w:pPr>
      <w:bookmarkStart w:id="3" w:name="_Toc65147553"/>
      <w:r>
        <w:lastRenderedPageBreak/>
        <w:t>Inhoudsopgave</w:t>
      </w:r>
      <w:bookmarkEnd w:id="3"/>
    </w:p>
    <w:p w:rsidR="00DE6391" w:rsidRDefault="00DE6391"/>
    <w:sdt>
      <w:sdtPr>
        <w:id w:val="378751687"/>
        <w:docPartObj>
          <w:docPartGallery w:val="Table of Contents"/>
          <w:docPartUnique/>
        </w:docPartObj>
      </w:sdtPr>
      <w:sdtEndPr/>
      <w:sdtContent>
        <w:p w:rsidR="00DE6391" w:rsidRDefault="00022B29">
          <w:pPr>
            <w:pStyle w:val="TOC1"/>
            <w:rPr>
              <w:rFonts w:asciiTheme="minorHAnsi" w:eastAsiaTheme="minorEastAsia" w:hAnsiTheme="minorHAnsi" w:cstheme="minorBidi"/>
              <w:lang w:eastAsia="nl-NL"/>
            </w:rPr>
          </w:pPr>
          <w:r>
            <w:fldChar w:fldCharType="begin"/>
          </w:r>
          <w:r>
            <w:rPr>
              <w:rStyle w:val="Indexkoppeling"/>
              <w:webHidden/>
            </w:rPr>
            <w:instrText>TOC \z \o "1-3" \u \h</w:instrText>
          </w:r>
          <w:r>
            <w:rPr>
              <w:rStyle w:val="Indexkoppeling"/>
            </w:rPr>
            <w:fldChar w:fldCharType="separate"/>
          </w:r>
          <w:hyperlink w:anchor="_Toc65147550">
            <w:r>
              <w:rPr>
                <w:webHidden/>
              </w:rPr>
              <w:fldChar w:fldCharType="begin"/>
            </w:r>
            <w:r>
              <w:rPr>
                <w:webHidden/>
              </w:rPr>
              <w:instrText>PAGEREF _Toc65147550 \h</w:instrText>
            </w:r>
            <w:r>
              <w:rPr>
                <w:webHidden/>
              </w:rPr>
            </w:r>
            <w:r>
              <w:rPr>
                <w:webHidden/>
              </w:rPr>
              <w:fldChar w:fldCharType="separate"/>
            </w:r>
            <w:r>
              <w:rPr>
                <w:rStyle w:val="Indexkoppeling"/>
                <w:webHidden/>
              </w:rPr>
              <w:t>Hoe effecten van chemische verontreinigingen gediagnosticeerd en gecommuniceerd kunnen worden</w:t>
            </w:r>
            <w:r>
              <w:rPr>
                <w:rStyle w:val="Indexkoppeling"/>
                <w:webHidden/>
              </w:rPr>
              <w:tab/>
              <w:t>2</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1">
            <w:r>
              <w:rPr>
                <w:webHidden/>
              </w:rPr>
              <w:fldChar w:fldCharType="begin"/>
            </w:r>
            <w:r>
              <w:rPr>
                <w:webHidden/>
              </w:rPr>
              <w:instrText>PAGEREF _Toc65147551 \h</w:instrText>
            </w:r>
            <w:r>
              <w:rPr>
                <w:webHidden/>
              </w:rPr>
            </w:r>
            <w:r>
              <w:rPr>
                <w:webHidden/>
              </w:rPr>
              <w:fldChar w:fldCharType="separate"/>
            </w:r>
            <w:r>
              <w:rPr>
                <w:rStyle w:val="Indexkoppeling"/>
                <w:webHidden/>
              </w:rPr>
              <w:t>Grafische samenvatting</w:t>
            </w:r>
            <w:r>
              <w:rPr>
                <w:rStyle w:val="Indexkoppeling"/>
                <w:webHidden/>
              </w:rPr>
              <w:tab/>
              <w:t>3</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2">
            <w:r>
              <w:rPr>
                <w:webHidden/>
              </w:rPr>
              <w:fldChar w:fldCharType="begin"/>
            </w:r>
            <w:r>
              <w:rPr>
                <w:webHidden/>
              </w:rPr>
              <w:instrText>PAGEREF</w:instrText>
            </w:r>
            <w:r>
              <w:rPr>
                <w:webHidden/>
              </w:rPr>
              <w:instrText xml:space="preserve"> _Toc65147552 \h</w:instrText>
            </w:r>
            <w:r>
              <w:rPr>
                <w:webHidden/>
              </w:rPr>
            </w:r>
            <w:r>
              <w:rPr>
                <w:webHidden/>
              </w:rPr>
              <w:fldChar w:fldCharType="separate"/>
            </w:r>
            <w:r>
              <w:rPr>
                <w:rStyle w:val="Indexkoppeling"/>
                <w:webHidden/>
              </w:rPr>
              <w:t>Colofon</w:t>
            </w:r>
            <w:r>
              <w:rPr>
                <w:rStyle w:val="Indexkoppeling"/>
                <w:webHidden/>
              </w:rPr>
              <w:tab/>
              <w:t>4</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3">
            <w:r>
              <w:rPr>
                <w:webHidden/>
              </w:rPr>
              <w:fldChar w:fldCharType="begin"/>
            </w:r>
            <w:r>
              <w:rPr>
                <w:webHidden/>
              </w:rPr>
              <w:instrText>PAGEREF _Toc65147553 \h</w:instrText>
            </w:r>
            <w:r>
              <w:rPr>
                <w:webHidden/>
              </w:rPr>
            </w:r>
            <w:r>
              <w:rPr>
                <w:webHidden/>
              </w:rPr>
              <w:fldChar w:fldCharType="separate"/>
            </w:r>
            <w:r>
              <w:rPr>
                <w:rStyle w:val="Indexkoppeling"/>
                <w:webHidden/>
              </w:rPr>
              <w:t>Inhoudsopgave</w:t>
            </w:r>
            <w:r>
              <w:rPr>
                <w:rStyle w:val="Indexkoppeling"/>
                <w:webHidden/>
              </w:rPr>
              <w:tab/>
              <w:t>6</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4">
            <w:r>
              <w:rPr>
                <w:webHidden/>
              </w:rPr>
              <w:fldChar w:fldCharType="begin"/>
            </w:r>
            <w:r>
              <w:rPr>
                <w:webHidden/>
              </w:rPr>
              <w:instrText>PAGEREF _Toc65147554 \h</w:instrText>
            </w:r>
            <w:r>
              <w:rPr>
                <w:webHidden/>
              </w:rPr>
            </w:r>
            <w:r>
              <w:rPr>
                <w:webHidden/>
              </w:rPr>
              <w:fldChar w:fldCharType="separate"/>
            </w:r>
            <w:r>
              <w:rPr>
                <w:rStyle w:val="Indexkoppeling"/>
                <w:webHidden/>
              </w:rPr>
              <w:t>Begrippenlijst</w:t>
            </w:r>
            <w:r>
              <w:rPr>
                <w:rStyle w:val="Indexkoppeling"/>
                <w:webHidden/>
              </w:rPr>
              <w:tab/>
              <w:t>8</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5">
            <w:r>
              <w:rPr>
                <w:webHidden/>
              </w:rPr>
              <w:fldChar w:fldCharType="begin"/>
            </w:r>
            <w:r>
              <w:rPr>
                <w:webHidden/>
              </w:rPr>
              <w:instrText>PAGEREF _Toc65147555 \h</w:instrText>
            </w:r>
            <w:r>
              <w:rPr>
                <w:webHidden/>
              </w:rPr>
            </w:r>
            <w:r>
              <w:rPr>
                <w:webHidden/>
              </w:rPr>
              <w:fldChar w:fldCharType="separate"/>
            </w:r>
            <w:r>
              <w:rPr>
                <w:rStyle w:val="Indexkoppeling"/>
                <w:webHidden/>
              </w:rPr>
              <w:t>Samenvatting</w:t>
            </w:r>
            <w:r>
              <w:rPr>
                <w:rStyle w:val="Indexkoppeling"/>
                <w:webHidden/>
              </w:rPr>
              <w:tab/>
              <w:t>9</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6">
            <w:r>
              <w:rPr>
                <w:webHidden/>
              </w:rPr>
              <w:fldChar w:fldCharType="begin"/>
            </w:r>
            <w:r>
              <w:rPr>
                <w:webHidden/>
              </w:rPr>
              <w:instrText>PAGEREF _Toc65147556 \h</w:instrText>
            </w:r>
            <w:r>
              <w:rPr>
                <w:webHidden/>
              </w:rPr>
            </w:r>
            <w:r>
              <w:rPr>
                <w:webHidden/>
              </w:rPr>
              <w:fldChar w:fldCharType="separate"/>
            </w:r>
            <w:r>
              <w:rPr>
                <w:rStyle w:val="Indexkoppeling"/>
                <w:webHidden/>
              </w:rPr>
              <w:t>Gerelateerde documenten</w:t>
            </w:r>
            <w:r>
              <w:rPr>
                <w:rStyle w:val="Indexkoppeling"/>
                <w:webHidden/>
              </w:rPr>
              <w:tab/>
              <w:t>10</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57">
            <w:r>
              <w:rPr>
                <w:rStyle w:val="Indexkoppeling"/>
                <w:webHidden/>
              </w:rPr>
              <w:t>1</w:t>
            </w:r>
            <w:r>
              <w:rPr>
                <w:rStyle w:val="Indexkoppeling"/>
                <w:rFonts w:asciiTheme="minorHAnsi" w:eastAsiaTheme="minorEastAsia" w:hAnsiTheme="minorHAnsi" w:cstheme="minorBidi"/>
                <w:lang w:eastAsia="nl-NL"/>
              </w:rPr>
              <w:tab/>
            </w:r>
            <w:r>
              <w:rPr>
                <w:rStyle w:val="Indexkoppeling"/>
              </w:rPr>
              <w:t>Inleiding</w:t>
            </w:r>
            <w:r>
              <w:rPr>
                <w:webHidden/>
              </w:rPr>
              <w:fldChar w:fldCharType="begin"/>
            </w:r>
            <w:r>
              <w:rPr>
                <w:webHidden/>
              </w:rPr>
              <w:instrText>PAGEREF _Toc65147557 \h</w:instrText>
            </w:r>
            <w:r>
              <w:rPr>
                <w:webHidden/>
              </w:rPr>
            </w:r>
            <w:r>
              <w:rPr>
                <w:webHidden/>
              </w:rPr>
              <w:fldChar w:fldCharType="separate"/>
            </w:r>
            <w:r>
              <w:rPr>
                <w:rStyle w:val="Indexkoppeling"/>
              </w:rPr>
              <w:tab/>
              <w:t>11</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58">
            <w:r>
              <w:rPr>
                <w:rStyle w:val="Indexkoppeling"/>
                <w:webHidden/>
              </w:rPr>
              <w:t>1.1</w:t>
            </w:r>
            <w:r>
              <w:rPr>
                <w:rStyle w:val="Indexkoppeling"/>
                <w:rFonts w:asciiTheme="minorHAnsi" w:eastAsiaTheme="minorEastAsia" w:hAnsiTheme="minorHAnsi" w:cstheme="minorBidi"/>
                <w:lang w:eastAsia="nl-NL"/>
              </w:rPr>
              <w:tab/>
            </w:r>
            <w:r>
              <w:rPr>
                <w:rStyle w:val="Indexkoppeling"/>
              </w:rPr>
              <w:t>Classificatie</w:t>
            </w:r>
            <w:r>
              <w:rPr>
                <w:rStyle w:val="Indexkoppeling"/>
              </w:rPr>
              <w:t xml:space="preserve"> van de waterkwaliteit in de KRW</w:t>
            </w:r>
            <w:r>
              <w:rPr>
                <w:webHidden/>
              </w:rPr>
              <w:fldChar w:fldCharType="begin"/>
            </w:r>
            <w:r>
              <w:rPr>
                <w:webHidden/>
              </w:rPr>
              <w:instrText>PAGEREF _Toc65147558 \h</w:instrText>
            </w:r>
            <w:r>
              <w:rPr>
                <w:webHidden/>
              </w:rPr>
            </w:r>
            <w:r>
              <w:rPr>
                <w:webHidden/>
              </w:rPr>
              <w:fldChar w:fldCharType="separate"/>
            </w:r>
            <w:r>
              <w:rPr>
                <w:rStyle w:val="Indexkoppeling"/>
              </w:rPr>
              <w:tab/>
              <w:t>11</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59">
            <w:r>
              <w:rPr>
                <w:rStyle w:val="Indexkoppeling"/>
                <w:webHidden/>
              </w:rPr>
              <w:t>1.2</w:t>
            </w:r>
            <w:r>
              <w:rPr>
                <w:rStyle w:val="Indexkoppeling"/>
                <w:rFonts w:asciiTheme="minorHAnsi" w:eastAsiaTheme="minorEastAsia" w:hAnsiTheme="minorHAnsi" w:cstheme="minorBidi"/>
                <w:lang w:eastAsia="nl-NL"/>
              </w:rPr>
              <w:tab/>
            </w:r>
            <w:r>
              <w:rPr>
                <w:rStyle w:val="Indexkoppeling"/>
              </w:rPr>
              <w:t>Van classificatie naar diagnose van de waterkwaliteit</w:t>
            </w:r>
            <w:r>
              <w:rPr>
                <w:webHidden/>
              </w:rPr>
              <w:fldChar w:fldCharType="begin"/>
            </w:r>
            <w:r>
              <w:rPr>
                <w:webHidden/>
              </w:rPr>
              <w:instrText>PAGEREF _Toc65147559 \h</w:instrText>
            </w:r>
            <w:r>
              <w:rPr>
                <w:webHidden/>
              </w:rPr>
            </w:r>
            <w:r>
              <w:rPr>
                <w:webHidden/>
              </w:rPr>
              <w:fldChar w:fldCharType="separate"/>
            </w:r>
            <w:r>
              <w:rPr>
                <w:rStyle w:val="Indexkoppeling"/>
              </w:rPr>
              <w:tab/>
              <w:t>12</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60">
            <w:r>
              <w:rPr>
                <w:rStyle w:val="Indexkoppeling"/>
                <w:webHidden/>
              </w:rPr>
              <w:t>1.2.1</w:t>
            </w:r>
            <w:r>
              <w:rPr>
                <w:rStyle w:val="Indexkoppeling"/>
                <w:rFonts w:asciiTheme="minorHAnsi" w:eastAsiaTheme="minorEastAsia" w:hAnsiTheme="minorHAnsi" w:cstheme="minorBidi"/>
                <w:lang w:eastAsia="nl-NL"/>
              </w:rPr>
              <w:tab/>
            </w:r>
            <w:r>
              <w:rPr>
                <w:rStyle w:val="Indexkoppeling"/>
              </w:rPr>
              <w:t>De classificatie omkeren is de basis voor diagnose</w:t>
            </w:r>
            <w:r>
              <w:rPr>
                <w:webHidden/>
              </w:rPr>
              <w:fldChar w:fldCharType="begin"/>
            </w:r>
            <w:r>
              <w:rPr>
                <w:webHidden/>
              </w:rPr>
              <w:instrText>PAGEREF _Toc65147560 \h</w:instrText>
            </w:r>
            <w:r>
              <w:rPr>
                <w:webHidden/>
              </w:rPr>
            </w:r>
            <w:r>
              <w:rPr>
                <w:webHidden/>
              </w:rPr>
              <w:fldChar w:fldCharType="separate"/>
            </w:r>
            <w:r>
              <w:rPr>
                <w:rStyle w:val="Indexkoppeling"/>
              </w:rPr>
              <w:tab/>
              <w:t>12</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61">
            <w:r>
              <w:rPr>
                <w:rStyle w:val="Indexkoppeling"/>
                <w:webHidden/>
              </w:rPr>
              <w:t>1.2.2</w:t>
            </w:r>
            <w:r>
              <w:rPr>
                <w:rStyle w:val="Indexkoppeling"/>
                <w:rFonts w:asciiTheme="minorHAnsi" w:eastAsiaTheme="minorEastAsia" w:hAnsiTheme="minorHAnsi" w:cstheme="minorBidi"/>
                <w:lang w:eastAsia="nl-NL"/>
              </w:rPr>
              <w:tab/>
            </w:r>
            <w:r>
              <w:rPr>
                <w:rStyle w:val="Indexkoppeling"/>
              </w:rPr>
              <w:t>De chemische en ecologische toestand worden gekoppeld</w:t>
            </w:r>
            <w:r>
              <w:rPr>
                <w:webHidden/>
              </w:rPr>
              <w:fldChar w:fldCharType="begin"/>
            </w:r>
            <w:r>
              <w:rPr>
                <w:webHidden/>
              </w:rPr>
              <w:instrText>PAGEREF _Toc65147561 \h</w:instrText>
            </w:r>
            <w:r>
              <w:rPr>
                <w:webHidden/>
              </w:rPr>
            </w:r>
            <w:r>
              <w:rPr>
                <w:webHidden/>
              </w:rPr>
              <w:fldChar w:fldCharType="separate"/>
            </w:r>
            <w:r>
              <w:rPr>
                <w:rStyle w:val="Indexkoppeling"/>
              </w:rPr>
              <w:tab/>
              <w:t>13</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62">
            <w:r>
              <w:rPr>
                <w:rStyle w:val="Indexkoppeling"/>
                <w:webHidden/>
              </w:rPr>
              <w:t>1.2.3</w:t>
            </w:r>
            <w:r>
              <w:rPr>
                <w:rStyle w:val="Indexkoppeling"/>
                <w:rFonts w:asciiTheme="minorHAnsi" w:eastAsiaTheme="minorEastAsia" w:hAnsiTheme="minorHAnsi" w:cstheme="minorBidi"/>
                <w:lang w:eastAsia="nl-NL"/>
              </w:rPr>
              <w:tab/>
            </w:r>
            <w:r>
              <w:rPr>
                <w:rStyle w:val="Indexkoppeling"/>
              </w:rPr>
              <w:t>Naar een verbeterde diagnose – eerste trap: een intuïtieve diagnose</w:t>
            </w:r>
            <w:r>
              <w:rPr>
                <w:webHidden/>
              </w:rPr>
              <w:fldChar w:fldCharType="begin"/>
            </w:r>
            <w:r>
              <w:rPr>
                <w:webHidden/>
              </w:rPr>
              <w:instrText>PAGEREF _Toc65147562 \h</w:instrText>
            </w:r>
            <w:r>
              <w:rPr>
                <w:webHidden/>
              </w:rPr>
            </w:r>
            <w:r>
              <w:rPr>
                <w:webHidden/>
              </w:rPr>
              <w:fldChar w:fldCharType="separate"/>
            </w:r>
            <w:r>
              <w:rPr>
                <w:rStyle w:val="Indexkoppeling"/>
              </w:rPr>
              <w:tab/>
              <w:t>14</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63">
            <w:r>
              <w:rPr>
                <w:rStyle w:val="Indexkoppeling"/>
                <w:webHidden/>
              </w:rPr>
              <w:t>1.2.4</w:t>
            </w:r>
            <w:r>
              <w:rPr>
                <w:rStyle w:val="Indexkoppeling"/>
                <w:rFonts w:asciiTheme="minorHAnsi" w:eastAsiaTheme="minorEastAsia" w:hAnsiTheme="minorHAnsi" w:cstheme="minorBidi"/>
                <w:lang w:eastAsia="nl-NL"/>
              </w:rPr>
              <w:tab/>
            </w:r>
            <w:r>
              <w:rPr>
                <w:rStyle w:val="Indexkoppeling"/>
              </w:rPr>
              <w:t>Naar een verbeterde diagnose (2) – hogere trappen</w:t>
            </w:r>
            <w:r>
              <w:rPr>
                <w:webHidden/>
              </w:rPr>
              <w:fldChar w:fldCharType="begin"/>
            </w:r>
            <w:r>
              <w:rPr>
                <w:webHidden/>
              </w:rPr>
              <w:instrText>PAGEREF _Toc65147563 \h</w:instrText>
            </w:r>
            <w:r>
              <w:rPr>
                <w:webHidden/>
              </w:rPr>
            </w:r>
            <w:r>
              <w:rPr>
                <w:webHidden/>
              </w:rPr>
              <w:fldChar w:fldCharType="separate"/>
            </w:r>
            <w:r>
              <w:rPr>
                <w:rStyle w:val="Indexkoppeling"/>
              </w:rPr>
              <w:tab/>
              <w:t>15</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64">
            <w:r>
              <w:rPr>
                <w:rStyle w:val="Indexkoppeling"/>
                <w:webHidden/>
              </w:rPr>
              <w:t>1.3</w:t>
            </w:r>
            <w:r>
              <w:rPr>
                <w:rStyle w:val="Indexkoppeling"/>
                <w:rFonts w:asciiTheme="minorHAnsi" w:eastAsiaTheme="minorEastAsia" w:hAnsiTheme="minorHAnsi" w:cstheme="minorBidi"/>
                <w:lang w:eastAsia="nl-NL"/>
              </w:rPr>
              <w:tab/>
            </w:r>
            <w:r>
              <w:rPr>
                <w:rStyle w:val="Indexkoppeling"/>
              </w:rPr>
              <w:t xml:space="preserve">Deze Notitie: hulp bij </w:t>
            </w:r>
            <w:r>
              <w:rPr>
                <w:rStyle w:val="Indexkoppeling"/>
              </w:rPr>
              <w:t>diagnose en communicatie van de resultaten ervan</w:t>
            </w:r>
            <w:r>
              <w:rPr>
                <w:webHidden/>
              </w:rPr>
              <w:fldChar w:fldCharType="begin"/>
            </w:r>
            <w:r>
              <w:rPr>
                <w:webHidden/>
              </w:rPr>
              <w:instrText>PAGEREF _Toc65147564 \h</w:instrText>
            </w:r>
            <w:r>
              <w:rPr>
                <w:webHidden/>
              </w:rPr>
            </w:r>
            <w:r>
              <w:rPr>
                <w:webHidden/>
              </w:rPr>
              <w:fldChar w:fldCharType="separate"/>
            </w:r>
            <w:r>
              <w:rPr>
                <w:rStyle w:val="Indexkoppeling"/>
              </w:rPr>
              <w:tab/>
              <w:t>16</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65">
            <w:r>
              <w:rPr>
                <w:rStyle w:val="Indexkoppeling"/>
                <w:webHidden/>
              </w:rPr>
              <w:t>2</w:t>
            </w:r>
            <w:r>
              <w:rPr>
                <w:rStyle w:val="Indexkoppeling"/>
                <w:rFonts w:asciiTheme="minorHAnsi" w:eastAsiaTheme="minorEastAsia" w:hAnsiTheme="minorHAnsi" w:cstheme="minorBidi"/>
                <w:lang w:eastAsia="nl-NL"/>
              </w:rPr>
              <w:tab/>
            </w:r>
            <w:r>
              <w:rPr>
                <w:rStyle w:val="Indexkoppeling"/>
              </w:rPr>
              <w:t>Gerelateerde onderwerpen</w:t>
            </w:r>
            <w:r>
              <w:rPr>
                <w:webHidden/>
              </w:rPr>
              <w:fldChar w:fldCharType="begin"/>
            </w:r>
            <w:r>
              <w:rPr>
                <w:webHidden/>
              </w:rPr>
              <w:instrText>PAGEREF _Toc65147565 \h</w:instrText>
            </w:r>
            <w:r>
              <w:rPr>
                <w:webHidden/>
              </w:rPr>
            </w:r>
            <w:r>
              <w:rPr>
                <w:webHidden/>
              </w:rPr>
              <w:fldChar w:fldCharType="separate"/>
            </w:r>
            <w:r>
              <w:rPr>
                <w:rStyle w:val="Indexkoppeling"/>
              </w:rPr>
              <w:tab/>
              <w:t>18</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66">
            <w:r>
              <w:rPr>
                <w:rStyle w:val="Indexkoppeling"/>
                <w:webHidden/>
                <w:lang w:val="en-US"/>
              </w:rPr>
              <w:t>3</w:t>
            </w:r>
            <w:r>
              <w:rPr>
                <w:rStyle w:val="Indexkoppeling"/>
                <w:rFonts w:asciiTheme="minorHAnsi" w:eastAsiaTheme="minorEastAsia" w:hAnsiTheme="minorHAnsi" w:cstheme="minorBidi"/>
                <w:lang w:eastAsia="nl-NL"/>
              </w:rPr>
              <w:tab/>
            </w:r>
            <w:r>
              <w:rPr>
                <w:rStyle w:val="Indexkoppeling"/>
                <w:lang w:val="en-US"/>
              </w:rPr>
              <w:t>Classificatie is geen diagnose</w:t>
            </w:r>
            <w:r>
              <w:rPr>
                <w:webHidden/>
              </w:rPr>
              <w:fldChar w:fldCharType="begin"/>
            </w:r>
            <w:r>
              <w:rPr>
                <w:webHidden/>
              </w:rPr>
              <w:instrText>PAGEREF _Toc65147566 \h</w:instrText>
            </w:r>
            <w:r>
              <w:rPr>
                <w:webHidden/>
              </w:rPr>
            </w:r>
            <w:r>
              <w:rPr>
                <w:webHidden/>
              </w:rPr>
              <w:fldChar w:fldCharType="separate"/>
            </w:r>
            <w:r>
              <w:rPr>
                <w:rStyle w:val="Indexkoppeling"/>
              </w:rPr>
              <w:tab/>
              <w:t>19</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67">
            <w:r>
              <w:rPr>
                <w:rStyle w:val="Indexkoppeling"/>
                <w:webHidden/>
              </w:rPr>
              <w:t>4</w:t>
            </w:r>
            <w:r>
              <w:rPr>
                <w:rStyle w:val="Indexkoppeling"/>
                <w:rFonts w:asciiTheme="minorHAnsi" w:eastAsiaTheme="minorEastAsia" w:hAnsiTheme="minorHAnsi" w:cstheme="minorBidi"/>
                <w:lang w:eastAsia="nl-NL"/>
              </w:rPr>
              <w:tab/>
            </w:r>
            <w:r>
              <w:rPr>
                <w:rStyle w:val="Indexkoppeling"/>
              </w:rPr>
              <w:t>Diagnose: waarom en met welke basis?</w:t>
            </w:r>
            <w:r>
              <w:rPr>
                <w:webHidden/>
              </w:rPr>
              <w:fldChar w:fldCharType="begin"/>
            </w:r>
            <w:r>
              <w:rPr>
                <w:webHidden/>
              </w:rPr>
              <w:instrText>PAGEREF _Toc65147567 \h</w:instrText>
            </w:r>
            <w:r>
              <w:rPr>
                <w:webHidden/>
              </w:rPr>
            </w:r>
            <w:r>
              <w:rPr>
                <w:webHidden/>
              </w:rPr>
              <w:fldChar w:fldCharType="separate"/>
            </w:r>
            <w:r>
              <w:rPr>
                <w:rStyle w:val="Indexkoppeling"/>
              </w:rPr>
              <w:tab/>
              <w:t>20</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68">
            <w:r>
              <w:rPr>
                <w:rStyle w:val="Indexkoppeling"/>
                <w:webHidden/>
              </w:rPr>
              <w:t>4.1</w:t>
            </w:r>
            <w:r>
              <w:rPr>
                <w:rStyle w:val="Indexkoppeling"/>
                <w:rFonts w:asciiTheme="minorHAnsi" w:eastAsiaTheme="minorEastAsia" w:hAnsiTheme="minorHAnsi" w:cstheme="minorBidi"/>
                <w:lang w:eastAsia="nl-NL"/>
              </w:rPr>
              <w:tab/>
            </w:r>
            <w:r>
              <w:rPr>
                <w:rStyle w:val="Indexkoppeling"/>
              </w:rPr>
              <w:t>Over diagnose</w:t>
            </w:r>
            <w:r>
              <w:rPr>
                <w:webHidden/>
              </w:rPr>
              <w:fldChar w:fldCharType="begin"/>
            </w:r>
            <w:r>
              <w:rPr>
                <w:webHidden/>
              </w:rPr>
              <w:instrText>PAGEREF _Toc65147568 \h</w:instrText>
            </w:r>
            <w:r>
              <w:rPr>
                <w:webHidden/>
              </w:rPr>
            </w:r>
            <w:r>
              <w:rPr>
                <w:webHidden/>
              </w:rPr>
              <w:fldChar w:fldCharType="separate"/>
            </w:r>
            <w:r>
              <w:rPr>
                <w:rStyle w:val="Indexkoppeling"/>
              </w:rPr>
              <w:tab/>
              <w:t>20</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69">
            <w:r>
              <w:rPr>
                <w:rStyle w:val="Indexkoppeling"/>
                <w:webHidden/>
              </w:rPr>
              <w:t>4.2</w:t>
            </w:r>
            <w:r>
              <w:rPr>
                <w:rStyle w:val="Indexkoppeling"/>
                <w:rFonts w:asciiTheme="minorHAnsi" w:eastAsiaTheme="minorEastAsia" w:hAnsiTheme="minorHAnsi" w:cstheme="minorBidi"/>
                <w:lang w:eastAsia="nl-NL"/>
              </w:rPr>
              <w:tab/>
            </w:r>
            <w:r>
              <w:rPr>
                <w:rStyle w:val="Indexkoppeling"/>
              </w:rPr>
              <w:t>Groepen van drukfactoren en interacties</w:t>
            </w:r>
            <w:r>
              <w:rPr>
                <w:webHidden/>
              </w:rPr>
              <w:fldChar w:fldCharType="begin"/>
            </w:r>
            <w:r>
              <w:rPr>
                <w:webHidden/>
              </w:rPr>
              <w:instrText>PAGEREF _Toc65147569 \h</w:instrText>
            </w:r>
            <w:r>
              <w:rPr>
                <w:webHidden/>
              </w:rPr>
            </w:r>
            <w:r>
              <w:rPr>
                <w:webHidden/>
              </w:rPr>
              <w:fldChar w:fldCharType="separate"/>
            </w:r>
            <w:r>
              <w:rPr>
                <w:rStyle w:val="Indexkoppeling"/>
              </w:rPr>
              <w:tab/>
              <w:t>20</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70">
            <w:r>
              <w:rPr>
                <w:rStyle w:val="Indexkoppeling"/>
                <w:webHidden/>
              </w:rPr>
              <w:t>4.3</w:t>
            </w:r>
            <w:r>
              <w:rPr>
                <w:rStyle w:val="Indexkoppeling"/>
                <w:rFonts w:asciiTheme="minorHAnsi" w:eastAsiaTheme="minorEastAsia" w:hAnsiTheme="minorHAnsi" w:cstheme="minorBidi"/>
                <w:lang w:eastAsia="nl-NL"/>
              </w:rPr>
              <w:tab/>
            </w:r>
            <w:r>
              <w:rPr>
                <w:rStyle w:val="Indexkoppeling"/>
              </w:rPr>
              <w:t>Diagnose van effecten op ecosystemen: voorgestelde aanpak</w:t>
            </w:r>
            <w:r>
              <w:rPr>
                <w:webHidden/>
              </w:rPr>
              <w:fldChar w:fldCharType="begin"/>
            </w:r>
            <w:r>
              <w:rPr>
                <w:webHidden/>
              </w:rPr>
              <w:instrText>PAGEREF _Toc65147570 \h</w:instrText>
            </w:r>
            <w:r>
              <w:rPr>
                <w:webHidden/>
              </w:rPr>
            </w:r>
            <w:r>
              <w:rPr>
                <w:webHidden/>
              </w:rPr>
              <w:fldChar w:fldCharType="separate"/>
            </w:r>
            <w:r>
              <w:rPr>
                <w:rStyle w:val="Indexkoppeling"/>
              </w:rPr>
              <w:tab/>
              <w:t>21</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71">
            <w:r>
              <w:rPr>
                <w:rStyle w:val="Indexkoppeling"/>
                <w:webHidden/>
              </w:rPr>
              <w:t>4.3.1</w:t>
            </w:r>
            <w:r>
              <w:rPr>
                <w:rStyle w:val="Indexkoppeling"/>
                <w:rFonts w:asciiTheme="minorHAnsi" w:eastAsiaTheme="minorEastAsia" w:hAnsiTheme="minorHAnsi" w:cstheme="minorBidi"/>
                <w:lang w:eastAsia="nl-NL"/>
              </w:rPr>
              <w:tab/>
            </w:r>
            <w:r>
              <w:rPr>
                <w:rStyle w:val="Indexkoppeling"/>
              </w:rPr>
              <w:t>De wetenschappelijke basis</w:t>
            </w:r>
            <w:r>
              <w:rPr>
                <w:webHidden/>
              </w:rPr>
              <w:fldChar w:fldCharType="begin"/>
            </w:r>
            <w:r>
              <w:rPr>
                <w:webHidden/>
              </w:rPr>
              <w:instrText>PAGEREF _Toc65147571 \h</w:instrText>
            </w:r>
            <w:r>
              <w:rPr>
                <w:webHidden/>
              </w:rPr>
            </w:r>
            <w:r>
              <w:rPr>
                <w:webHidden/>
              </w:rPr>
              <w:fldChar w:fldCharType="separate"/>
            </w:r>
            <w:r>
              <w:rPr>
                <w:rStyle w:val="Indexkoppeling"/>
              </w:rPr>
              <w:tab/>
              <w:t>21</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72">
            <w:r>
              <w:rPr>
                <w:rStyle w:val="Indexkoppeling"/>
                <w:webHidden/>
              </w:rPr>
              <w:t>4.3.2</w:t>
            </w:r>
            <w:r>
              <w:rPr>
                <w:rStyle w:val="Indexkoppeling"/>
                <w:rFonts w:asciiTheme="minorHAnsi" w:eastAsiaTheme="minorEastAsia" w:hAnsiTheme="minorHAnsi" w:cstheme="minorBidi"/>
                <w:lang w:eastAsia="nl-NL"/>
              </w:rPr>
              <w:tab/>
            </w:r>
            <w:r>
              <w:rPr>
                <w:rStyle w:val="Indexkoppeling"/>
              </w:rPr>
              <w:t>Indeling van drukfactoren in klassen voor praktijk-evaluaties</w:t>
            </w:r>
            <w:r>
              <w:rPr>
                <w:webHidden/>
              </w:rPr>
              <w:fldChar w:fldCharType="begin"/>
            </w:r>
            <w:r>
              <w:rPr>
                <w:webHidden/>
              </w:rPr>
              <w:instrText>PAGEREF _Toc65147572 \h</w:instrText>
            </w:r>
            <w:r>
              <w:rPr>
                <w:webHidden/>
              </w:rPr>
            </w:r>
            <w:r>
              <w:rPr>
                <w:webHidden/>
              </w:rPr>
              <w:fldChar w:fldCharType="separate"/>
            </w:r>
            <w:r>
              <w:rPr>
                <w:rStyle w:val="Indexkoppeling"/>
              </w:rPr>
              <w:tab/>
              <w:t>22</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73">
            <w:r>
              <w:rPr>
                <w:rStyle w:val="Indexkoppeling"/>
                <w:webHidden/>
              </w:rPr>
              <w:t>4.4</w:t>
            </w:r>
            <w:r>
              <w:rPr>
                <w:rStyle w:val="Indexkoppeling"/>
                <w:rFonts w:asciiTheme="minorHAnsi" w:eastAsiaTheme="minorEastAsia" w:hAnsiTheme="minorHAnsi" w:cstheme="minorBidi"/>
                <w:lang w:eastAsia="nl-NL"/>
              </w:rPr>
              <w:tab/>
            </w:r>
            <w:r>
              <w:rPr>
                <w:rStyle w:val="Indexkoppeling"/>
              </w:rPr>
              <w:t>De voorgestelde visuele diagnose: het principe</w:t>
            </w:r>
            <w:r>
              <w:rPr>
                <w:webHidden/>
              </w:rPr>
              <w:fldChar w:fldCharType="begin"/>
            </w:r>
            <w:r>
              <w:rPr>
                <w:webHidden/>
              </w:rPr>
              <w:instrText>PAGEREF _Toc65147573 \h</w:instrText>
            </w:r>
            <w:r>
              <w:rPr>
                <w:webHidden/>
              </w:rPr>
            </w:r>
            <w:r>
              <w:rPr>
                <w:webHidden/>
              </w:rPr>
              <w:fldChar w:fldCharType="separate"/>
            </w:r>
            <w:r>
              <w:rPr>
                <w:rStyle w:val="Indexkoppeling"/>
              </w:rPr>
              <w:tab/>
              <w:t>23</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74">
            <w:r>
              <w:rPr>
                <w:rStyle w:val="Indexkoppeling"/>
                <w:webHidden/>
              </w:rPr>
              <w:t>4.4.1</w:t>
            </w:r>
            <w:r>
              <w:rPr>
                <w:rStyle w:val="Indexkoppeling"/>
                <w:rFonts w:asciiTheme="minorHAnsi" w:eastAsiaTheme="minorEastAsia" w:hAnsiTheme="minorHAnsi" w:cstheme="minorBidi"/>
                <w:lang w:eastAsia="nl-NL"/>
              </w:rPr>
              <w:tab/>
            </w:r>
            <w:r>
              <w:rPr>
                <w:rStyle w:val="Indexkoppeling"/>
              </w:rPr>
              <w:t>Koppeling tussen kennis en KRW</w:t>
            </w:r>
            <w:r>
              <w:rPr>
                <w:webHidden/>
              </w:rPr>
              <w:fldChar w:fldCharType="begin"/>
            </w:r>
            <w:r>
              <w:rPr>
                <w:webHidden/>
              </w:rPr>
              <w:instrText>PAG</w:instrText>
            </w:r>
            <w:r>
              <w:rPr>
                <w:webHidden/>
              </w:rPr>
              <w:instrText>EREF _Toc65147574 \h</w:instrText>
            </w:r>
            <w:r>
              <w:rPr>
                <w:webHidden/>
              </w:rPr>
            </w:r>
            <w:r>
              <w:rPr>
                <w:webHidden/>
              </w:rPr>
              <w:fldChar w:fldCharType="separate"/>
            </w:r>
            <w:r>
              <w:rPr>
                <w:rStyle w:val="Indexkoppeling"/>
              </w:rPr>
              <w:tab/>
              <w:t>23</w:t>
            </w:r>
            <w:r>
              <w:rPr>
                <w:webHidden/>
              </w:rPr>
              <w:fldChar w:fldCharType="end"/>
            </w:r>
          </w:hyperlink>
        </w:p>
        <w:p w:rsidR="00DE6391" w:rsidRDefault="00022B29">
          <w:pPr>
            <w:pStyle w:val="TOC3"/>
            <w:tabs>
              <w:tab w:val="left" w:pos="1320"/>
              <w:tab w:val="right" w:leader="dot" w:pos="8303"/>
            </w:tabs>
            <w:rPr>
              <w:rFonts w:asciiTheme="minorHAnsi" w:eastAsiaTheme="minorEastAsia" w:hAnsiTheme="minorHAnsi" w:cstheme="minorBidi"/>
              <w:lang w:eastAsia="nl-NL"/>
            </w:rPr>
          </w:pPr>
          <w:hyperlink w:anchor="_Toc65147575">
            <w:r>
              <w:rPr>
                <w:rStyle w:val="Indexkoppeling"/>
                <w:webHidden/>
              </w:rPr>
              <w:t>4.4.2</w:t>
            </w:r>
            <w:r>
              <w:rPr>
                <w:rStyle w:val="Indexkoppeling"/>
                <w:rFonts w:asciiTheme="minorHAnsi" w:eastAsiaTheme="minorEastAsia" w:hAnsiTheme="minorHAnsi" w:cstheme="minorBidi"/>
                <w:lang w:eastAsia="nl-NL"/>
              </w:rPr>
              <w:tab/>
            </w:r>
            <w:r>
              <w:rPr>
                <w:rStyle w:val="Indexkoppeling"/>
              </w:rPr>
              <w:t>De intuïtieve diagnose</w:t>
            </w:r>
            <w:r>
              <w:rPr>
                <w:webHidden/>
              </w:rPr>
              <w:fldChar w:fldCharType="begin"/>
            </w:r>
            <w:r>
              <w:rPr>
                <w:webHidden/>
              </w:rPr>
              <w:instrText>PAGEREF _Toc65147575 \h</w:instrText>
            </w:r>
            <w:r>
              <w:rPr>
                <w:webHidden/>
              </w:rPr>
            </w:r>
            <w:r>
              <w:rPr>
                <w:webHidden/>
              </w:rPr>
              <w:fldChar w:fldCharType="separate"/>
            </w:r>
            <w:r>
              <w:rPr>
                <w:rStyle w:val="Indexkoppeling"/>
              </w:rPr>
              <w:tab/>
              <w:t>23</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76">
            <w:r>
              <w:rPr>
                <w:rStyle w:val="Indexkoppeling"/>
                <w:webHidden/>
              </w:rPr>
              <w:t>4.5</w:t>
            </w:r>
            <w:r>
              <w:rPr>
                <w:rStyle w:val="Indexkoppeling"/>
                <w:rFonts w:asciiTheme="minorHAnsi" w:eastAsiaTheme="minorEastAsia" w:hAnsiTheme="minorHAnsi" w:cstheme="minorBidi"/>
                <w:lang w:eastAsia="nl-NL"/>
              </w:rPr>
              <w:tab/>
            </w:r>
            <w:r>
              <w:rPr>
                <w:rStyle w:val="Indexkoppeling"/>
              </w:rPr>
              <w:t>Praktijktoepassing en interpretatie</w:t>
            </w:r>
            <w:r>
              <w:rPr>
                <w:webHidden/>
              </w:rPr>
              <w:fldChar w:fldCharType="begin"/>
            </w:r>
            <w:r>
              <w:rPr>
                <w:webHidden/>
              </w:rPr>
              <w:instrText>PAGEREF _Toc65147576 \h</w:instrText>
            </w:r>
            <w:r>
              <w:rPr>
                <w:webHidden/>
              </w:rPr>
            </w:r>
            <w:r>
              <w:rPr>
                <w:webHidden/>
              </w:rPr>
              <w:fldChar w:fldCharType="separate"/>
            </w:r>
            <w:r>
              <w:rPr>
                <w:rStyle w:val="Indexkoppeling"/>
              </w:rPr>
              <w:tab/>
              <w:t>24</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77">
            <w:r>
              <w:rPr>
                <w:rStyle w:val="Indexkoppeling"/>
                <w:webHidden/>
              </w:rPr>
              <w:t>4.6</w:t>
            </w:r>
            <w:r>
              <w:rPr>
                <w:rStyle w:val="Indexkoppeling"/>
                <w:rFonts w:asciiTheme="minorHAnsi" w:eastAsiaTheme="minorEastAsia" w:hAnsiTheme="minorHAnsi" w:cstheme="minorBidi"/>
                <w:lang w:eastAsia="nl-NL"/>
              </w:rPr>
              <w:tab/>
            </w:r>
            <w:r>
              <w:rPr>
                <w:rStyle w:val="Indexkoppeling"/>
              </w:rPr>
              <w:t>Specifiekere diagnose – het principe</w:t>
            </w:r>
            <w:r>
              <w:rPr>
                <w:webHidden/>
              </w:rPr>
              <w:fldChar w:fldCharType="begin"/>
            </w:r>
            <w:r>
              <w:rPr>
                <w:webHidden/>
              </w:rPr>
              <w:instrText>PAGEREF _Toc65147577 \h</w:instrText>
            </w:r>
            <w:r>
              <w:rPr>
                <w:webHidden/>
              </w:rPr>
            </w:r>
            <w:r>
              <w:rPr>
                <w:webHidden/>
              </w:rPr>
              <w:fldChar w:fldCharType="separate"/>
            </w:r>
            <w:r>
              <w:rPr>
                <w:rStyle w:val="Indexkoppeling"/>
              </w:rPr>
              <w:tab/>
              <w:t>25</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78">
            <w:r>
              <w:rPr>
                <w:rStyle w:val="Indexkoppeling"/>
                <w:webHidden/>
              </w:rPr>
              <w:t>4.7</w:t>
            </w:r>
            <w:r>
              <w:rPr>
                <w:rStyle w:val="Indexkoppeling"/>
                <w:rFonts w:asciiTheme="minorHAnsi" w:eastAsiaTheme="minorEastAsia" w:hAnsiTheme="minorHAnsi" w:cstheme="minorBidi"/>
                <w:lang w:eastAsia="nl-NL"/>
              </w:rPr>
              <w:tab/>
            </w:r>
            <w:r>
              <w:rPr>
                <w:rStyle w:val="Indexkoppeling"/>
              </w:rPr>
              <w:t>Specifieke diagnose voor chemische verontreiniging</w:t>
            </w:r>
            <w:r>
              <w:rPr>
                <w:webHidden/>
              </w:rPr>
              <w:fldChar w:fldCharType="begin"/>
            </w:r>
            <w:r>
              <w:rPr>
                <w:webHidden/>
              </w:rPr>
              <w:instrText>PAGEREF _Toc65147578 \h</w:instrText>
            </w:r>
            <w:r>
              <w:rPr>
                <w:webHidden/>
              </w:rPr>
            </w:r>
            <w:r>
              <w:rPr>
                <w:webHidden/>
              </w:rPr>
              <w:fldChar w:fldCharType="separate"/>
            </w:r>
            <w:r>
              <w:rPr>
                <w:rStyle w:val="Indexkoppeling"/>
              </w:rPr>
              <w:tab/>
              <w:t>26</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79">
            <w:r>
              <w:rPr>
                <w:rStyle w:val="Indexkoppeling"/>
                <w:webHidden/>
              </w:rPr>
              <w:t>4.8</w:t>
            </w:r>
            <w:r>
              <w:rPr>
                <w:rStyle w:val="Indexkoppeling"/>
                <w:rFonts w:asciiTheme="minorHAnsi" w:eastAsiaTheme="minorEastAsia" w:hAnsiTheme="minorHAnsi" w:cstheme="minorBidi"/>
                <w:lang w:eastAsia="nl-NL"/>
              </w:rPr>
              <w:tab/>
            </w:r>
            <w:r>
              <w:rPr>
                <w:rStyle w:val="Indexkoppeling"/>
              </w:rPr>
              <w:t>Verbeterde uitwerking met meer kwantitatieve gegevens</w:t>
            </w:r>
            <w:r>
              <w:rPr>
                <w:webHidden/>
              </w:rPr>
              <w:fldChar w:fldCharType="begin"/>
            </w:r>
            <w:r>
              <w:rPr>
                <w:webHidden/>
              </w:rPr>
              <w:instrText>PAGEREF _Toc65147579 \h</w:instrText>
            </w:r>
            <w:r>
              <w:rPr>
                <w:webHidden/>
              </w:rPr>
            </w:r>
            <w:r>
              <w:rPr>
                <w:webHidden/>
              </w:rPr>
              <w:fldChar w:fldCharType="separate"/>
            </w:r>
            <w:r>
              <w:rPr>
                <w:rStyle w:val="Indexkoppeling"/>
              </w:rPr>
              <w:tab/>
              <w:t>27</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80">
            <w:r>
              <w:rPr>
                <w:rStyle w:val="Indexkoppeling"/>
                <w:webHidden/>
              </w:rPr>
              <w:t>4.9</w:t>
            </w:r>
            <w:r>
              <w:rPr>
                <w:rStyle w:val="Indexkoppeling"/>
                <w:rFonts w:asciiTheme="minorHAnsi" w:eastAsiaTheme="minorEastAsia" w:hAnsiTheme="minorHAnsi" w:cstheme="minorBidi"/>
                <w:lang w:eastAsia="nl-NL"/>
              </w:rPr>
              <w:tab/>
            </w:r>
            <w:r>
              <w:rPr>
                <w:rStyle w:val="Indexkoppeling"/>
              </w:rPr>
              <w:t>Uitwerking voor de zuiveringsinsp</w:t>
            </w:r>
            <w:r>
              <w:rPr>
                <w:rStyle w:val="Indexkoppeling"/>
              </w:rPr>
              <w:t>anning</w:t>
            </w:r>
            <w:r>
              <w:rPr>
                <w:webHidden/>
              </w:rPr>
              <w:fldChar w:fldCharType="begin"/>
            </w:r>
            <w:r>
              <w:rPr>
                <w:webHidden/>
              </w:rPr>
              <w:instrText>PAGEREF _Toc65147580 \h</w:instrText>
            </w:r>
            <w:r>
              <w:rPr>
                <w:webHidden/>
              </w:rPr>
            </w:r>
            <w:r>
              <w:rPr>
                <w:webHidden/>
              </w:rPr>
              <w:fldChar w:fldCharType="separate"/>
            </w:r>
            <w:r>
              <w:rPr>
                <w:rStyle w:val="Indexkoppeling"/>
              </w:rPr>
              <w:tab/>
              <w:t>27</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81">
            <w:r>
              <w:rPr>
                <w:rStyle w:val="Indexkoppeling"/>
                <w:webHidden/>
              </w:rPr>
              <w:t>4.10</w:t>
            </w:r>
            <w:r>
              <w:rPr>
                <w:rStyle w:val="Indexkoppeling"/>
                <w:rFonts w:asciiTheme="minorHAnsi" w:eastAsiaTheme="minorEastAsia" w:hAnsiTheme="minorHAnsi" w:cstheme="minorBidi"/>
                <w:lang w:eastAsia="nl-NL"/>
              </w:rPr>
              <w:tab/>
            </w:r>
            <w:r>
              <w:rPr>
                <w:rStyle w:val="Indexkoppeling"/>
              </w:rPr>
              <w:t>Samenvatting</w:t>
            </w:r>
            <w:r>
              <w:rPr>
                <w:webHidden/>
              </w:rPr>
              <w:fldChar w:fldCharType="begin"/>
            </w:r>
            <w:r>
              <w:rPr>
                <w:webHidden/>
              </w:rPr>
              <w:instrText>PAGEREF _Toc65147581 \h</w:instrText>
            </w:r>
            <w:r>
              <w:rPr>
                <w:webHidden/>
              </w:rPr>
            </w:r>
            <w:r>
              <w:rPr>
                <w:webHidden/>
              </w:rPr>
              <w:fldChar w:fldCharType="separate"/>
            </w:r>
            <w:r>
              <w:rPr>
                <w:rStyle w:val="Indexkoppeling"/>
              </w:rPr>
              <w:tab/>
              <w:t>27</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82">
            <w:r>
              <w:rPr>
                <w:rStyle w:val="Indexkoppeling"/>
                <w:webHidden/>
              </w:rPr>
              <w:t>5</w:t>
            </w:r>
            <w:r>
              <w:rPr>
                <w:rStyle w:val="Indexkoppeling"/>
                <w:rFonts w:asciiTheme="minorHAnsi" w:eastAsiaTheme="minorEastAsia" w:hAnsiTheme="minorHAnsi" w:cstheme="minorBidi"/>
                <w:lang w:eastAsia="nl-NL"/>
              </w:rPr>
              <w:tab/>
            </w:r>
            <w:r>
              <w:rPr>
                <w:rStyle w:val="Indexkoppeling"/>
              </w:rPr>
              <w:t>Communicatie bij een complete watersysteemanalyse</w:t>
            </w:r>
            <w:r>
              <w:rPr>
                <w:webHidden/>
              </w:rPr>
              <w:fldChar w:fldCharType="begin"/>
            </w:r>
            <w:r>
              <w:rPr>
                <w:webHidden/>
              </w:rPr>
              <w:instrText>PAGEREF _Toc65147582 \h</w:instrText>
            </w:r>
            <w:r>
              <w:rPr>
                <w:webHidden/>
              </w:rPr>
            </w:r>
            <w:r>
              <w:rPr>
                <w:webHidden/>
              </w:rPr>
              <w:fldChar w:fldCharType="separate"/>
            </w:r>
            <w:r>
              <w:rPr>
                <w:rStyle w:val="Indexkoppeling"/>
              </w:rPr>
              <w:tab/>
              <w:t>29</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83">
            <w:r>
              <w:rPr>
                <w:rStyle w:val="Indexkoppeling"/>
                <w:webHidden/>
              </w:rPr>
              <w:t>5.1</w:t>
            </w:r>
            <w:r>
              <w:rPr>
                <w:rStyle w:val="Indexkoppeling"/>
                <w:rFonts w:asciiTheme="minorHAnsi" w:eastAsiaTheme="minorEastAsia" w:hAnsiTheme="minorHAnsi" w:cstheme="minorBidi"/>
                <w:lang w:eastAsia="nl-NL"/>
              </w:rPr>
              <w:tab/>
            </w:r>
            <w:r>
              <w:rPr>
                <w:rStyle w:val="Indexkoppeling"/>
              </w:rPr>
              <w:t>Motieven voor goede communicatie</w:t>
            </w:r>
            <w:r>
              <w:rPr>
                <w:webHidden/>
              </w:rPr>
              <w:fldChar w:fldCharType="begin"/>
            </w:r>
            <w:r>
              <w:rPr>
                <w:webHidden/>
              </w:rPr>
              <w:instrText>PAGEREF</w:instrText>
            </w:r>
            <w:r>
              <w:rPr>
                <w:webHidden/>
              </w:rPr>
              <w:instrText xml:space="preserve"> _Toc65147583 \h</w:instrText>
            </w:r>
            <w:r>
              <w:rPr>
                <w:webHidden/>
              </w:rPr>
            </w:r>
            <w:r>
              <w:rPr>
                <w:webHidden/>
              </w:rPr>
              <w:fldChar w:fldCharType="separate"/>
            </w:r>
            <w:r>
              <w:rPr>
                <w:rStyle w:val="Indexkoppeling"/>
              </w:rPr>
              <w:tab/>
              <w:t>29</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84">
            <w:r>
              <w:rPr>
                <w:rStyle w:val="Indexkoppeling"/>
                <w:webHidden/>
              </w:rPr>
              <w:t>5.2</w:t>
            </w:r>
            <w:r>
              <w:rPr>
                <w:rStyle w:val="Indexkoppeling"/>
                <w:rFonts w:asciiTheme="minorHAnsi" w:eastAsiaTheme="minorEastAsia" w:hAnsiTheme="minorHAnsi" w:cstheme="minorBidi"/>
                <w:lang w:eastAsia="nl-NL"/>
              </w:rPr>
              <w:tab/>
            </w:r>
            <w:r>
              <w:rPr>
                <w:rStyle w:val="Indexkoppeling"/>
              </w:rPr>
              <w:t>Presenteren van DPSIR-gegevens in relatie tot een diagnose</w:t>
            </w:r>
            <w:r>
              <w:rPr>
                <w:webHidden/>
              </w:rPr>
              <w:fldChar w:fldCharType="begin"/>
            </w:r>
            <w:r>
              <w:rPr>
                <w:webHidden/>
              </w:rPr>
              <w:instrText>PAGEREF _Toc65147584 \h</w:instrText>
            </w:r>
            <w:r>
              <w:rPr>
                <w:webHidden/>
              </w:rPr>
            </w:r>
            <w:r>
              <w:rPr>
                <w:webHidden/>
              </w:rPr>
              <w:fldChar w:fldCharType="separate"/>
            </w:r>
            <w:r>
              <w:rPr>
                <w:rStyle w:val="Indexkoppeling"/>
              </w:rPr>
              <w:tab/>
              <w:t>29</w:t>
            </w:r>
            <w:r>
              <w:rPr>
                <w:webHidden/>
              </w:rPr>
              <w:fldChar w:fldCharType="end"/>
            </w:r>
          </w:hyperlink>
        </w:p>
        <w:p w:rsidR="00DE6391" w:rsidRDefault="00022B29">
          <w:pPr>
            <w:pStyle w:val="TOC2"/>
            <w:tabs>
              <w:tab w:val="left" w:pos="880"/>
              <w:tab w:val="right" w:leader="dot" w:pos="8303"/>
            </w:tabs>
            <w:rPr>
              <w:rFonts w:asciiTheme="minorHAnsi" w:eastAsiaTheme="minorEastAsia" w:hAnsiTheme="minorHAnsi" w:cstheme="minorBidi"/>
              <w:lang w:eastAsia="nl-NL"/>
            </w:rPr>
          </w:pPr>
          <w:hyperlink w:anchor="_Toc65147585">
            <w:r>
              <w:rPr>
                <w:rStyle w:val="Indexkoppeling"/>
                <w:webHidden/>
              </w:rPr>
              <w:t>5.3</w:t>
            </w:r>
            <w:r>
              <w:rPr>
                <w:rStyle w:val="Indexkoppeling"/>
                <w:rFonts w:asciiTheme="minorHAnsi" w:eastAsiaTheme="minorEastAsia" w:hAnsiTheme="minorHAnsi" w:cstheme="minorBidi"/>
                <w:lang w:eastAsia="nl-NL"/>
              </w:rPr>
              <w:tab/>
            </w:r>
            <w:r>
              <w:rPr>
                <w:rStyle w:val="Indexkoppeling"/>
              </w:rPr>
              <w:t>Presenteren van resultaten met logo’s en stijl van de sleutelfactoren</w:t>
            </w:r>
            <w:r>
              <w:rPr>
                <w:webHidden/>
              </w:rPr>
              <w:fldChar w:fldCharType="begin"/>
            </w:r>
            <w:r>
              <w:rPr>
                <w:webHidden/>
              </w:rPr>
              <w:instrText>PAGEREF _Toc65147585 \h</w:instrText>
            </w:r>
            <w:r>
              <w:rPr>
                <w:webHidden/>
              </w:rPr>
            </w:r>
            <w:r>
              <w:rPr>
                <w:webHidden/>
              </w:rPr>
              <w:fldChar w:fldCharType="separate"/>
            </w:r>
            <w:r>
              <w:rPr>
                <w:rStyle w:val="Indexkoppeling"/>
              </w:rPr>
              <w:tab/>
              <w:t>33</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86">
            <w:r>
              <w:rPr>
                <w:rStyle w:val="Indexkoppeling"/>
                <w:webHidden/>
              </w:rPr>
              <w:t>6</w:t>
            </w:r>
            <w:r>
              <w:rPr>
                <w:rStyle w:val="Indexkoppeling"/>
                <w:rFonts w:asciiTheme="minorHAnsi" w:eastAsiaTheme="minorEastAsia" w:hAnsiTheme="minorHAnsi" w:cstheme="minorBidi"/>
                <w:lang w:eastAsia="nl-NL"/>
              </w:rPr>
              <w:tab/>
            </w:r>
            <w:r>
              <w:rPr>
                <w:rStyle w:val="Indexkoppeling"/>
              </w:rPr>
              <w:t>Randvoorwaarden</w:t>
            </w:r>
            <w:r>
              <w:rPr>
                <w:webHidden/>
              </w:rPr>
              <w:fldChar w:fldCharType="begin"/>
            </w:r>
            <w:r>
              <w:rPr>
                <w:webHidden/>
              </w:rPr>
              <w:instrText>PAGEREF _Toc65147586 \h</w:instrText>
            </w:r>
            <w:r>
              <w:rPr>
                <w:webHidden/>
              </w:rPr>
            </w:r>
            <w:r>
              <w:rPr>
                <w:webHidden/>
              </w:rPr>
              <w:fldChar w:fldCharType="separate"/>
            </w:r>
            <w:r>
              <w:rPr>
                <w:rStyle w:val="Indexkoppeling"/>
              </w:rPr>
              <w:tab/>
              <w:t>35</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87">
            <w:r>
              <w:rPr>
                <w:rStyle w:val="Indexkoppeling"/>
                <w:webHidden/>
              </w:rPr>
              <w:t>7</w:t>
            </w:r>
            <w:r>
              <w:rPr>
                <w:rStyle w:val="Indexkoppeling"/>
                <w:rFonts w:asciiTheme="minorHAnsi" w:eastAsiaTheme="minorEastAsia" w:hAnsiTheme="minorHAnsi" w:cstheme="minorBidi"/>
                <w:lang w:eastAsia="nl-NL"/>
              </w:rPr>
              <w:tab/>
            </w:r>
            <w:r>
              <w:rPr>
                <w:rStyle w:val="Indexkoppeling"/>
              </w:rPr>
              <w:t>Kosten en baten</w:t>
            </w:r>
            <w:r>
              <w:rPr>
                <w:webHidden/>
              </w:rPr>
              <w:fldChar w:fldCharType="begin"/>
            </w:r>
            <w:r>
              <w:rPr>
                <w:webHidden/>
              </w:rPr>
              <w:instrText>PAGEREF _Toc65147587 \h</w:instrText>
            </w:r>
            <w:r>
              <w:rPr>
                <w:webHidden/>
              </w:rPr>
            </w:r>
            <w:r>
              <w:rPr>
                <w:webHidden/>
              </w:rPr>
              <w:fldChar w:fldCharType="separate"/>
            </w:r>
            <w:r>
              <w:rPr>
                <w:rStyle w:val="Indexkoppeling"/>
              </w:rPr>
              <w:tab/>
              <w:t>36</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88">
            <w:r>
              <w:rPr>
                <w:rStyle w:val="Indexkoppeling"/>
                <w:webHidden/>
              </w:rPr>
              <w:t>8</w:t>
            </w:r>
            <w:r>
              <w:rPr>
                <w:rStyle w:val="Indexkoppeling"/>
                <w:rFonts w:asciiTheme="minorHAnsi" w:eastAsiaTheme="minorEastAsia" w:hAnsiTheme="minorHAnsi" w:cstheme="minorBidi"/>
                <w:lang w:eastAsia="nl-NL"/>
              </w:rPr>
              <w:tab/>
            </w:r>
            <w:r>
              <w:rPr>
                <w:rStyle w:val="Indexkoppeling"/>
              </w:rPr>
              <w:t>Governance: toepassing van normen en sleutel factor</w:t>
            </w:r>
            <w:r>
              <w:rPr>
                <w:webHidden/>
              </w:rPr>
              <w:fldChar w:fldCharType="begin"/>
            </w:r>
            <w:r>
              <w:rPr>
                <w:webHidden/>
              </w:rPr>
              <w:instrText>PAGEREF _Toc65147588 \h</w:instrText>
            </w:r>
            <w:r>
              <w:rPr>
                <w:webHidden/>
              </w:rPr>
            </w:r>
            <w:r>
              <w:rPr>
                <w:webHidden/>
              </w:rPr>
              <w:fldChar w:fldCharType="separate"/>
            </w:r>
            <w:r>
              <w:rPr>
                <w:rStyle w:val="Indexkoppeling"/>
              </w:rPr>
              <w:tab/>
              <w:t>38</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89">
            <w:r>
              <w:rPr>
                <w:rStyle w:val="Indexkoppeling"/>
                <w:webHidden/>
              </w:rPr>
              <w:t>9</w:t>
            </w:r>
            <w:r>
              <w:rPr>
                <w:rStyle w:val="Indexkoppeling"/>
                <w:rFonts w:asciiTheme="minorHAnsi" w:eastAsiaTheme="minorEastAsia" w:hAnsiTheme="minorHAnsi" w:cstheme="minorBidi"/>
                <w:lang w:eastAsia="nl-NL"/>
              </w:rPr>
              <w:tab/>
            </w:r>
            <w:r>
              <w:rPr>
                <w:rStyle w:val="Indexkoppeling"/>
              </w:rPr>
              <w:t>Praktijkervaringen en lopende onderzoeken</w:t>
            </w:r>
            <w:r>
              <w:rPr>
                <w:webHidden/>
              </w:rPr>
              <w:fldChar w:fldCharType="begin"/>
            </w:r>
            <w:r>
              <w:rPr>
                <w:webHidden/>
              </w:rPr>
              <w:instrText>PAGEREF _Toc65147589 \h</w:instrText>
            </w:r>
            <w:r>
              <w:rPr>
                <w:webHidden/>
              </w:rPr>
            </w:r>
            <w:r>
              <w:rPr>
                <w:webHidden/>
              </w:rPr>
              <w:fldChar w:fldCharType="separate"/>
            </w:r>
            <w:r>
              <w:rPr>
                <w:rStyle w:val="Indexkoppeling"/>
              </w:rPr>
              <w:tab/>
              <w:t>39</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90">
            <w:r>
              <w:rPr>
                <w:rStyle w:val="Indexkoppeling"/>
                <w:webHidden/>
              </w:rPr>
              <w:t>10</w:t>
            </w:r>
            <w:r>
              <w:rPr>
                <w:rStyle w:val="Indexkoppeling"/>
                <w:rFonts w:asciiTheme="minorHAnsi" w:eastAsiaTheme="minorEastAsia" w:hAnsiTheme="minorHAnsi" w:cstheme="minorBidi"/>
                <w:lang w:eastAsia="nl-NL"/>
              </w:rPr>
              <w:tab/>
            </w:r>
            <w:r>
              <w:rPr>
                <w:rStyle w:val="Indexkoppeling"/>
              </w:rPr>
              <w:t>Kennisleemten</w:t>
            </w:r>
            <w:r>
              <w:rPr>
                <w:webHidden/>
              </w:rPr>
              <w:fldChar w:fldCharType="begin"/>
            </w:r>
            <w:r>
              <w:rPr>
                <w:webHidden/>
              </w:rPr>
              <w:instrText>PAGEREF _Toc65147590 \h</w:instrText>
            </w:r>
            <w:r>
              <w:rPr>
                <w:webHidden/>
              </w:rPr>
            </w:r>
            <w:r>
              <w:rPr>
                <w:webHidden/>
              </w:rPr>
              <w:fldChar w:fldCharType="separate"/>
            </w:r>
            <w:r>
              <w:rPr>
                <w:rStyle w:val="Indexkoppeling"/>
              </w:rPr>
              <w:tab/>
              <w:t>40</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91">
            <w:r>
              <w:rPr>
                <w:rStyle w:val="Indexkoppeling"/>
                <w:webHidden/>
              </w:rPr>
              <w:t>11</w:t>
            </w:r>
            <w:r>
              <w:rPr>
                <w:rStyle w:val="Indexkoppeling"/>
                <w:rFonts w:asciiTheme="minorHAnsi" w:eastAsiaTheme="minorEastAsia" w:hAnsiTheme="minorHAnsi" w:cstheme="minorBidi"/>
                <w:lang w:eastAsia="nl-NL"/>
              </w:rPr>
              <w:tab/>
            </w:r>
            <w:r>
              <w:rPr>
                <w:rStyle w:val="Indexkoppeling"/>
              </w:rPr>
              <w:t>Lopende initiatieven</w:t>
            </w:r>
            <w:r>
              <w:rPr>
                <w:webHidden/>
              </w:rPr>
              <w:fldChar w:fldCharType="begin"/>
            </w:r>
            <w:r>
              <w:rPr>
                <w:webHidden/>
              </w:rPr>
              <w:instrText>PAGEREF _Toc65147591 \h</w:instrText>
            </w:r>
            <w:r>
              <w:rPr>
                <w:webHidden/>
              </w:rPr>
            </w:r>
            <w:r>
              <w:rPr>
                <w:webHidden/>
              </w:rPr>
              <w:fldChar w:fldCharType="separate"/>
            </w:r>
            <w:r>
              <w:rPr>
                <w:rStyle w:val="Indexkoppeling"/>
              </w:rPr>
              <w:tab/>
              <w:t>41</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92">
            <w:r>
              <w:rPr>
                <w:rStyle w:val="Indexkoppeling"/>
                <w:webHidden/>
              </w:rPr>
              <w:t>12</w:t>
            </w:r>
            <w:r>
              <w:rPr>
                <w:rStyle w:val="Indexkoppeling"/>
                <w:rFonts w:asciiTheme="minorHAnsi" w:eastAsiaTheme="minorEastAsia" w:hAnsiTheme="minorHAnsi" w:cstheme="minorBidi"/>
                <w:lang w:eastAsia="nl-NL"/>
              </w:rPr>
              <w:tab/>
            </w:r>
            <w:r>
              <w:rPr>
                <w:rStyle w:val="Indexkoppeling"/>
              </w:rPr>
              <w:t>Verantwoording</w:t>
            </w:r>
            <w:r>
              <w:rPr>
                <w:webHidden/>
              </w:rPr>
              <w:fldChar w:fldCharType="begin"/>
            </w:r>
            <w:r>
              <w:rPr>
                <w:webHidden/>
              </w:rPr>
              <w:instrText>PAGEREF _Toc65147592 \h</w:instrText>
            </w:r>
            <w:r>
              <w:rPr>
                <w:webHidden/>
              </w:rPr>
            </w:r>
            <w:r>
              <w:rPr>
                <w:webHidden/>
              </w:rPr>
              <w:fldChar w:fldCharType="separate"/>
            </w:r>
            <w:r>
              <w:rPr>
                <w:rStyle w:val="Indexkoppeling"/>
              </w:rPr>
              <w:tab/>
              <w:t>42</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93">
            <w:r>
              <w:rPr>
                <w:rStyle w:val="Indexkoppeling"/>
                <w:webHidden/>
              </w:rPr>
              <w:t>13</w:t>
            </w:r>
            <w:r>
              <w:rPr>
                <w:rStyle w:val="Indexkoppeling"/>
                <w:rFonts w:asciiTheme="minorHAnsi" w:eastAsiaTheme="minorEastAsia" w:hAnsiTheme="minorHAnsi" w:cstheme="minorBidi"/>
                <w:lang w:eastAsia="nl-NL"/>
              </w:rPr>
              <w:tab/>
            </w:r>
            <w:r>
              <w:rPr>
                <w:rStyle w:val="Indexkoppeling"/>
              </w:rPr>
              <w:t>Disclaimer</w:t>
            </w:r>
            <w:r>
              <w:rPr>
                <w:webHidden/>
              </w:rPr>
              <w:fldChar w:fldCharType="begin"/>
            </w:r>
            <w:r>
              <w:rPr>
                <w:webHidden/>
              </w:rPr>
              <w:instrText>PAGEREF _Toc65147593 \h</w:instrText>
            </w:r>
            <w:r>
              <w:rPr>
                <w:webHidden/>
              </w:rPr>
            </w:r>
            <w:r>
              <w:rPr>
                <w:webHidden/>
              </w:rPr>
              <w:fldChar w:fldCharType="separate"/>
            </w:r>
            <w:r>
              <w:rPr>
                <w:rStyle w:val="Indexkoppeling"/>
              </w:rPr>
              <w:tab/>
              <w:t>43</w:t>
            </w:r>
            <w:r>
              <w:rPr>
                <w:webHidden/>
              </w:rPr>
              <w:fldChar w:fldCharType="end"/>
            </w:r>
          </w:hyperlink>
        </w:p>
        <w:p w:rsidR="00DE6391" w:rsidRDefault="00022B29">
          <w:pPr>
            <w:pStyle w:val="TOC1"/>
            <w:rPr>
              <w:rFonts w:asciiTheme="minorHAnsi" w:eastAsiaTheme="minorEastAsia" w:hAnsiTheme="minorHAnsi" w:cstheme="minorBidi"/>
              <w:lang w:eastAsia="nl-NL"/>
            </w:rPr>
          </w:pPr>
          <w:hyperlink w:anchor="_Toc65147594">
            <w:r>
              <w:rPr>
                <w:webHidden/>
              </w:rPr>
              <w:fldChar w:fldCharType="begin"/>
            </w:r>
            <w:r>
              <w:rPr>
                <w:webHidden/>
              </w:rPr>
              <w:instrText>PAGEREF _Toc65147594 \h</w:instrText>
            </w:r>
            <w:r>
              <w:rPr>
                <w:webHidden/>
              </w:rPr>
            </w:r>
            <w:r>
              <w:rPr>
                <w:webHidden/>
              </w:rPr>
              <w:fldChar w:fldCharType="separate"/>
            </w:r>
            <w:r>
              <w:rPr>
                <w:rStyle w:val="Indexkoppeling"/>
                <w:webHidden/>
              </w:rPr>
              <w:t>Referenties</w:t>
            </w:r>
            <w:r>
              <w:rPr>
                <w:rStyle w:val="Indexkoppeling"/>
                <w:webHidden/>
              </w:rPr>
              <w:tab/>
              <w:t>43</w:t>
            </w:r>
            <w:r>
              <w:rPr>
                <w:webHidden/>
              </w:rPr>
              <w:fldChar w:fldCharType="end"/>
            </w:r>
          </w:hyperlink>
          <w:r>
            <w:rPr>
              <w:rStyle w:val="Indexkoppeling"/>
            </w:rPr>
            <w:fldChar w:fldCharType="end"/>
          </w:r>
        </w:p>
        <w:p w:rsidR="00DE6391" w:rsidRDefault="00022B29">
          <w:pPr>
            <w:sectPr w:rsidR="00DE6391" w:rsidSect="00F37F3B">
              <w:headerReference w:type="default" r:id="rId18"/>
              <w:footerReference w:type="default" r:id="rId19"/>
              <w:pgSz w:w="11906" w:h="16838"/>
              <w:pgMar w:top="1440" w:right="1797" w:bottom="1440" w:left="1797" w:header="709" w:footer="709" w:gutter="0"/>
              <w:cols w:space="708"/>
              <w:formProt w:val="0"/>
              <w:docGrid w:linePitch="360"/>
            </w:sectPr>
          </w:pPr>
        </w:p>
      </w:sdtContent>
    </w:sdt>
    <w:p w:rsidR="00DE6391" w:rsidRDefault="00022B29">
      <w:pPr>
        <w:pStyle w:val="Title"/>
        <w:rPr>
          <w:sz w:val="22"/>
          <w:szCs w:val="22"/>
        </w:rPr>
      </w:pPr>
      <w:bookmarkStart w:id="4" w:name="_Toc65147554"/>
      <w:r>
        <w:lastRenderedPageBreak/>
        <w:t>Begrippenlijst</w:t>
      </w:r>
      <w:bookmarkEnd w:id="4"/>
    </w:p>
    <w:p w:rsidR="00DE6391" w:rsidRDefault="00022B29">
      <w:r>
        <w:rPr>
          <w:highlight w:val="yellow"/>
        </w:rPr>
        <w:t xml:space="preserve">@@@Deze nog </w:t>
      </w:r>
      <w:r>
        <w:rPr>
          <w:highlight w:val="yellow"/>
        </w:rPr>
        <w:t>aanvullen en definities geven</w:t>
      </w:r>
    </w:p>
    <w:p w:rsidR="00DE6391" w:rsidRDefault="00022B29">
      <w:pPr>
        <w:numPr>
          <w:ilvl w:val="0"/>
          <w:numId w:val="3"/>
        </w:numPr>
      </w:pPr>
      <w:r>
        <w:t>Biologische toestand: @@@</w:t>
      </w:r>
    </w:p>
    <w:p w:rsidR="00DE6391" w:rsidRDefault="00022B29">
      <w:pPr>
        <w:numPr>
          <w:ilvl w:val="0"/>
          <w:numId w:val="3"/>
        </w:numPr>
      </w:pPr>
      <w:r>
        <w:t>Sleutel Factor Toxiciteit: @@@</w:t>
      </w:r>
    </w:p>
    <w:p w:rsidR="00DE6391" w:rsidRDefault="00022B29">
      <w:pPr>
        <w:numPr>
          <w:ilvl w:val="0"/>
          <w:numId w:val="3"/>
        </w:numPr>
      </w:pPr>
      <w:r>
        <w:t>Opkomende stoffen: @@@</w:t>
      </w:r>
    </w:p>
    <w:p w:rsidR="00DE6391" w:rsidRDefault="00022B29">
      <w:pPr>
        <w:numPr>
          <w:ilvl w:val="0"/>
          <w:numId w:val="3"/>
        </w:numPr>
        <w:sectPr w:rsidR="00DE6391" w:rsidSect="00F37F3B">
          <w:headerReference w:type="default" r:id="rId20"/>
          <w:footerReference w:type="default" r:id="rId21"/>
          <w:pgSz w:w="11906" w:h="16838"/>
          <w:pgMar w:top="1418" w:right="1418" w:bottom="1418" w:left="1418" w:header="709" w:footer="0" w:gutter="0"/>
          <w:cols w:space="708"/>
          <w:formProt w:val="0"/>
          <w:docGrid w:linePitch="360"/>
        </w:sectPr>
      </w:pPr>
      <w:r>
        <w:t>Zuiveringsinspanning: @@@</w:t>
      </w:r>
    </w:p>
    <w:p w:rsidR="00DE6391" w:rsidRDefault="00022B29">
      <w:pPr>
        <w:pStyle w:val="Title"/>
        <w:rPr>
          <w:sz w:val="22"/>
          <w:szCs w:val="22"/>
        </w:rPr>
      </w:pPr>
      <w:bookmarkStart w:id="5" w:name="_Toc65147555"/>
      <w:r>
        <w:lastRenderedPageBreak/>
        <w:t>Samenvatting</w:t>
      </w:r>
      <w:bookmarkEnd w:id="5"/>
    </w:p>
    <w:p w:rsidR="00DE6391" w:rsidRDefault="00022B29">
      <w:r>
        <w:t xml:space="preserve">Deze </w:t>
      </w:r>
      <w:r>
        <w:t>Notitie beschrijft een manier voor het uitvoeren van een eenvoudige, intuïtieve diagnose van de oorzaken van een verminderde ecologische toestand. De beschreven diagnose kan ingezet worden naast de methodieken die door de toegepaste ecologie (ook) zijn ont</w:t>
      </w:r>
      <w:r>
        <w:t xml:space="preserve">wikkeld. Het uitvoeren van adequate diagnoses zijn nodig om goede maatregelen te treffen tegen de drukfactor(en) die de verminderde toestand veroorzaakt hebben. De eenvoudige diagnose is beschreven in het kader van een watersysteemanalyse volgens de Kader </w:t>
      </w:r>
      <w:r>
        <w:t>Richtlijn Water (KRW) en de watersysteemanalyse volgens de methodieken van de ecologische sleutelfactoren. In deze Notitie wordt specifieke aandacht besteed aan de diagnose van de effecten van chemische verontreiniging. Dat is complex, omdat er meer dan 17</w:t>
      </w:r>
      <w:r>
        <w:t>0.000 stoffen in de handel zijn in Europa, en er in watersystemen dus ook zeer diverse mengsels worden aangetroffen. Aanvullend op de voorgestelde, diagnosemethodiek wordt ook een manier voorgesteld om de resultaten samen te vatten en te presenteren. Daarb</w:t>
      </w:r>
      <w:r>
        <w:t>ij worden de resultaten per locatie samengevat in een ruimtelijk beeld, in de samenhang die bestaat in de hydrologische systeem. Een goede communicatie van diagnose-resultaten is nodig voor het afleiden van effectieve maatregelen. De voorgestelde presentat</w:t>
      </w:r>
      <w:r>
        <w:t>iewijze maakt via een kaartbeeld een aantal belangrijke resultaten inzichtelijk, namelijk de samengevatte resultaten van de analyses van (1) economische activiteiten (de emissiebronnen) en de stoffen die daarbij vrijkomen, (2) de ecologische toestand en de</w:t>
      </w:r>
      <w:r>
        <w:t xml:space="preserve"> diagnose van de drukfactoren die mogelijk een oorzaak zijn van een verlaagde toestand en (3) de mogelijke maatregelen die genomen kunnen worden.</w:t>
      </w:r>
    </w:p>
    <w:p w:rsidR="00DE6391" w:rsidRDefault="00DE6391"/>
    <w:p w:rsidR="00DE6391" w:rsidRDefault="00022B29">
      <w:pPr>
        <w:sectPr w:rsidR="00DE6391" w:rsidSect="00F37F3B">
          <w:headerReference w:type="default" r:id="rId22"/>
          <w:footerReference w:type="default" r:id="rId23"/>
          <w:pgSz w:w="11906" w:h="16838"/>
          <w:pgMar w:top="1418" w:right="1418" w:bottom="1418" w:left="1418" w:header="709" w:footer="0" w:gutter="0"/>
          <w:cols w:space="708"/>
          <w:formProt w:val="0"/>
          <w:docGrid w:linePitch="360"/>
        </w:sectPr>
      </w:pPr>
      <w:r>
        <w:t>Noot: o</w:t>
      </w:r>
      <w:r>
        <w:t>mdat de sleutelfactor toxiciteit geactualiseerd wordt, en ook de kennis voor deze Notitie toeneemt, kan deze Notitie in de toekomst geactualiseerd/verbeterd worden.</w:t>
      </w:r>
    </w:p>
    <w:p w:rsidR="00DE6391" w:rsidRDefault="00022B29">
      <w:pPr>
        <w:pStyle w:val="Title"/>
        <w:rPr>
          <w:sz w:val="22"/>
          <w:szCs w:val="22"/>
        </w:rPr>
      </w:pPr>
      <w:bookmarkStart w:id="6" w:name="_Toc65147556"/>
      <w:r>
        <w:lastRenderedPageBreak/>
        <w:t>Gerelateerde documenten</w:t>
      </w:r>
      <w:bookmarkEnd w:id="6"/>
    </w:p>
    <w:p w:rsidR="00DE6391" w:rsidRDefault="00022B29">
      <w:r>
        <w:t>De sleutelfactor toxiciteit bestaat uit een aantal onderdelen, aang</w:t>
      </w:r>
      <w:r>
        <w:t>eduid als modules. De Startmodule wordt ingezet bij aanvang van een watersysteemanalyse en is bedoeld om de waterbeheerders te assisteren bij het beoordelen van de vragen of en hoe de sleutelfactor toxiciteit moet worden ingezet.</w:t>
      </w:r>
    </w:p>
    <w:p w:rsidR="00DE6391" w:rsidRDefault="00DE6391"/>
    <w:p w:rsidR="00DE6391" w:rsidRDefault="00022B29">
      <w:r>
        <w:t>Deze Notitie geeft binnen</w:t>
      </w:r>
      <w:r>
        <w:t xml:space="preserve"> een antwoord op de vraag hoe waterbeheerders de effecten van drukfactoren in watersystemen kunnen diagnosticeren. Om deze vraag te kunnen beantwoorden bestaat sleutelfactor Toxiciteit uit een aantal onderdelen. Wat betreft de Startmodule zijn die onderdel</w:t>
      </w:r>
      <w:r>
        <w:t>en::</w:t>
      </w:r>
    </w:p>
    <w:p w:rsidR="00DE6391" w:rsidRDefault="00022B29">
      <w:pPr>
        <w:numPr>
          <w:ilvl w:val="0"/>
          <w:numId w:val="3"/>
        </w:numPr>
      </w:pPr>
      <w:r>
        <w:t>Een antwoord op de vraag of chemische verontreinigingen effecten hebben (met als antwoord: ja; @@@</w:t>
      </w:r>
    </w:p>
    <w:p w:rsidR="00DE6391" w:rsidRDefault="00022B29">
      <w:pPr>
        <w:numPr>
          <w:ilvl w:val="0"/>
          <w:numId w:val="3"/>
        </w:numPr>
      </w:pPr>
      <w:r>
        <w:t>Het aanbieden van een helder beoordelingskader voor drukfactoren en effecten. Dat bestaat uit de DPSIR-causale analyse</w:t>
      </w:r>
      <w:r>
        <w:rPr>
          <w:rStyle w:val="Voetnootanker"/>
          <w:sz w:val="18"/>
        </w:rPr>
        <w:footnoteReference w:id="3"/>
      </w:r>
      <w:r>
        <w:t>, die beschreven staat in een and</w:t>
      </w:r>
      <w:r>
        <w:t xml:space="preserve">ere KIWK-Tox Notitie  </w:t>
      </w:r>
      <w:r>
        <w:fldChar w:fldCharType="begin"/>
      </w:r>
      <w:r>
        <w:instrText>ADDIN EN.CITE &lt;EndNote&gt;&lt;Cite&gt;&lt;Author&gt;KIWK-Tox WP2&lt;/Author&gt;&lt;Year&gt;2020&lt;/Year&gt;&lt;RecNum&gt;10630&lt;/RecNum&gt;&lt;DisplayText&gt;(KIWK-Tox WP2, 2020c)&lt;/DisplayText&gt;&lt;record&gt;&lt;rec-number&gt;10630&lt;/rec-number&gt;&lt;foreign-keys&gt;&lt;key app="EN" db-id="9vew0e5rcppvxrez</w:instrText>
      </w:r>
      <w:r>
        <w:instrText>et3vref0tpxfwzzf9f0s" timestamp="1583327639"&gt;10630&lt;/key&gt;&lt;/foreign-keys&gt;&lt;ref-type name="Report"&gt;27&lt;/ref-type&gt;&lt;contributors&gt;&lt;authors&gt;&lt;author&gt;KIWK-Tox WP2,&lt;/author&gt;&lt;/authors&gt;&lt;/contributors&gt;&lt;titles&gt;&lt;title&gt;Notitie Kennis Impuls WaterKwaliteit - Toxiciteit: &amp;quo</w:instrText>
      </w:r>
      <w:r>
        <w:instrText>t; Diagnose en communicatie van ESFT-resultaten&amp;quot;&lt;/title&gt;&lt;/titles&gt;&lt;dates&gt;&lt;year&gt;2020&lt;/year&gt;&lt;/dates&gt;&lt;publisher&gt;STOWA, Amsersfoort&lt;/publisher&gt;&lt;urls&gt;&lt;/urls&gt;&lt;/record&gt;&lt;/Cite&gt;&lt;/EndNote&gt;</w:instrText>
      </w:r>
      <w:r>
        <w:fldChar w:fldCharType="separate"/>
      </w:r>
      <w:r>
        <w:t>(KIWK-Tox WP2, 2020c</w:t>
      </w:r>
      <w:r>
        <w:fldChar w:fldCharType="end"/>
      </w:r>
      <w:r>
        <w:t>)</w:t>
      </w:r>
    </w:p>
    <w:p w:rsidR="00DE6391" w:rsidRDefault="00022B29">
      <w:pPr>
        <w:numPr>
          <w:ilvl w:val="0"/>
          <w:numId w:val="3"/>
        </w:numPr>
      </w:pPr>
      <w:r>
        <w:t>Een beschrijving van de mogelijkheden voor het ne</w:t>
      </w:r>
      <w:r>
        <w:t xml:space="preserve">men van maatregelen tegen chemische verontreiniging </w:t>
      </w:r>
      <w:r>
        <w:fldChar w:fldCharType="begin"/>
      </w:r>
      <w:r>
        <w:instrText>ADDIN EN.CITE &lt;EndNote&gt;&lt;Cite&gt;&lt;Author&gt;KIWK-Tox WP2&lt;/Author&gt;&lt;Year&gt;2020&lt;/Year&gt;&lt;RecNum&gt;10674&lt;/RecNum&gt;&lt;DisplayText&gt;(KIWK-Tox WP2, 2020d)&lt;/DisplayText&gt;&lt;record&gt;&lt;rec-number&gt;10674&lt;/rec-number&gt;&lt;foreign-keys&gt;&lt;key ap</w:instrText>
      </w:r>
      <w:r>
        <w:instrText>p="EN" db-id="9vew0e5rcppvxrezet3vref0tpxfwzzf9f0s" timestamp="1585650351"&gt;10674&lt;/key&gt;&lt;/foreign-keys&gt;&lt;ref-type name="Report"&gt;27&lt;/ref-type&gt;&lt;contributors&gt;&lt;authors&gt;&lt;author&gt;KIWK-Tox WP2,&lt;/author&gt;&lt;/authors&gt;&lt;/contributors&gt;&lt;titles&gt;&lt;title&gt;Notitie Kennis Impuls Wat</w:instrText>
      </w:r>
      <w:r>
        <w:instrText>erKwaliteit - Toxiciteit: &amp;quot;Startmodule - strategie voor het afleiden van maatregelen&amp;quot;&lt;/title&gt;&lt;/titles&gt;&lt;dates&gt;&lt;year&gt;2020&lt;/year&gt;&lt;/dates&gt;&lt;publisher&gt;STOWA, Amsersfoort&lt;/publisher&gt;&lt;urls&gt;&lt;/urls&gt;&lt;/record&gt;&lt;/Cite&gt;&lt;/EndNote&gt;</w:instrText>
      </w:r>
      <w:r>
        <w:fldChar w:fldCharType="separate"/>
      </w:r>
      <w:r>
        <w:t>(KIWK-Tox WP2, 2020d</w:t>
      </w:r>
      <w:r>
        <w:fldChar w:fldCharType="end"/>
      </w:r>
      <w:r>
        <w:t>), bestaa</w:t>
      </w:r>
      <w:r>
        <w:t>nde uit een methodiek en een opzoektabel met maatregelen die andere waterbeheerders gerapporteerd hebben. Beide dienen ter inspiratie om het complexe probleem van chemische verontreiniging aan te kunnen pakken.</w:t>
      </w:r>
    </w:p>
    <w:p w:rsidR="00DE6391" w:rsidRDefault="00022B29">
      <w:r>
        <w:t xml:space="preserve">Verder kan de waterbeheerder via monitoring </w:t>
      </w:r>
      <w:r>
        <w:t>additionele gegvens verzamelen voor de diagnose, namelijk via:</w:t>
      </w:r>
    </w:p>
    <w:p w:rsidR="00DE6391" w:rsidRDefault="00022B29">
      <w:pPr>
        <w:numPr>
          <w:ilvl w:val="0"/>
          <w:numId w:val="3"/>
        </w:numPr>
      </w:pPr>
      <w:r>
        <w:t xml:space="preserve">Diagnose van de aard en omvang van de chemische verontreiniging met het Chemie-spoor </w:t>
      </w:r>
      <w:r>
        <w:fldChar w:fldCharType="begin"/>
      </w:r>
      <w:r>
        <w:instrText>ADDIN EN.CITE &lt;EndNote&gt;&lt;Cite&gt;&lt;Author&gt;KIWK-Tox WP3&lt;/Author&gt;&lt;Year&gt;2020&lt;/Year&gt;&lt;RecNum&gt;10650&lt;/RecNum&gt;&lt;DisplayTex</w:instrText>
      </w:r>
      <w:r>
        <w:instrText>t&gt;(KIWK-Tox WP3, 2020)&lt;/DisplayText&gt;&lt;record&gt;&lt;rec-number&gt;10650&lt;/rec-number&gt;&lt;foreign-keys&gt;&lt;key app="EN" db-id="9vew0e5rcppvxrezet3vref0tpxfwzzf9f0s" timestamp="1584443492"&gt;10650&lt;/key&gt;&lt;/foreign-keys&gt;&lt;ref-type name="Report"&gt;27&lt;/ref-type&gt;&lt;contributors&gt;&lt;authors&gt;</w:instrText>
      </w:r>
      <w:r>
        <w:instrText>&lt;author&gt;KIWK-Tox WP3,&lt;/author&gt;&lt;/authors&gt;&lt;/contributors&gt;&lt;titles&gt;&lt;title&gt;Notitie Kennis Impuls WaterKwaliteit - Toxiciteit:&amp;quot;Chemie-spoor&amp;quot; ESFT2&lt;/title&gt;&lt;/titles&gt;&lt;dates&gt;&lt;year&gt;2020&lt;/year&gt;&lt;/dates&gt;&lt;publisher&gt;STOWA, Amsersfoort&lt;/publisher&gt;&lt;urls&gt;&lt;/urls&gt;&lt;/r</w:instrText>
      </w:r>
      <w:r>
        <w:instrText>ecord&gt;&lt;/Cite&gt;&lt;/EndNote&gt;</w:instrText>
      </w:r>
      <w:r>
        <w:fldChar w:fldCharType="separate"/>
      </w:r>
      <w:r>
        <w:t>(KIWK-Tox WP3, 2020</w:t>
      </w:r>
      <w:r>
        <w:fldChar w:fldCharType="end"/>
      </w:r>
      <w:r>
        <w:t>)</w:t>
      </w:r>
    </w:p>
    <w:p w:rsidR="00DE6391" w:rsidRDefault="00022B29">
      <w:pPr>
        <w:numPr>
          <w:ilvl w:val="0"/>
          <w:numId w:val="3"/>
        </w:numPr>
      </w:pPr>
      <w:r>
        <w:t xml:space="preserve">Idem met het Toxicologie-spoor </w:t>
      </w:r>
      <w:r>
        <w:fldChar w:fldCharType="begin"/>
      </w:r>
      <w:r>
        <w:instrText>ADDIN EN.CITE &lt;EndNote&gt;&lt;Cite&gt;&lt;Author&gt;KIWK-Tox WP4&lt;/Author&gt;&lt;Year&gt;2020&lt;/Year&gt;&lt;RecNum&gt;10670&lt;/RecNum&gt;&lt;DisplayText&gt;(KIWK-Tox WP4, 2020)&lt;/DisplayText&gt;&lt;record&gt;&lt;rec-number&gt;10670&lt;/rec-num</w:instrText>
      </w:r>
      <w:r>
        <w:instrText>ber&gt;&lt;foreign-keys&gt;&lt;key app="EN" db-id="9vew0e5rcppvxrezet3vref0tpxfwzzf9f0s" timestamp="1585569244"&gt;10670&lt;/key&gt;&lt;/foreign-keys&gt;&lt;ref-type name="Report"&gt;27&lt;/ref-type&gt;&lt;contributors&gt;&lt;authors&gt;&lt;author&gt;KIWK-Tox WP4,&lt;/author&gt;&lt;/authors&gt;&lt;/contributors&gt;&lt;titles&gt;&lt;title&gt;</w:instrText>
      </w:r>
      <w:r>
        <w:instrText>Notitie Kennis Impuls WaterKwaliteit - Toxiciteit: &amp;quot;Toxicologie-spoor&amp;quot; ESFT2&lt;/title&gt;&lt;/titles&gt;&lt;dates&gt;&lt;year&gt;2020&lt;/year&gt;&lt;/dates&gt;&lt;publisher&gt;STOWA, Amsersfoort&lt;/publisher&gt;&lt;urls&gt;&lt;/urls&gt;&lt;/record&gt;&lt;/Cite&gt;&lt;/EndNote&gt;</w:instrText>
      </w:r>
      <w:r>
        <w:fldChar w:fldCharType="separate"/>
      </w:r>
      <w:r>
        <w:t>(KIWK-Tox WP4, 2020</w:t>
      </w:r>
      <w:r>
        <w:fldChar w:fldCharType="end"/>
      </w:r>
      <w:r>
        <w:t>)</w:t>
      </w:r>
    </w:p>
    <w:p w:rsidR="00DE6391" w:rsidRDefault="00022B29">
      <w:r>
        <w:t xml:space="preserve">De interpretatie </w:t>
      </w:r>
      <w:r>
        <w:t xml:space="preserve">van de gegevens van beide sporen wordt ondersteund door het classificeren van de mate van chemische verontreiniging in vijf klassen, die gecalibreerd zijn op daadwerkelijke effecten en de ecologische toestandsklassen </w:t>
      </w:r>
      <w:r>
        <w:fldChar w:fldCharType="begin"/>
      </w:r>
      <w:r>
        <w:instrText>ADDIN EN.CITE &lt;EndNote&gt;&lt;Cite&gt;&lt;Author&gt;KI</w:instrText>
      </w:r>
      <w:r>
        <w:instrText>WK-Tox WP5&lt;/Author&gt;&lt;Year&gt;2020&lt;/Year&gt;&lt;RecNum&gt;10651&lt;/RecNum&gt;&lt;DisplayText&gt;(KIWK-Tox WP5, 2020)&lt;/DisplayText&gt;&lt;record&gt;&lt;rec-number&gt;10651&lt;/rec-number&gt;&lt;foreign-keys&gt;&lt;key app="EN" db-id="9vew0e5rcppvxrezet3vref0tpxfwzzf9f0s" timestamp="1584443584"&gt;10651&lt;/key&gt;&lt;/fore</w:instrText>
      </w:r>
      <w:r>
        <w:instrText>ign-keys&gt;&lt;ref-type name="Report"&gt;27&lt;/ref-type&gt;&lt;contributors&gt;&lt;authors&gt;&lt;author&gt;KIWK-Tox WP5,&lt;/author&gt;&lt;/authors&gt;&lt;/contributors&gt;&lt;titles&gt;&lt;title&gt;Notitie Notitie Kennis Impuls WaterKwaliteit - Toxiciteit: &amp;quot;Calibratie en interpretatie&amp;quot;WP5@@@&lt;/title&gt;&lt;/tit</w:instrText>
      </w:r>
      <w:r>
        <w:instrText>les&gt;&lt;dates&gt;&lt;year&gt;2020&lt;/year&gt;&lt;/dates&gt;&lt;publisher&gt;STOWA, Amsersfoort&lt;/publisher&gt;&lt;urls&gt;&lt;/urls&gt;&lt;/record&gt;&lt;/Cite&gt;&lt;/EndNote&gt;</w:instrText>
      </w:r>
      <w:r>
        <w:fldChar w:fldCharType="separate"/>
      </w:r>
      <w:r>
        <w:t>(KIWK-Tox WP5, 2020</w:t>
      </w:r>
      <w:r>
        <w:fldChar w:fldCharType="end"/>
      </w:r>
      <w:r>
        <w:t>).</w:t>
      </w:r>
    </w:p>
    <w:p w:rsidR="00DE6391" w:rsidRDefault="00DE6391"/>
    <w:p w:rsidR="00DE6391" w:rsidRDefault="00022B29">
      <w:r>
        <w:t>De recente kennis die in het EU-project SOLUTIONS verzameld is wordt voor waterbeheerders en beleidstoepassingen s</w:t>
      </w:r>
      <w:r>
        <w:t xml:space="preserve">amengevat in een serie </w:t>
      </w:r>
      <w:r>
        <w:rPr>
          <w:i/>
        </w:rPr>
        <w:t>Policy Briefs</w:t>
      </w:r>
      <w:r>
        <w:t xml:space="preserve">, beschikbaar via de link: </w:t>
      </w:r>
      <w:hyperlink r:id="rId24">
        <w:r>
          <w:rPr>
            <w:rStyle w:val="Internetkoppeling"/>
            <w:sz w:val="18"/>
          </w:rPr>
          <w:t>https://www.springeropen.com/collections/solutions</w:t>
        </w:r>
      </w:hyperlink>
      <w:r>
        <w:t xml:space="preserve">. </w:t>
      </w:r>
    </w:p>
    <w:p w:rsidR="00DE6391" w:rsidRDefault="00DE6391"/>
    <w:p w:rsidR="00DE6391" w:rsidRDefault="00DE6391"/>
    <w:p w:rsidR="00DE6391" w:rsidRDefault="00022B29">
      <w:pPr>
        <w:pStyle w:val="Heading1"/>
        <w:numPr>
          <w:ilvl w:val="0"/>
          <w:numId w:val="2"/>
        </w:numPr>
        <w:rPr>
          <w:sz w:val="22"/>
          <w:szCs w:val="22"/>
        </w:rPr>
      </w:pPr>
      <w:bookmarkStart w:id="7" w:name="_Toc65147557"/>
      <w:r>
        <w:lastRenderedPageBreak/>
        <w:t>Inleiding</w:t>
      </w:r>
      <w:bookmarkEnd w:id="7"/>
    </w:p>
    <w:p w:rsidR="00DE6391" w:rsidRDefault="00022B29">
      <w:pPr>
        <w:pStyle w:val="Heading2"/>
        <w:numPr>
          <w:ilvl w:val="1"/>
          <w:numId w:val="2"/>
        </w:numPr>
        <w:rPr>
          <w:sz w:val="22"/>
          <w:szCs w:val="22"/>
        </w:rPr>
      </w:pPr>
      <w:bookmarkStart w:id="8" w:name="_Toc65147558"/>
      <w:r>
        <w:t>Classificatie van de waterkwaliteit in de KRW</w:t>
      </w:r>
      <w:bookmarkEnd w:id="8"/>
    </w:p>
    <w:p w:rsidR="00DE6391" w:rsidRDefault="00022B29">
      <w:r>
        <w:t>De Kaderrichtlijn Water (KRW) is actiegericht: als de waterkwaliteit bedreigd wordt door voorgenomen menselijke activiteiten, of als de waterkwaliteit minder is dan ‘goed’, moeten waterbeheerders maatregelen nemen die de waterkwaliteit beschermen of de eff</w:t>
      </w:r>
      <w:r>
        <w:t>ecten die al bestaan teniet doen. Voor de KRW zijn krachtige concepten ontwikkeld om deze actiegerichtheid vorm te geven, zoals de manier om voor alle watertypen, zoals sloten, meren, kanalen en rivieren, een maatlatsysteem af te leiden dat overal, en voor</w:t>
      </w:r>
      <w:r>
        <w:t xml:space="preserve"> elke soortgroep, eenzelfde betekenis heeft. De maatlatten geven onder meer aan of er effecten (van bekende of onbekende drukfactoren) aanwezig zijn, en of de waterbeheerder maatregelen moet nemen om de effecten teniet te doen. Er zijn via internationale a</w:t>
      </w:r>
      <w:r>
        <w:t>fstemming zelfs meer dan 300 ecologische indicatorsystemen verwerkt tot een eenduidige classificatie van de ecologische toestand. De zogenoemde ‘inter-calibratie’ inspanning heeft geleid tot de classificatie van de ecologische toestand over geheel Europa i</w:t>
      </w:r>
      <w:r>
        <w:t xml:space="preserve">n de klassen hoog, goed, ontoereikend, matig en slecht </w:t>
      </w:r>
      <w:r>
        <w:fldChar w:fldCharType="begin"/>
      </w:r>
      <w:r>
        <w:instrText>ADDIN EN.CITE &lt;EndNote&gt;&lt;Cite&gt;&lt;Author&gt;Birk&lt;/Author&gt;&lt;Year&gt;2012&lt;/Year&gt;&lt;RecNum&gt;7618&lt;/RecNum&gt;&lt;DisplayText&gt;(Birk et al., 2012)&lt;/DisplayText&gt;&lt;record&gt;&lt;rec-number&gt;7618&lt;/rec-number&gt;&lt;foreign-keys&gt;&lt;key app="EN" db</w:instrText>
      </w:r>
      <w:r>
        <w:instrText>-id="9vew0e5rcppvxrezet3vref0tpxfwzzf9f0s" timestamp="1456139343"&gt;7618&lt;/key&gt;&lt;/foreign-keys&gt;&lt;ref-type name="Journal Article"&gt;17&lt;/ref-type&gt;&lt;contributors&gt;&lt;authors&gt;&lt;author&gt;Birk, Sebastian&lt;/author&gt;&lt;author&gt;Bonne, Wendy&lt;/author&gt;&lt;author&gt;Borja, Angel&lt;/author&gt;&lt;autho</w:instrText>
      </w:r>
      <w:r>
        <w:instrText>r&gt;Brucet, Sandra&lt;/author&gt;&lt;author&gt;Courrat, Anne&lt;/author&gt;&lt;author&gt;Poikane, Sandra&lt;/author&gt;&lt;author&gt;Solimini, Angelo&lt;/author&gt;&lt;author&gt;van de Bund, Wouter&lt;/author&gt;&lt;author&gt;Zampoukas, Nikolaos&lt;/author&gt;&lt;author&gt;Hering, Daniel&lt;/author&gt;&lt;/authors&gt;&lt;/contributors&gt;&lt;titles&gt;</w:instrText>
      </w:r>
      <w:r>
        <w:instrText>&lt;title&gt;Three hundred ways to assess Europe&amp;apos;s surface waters: An almost complete overview of biological methods to implement the Water Framework Directive&lt;/title&gt;&lt;secondary-title&gt;Ecological Indicators&lt;/secondary-title&gt;&lt;/titles&gt;&lt;periodical&gt;&lt;full-title&gt;E</w:instrText>
      </w:r>
      <w:r>
        <w:instrText>cological Indicators&lt;/full-title&gt;&lt;/periodical&gt;&lt;pages&gt;31-41&lt;/pages&gt;&lt;volume&gt;18&lt;/volume&gt;&lt;keywords&gt;&lt;keyword&gt;Bioassessment&lt;/keyword&gt;&lt;keyword&gt;Ecological status boundaries&lt;/keyword&gt;&lt;keyword&gt;Biological metric&lt;/keyword&gt;&lt;keyword&gt;Pressure-impact relationship&lt;/keyword</w:instrText>
      </w:r>
      <w:r>
        <w:instrText>&gt;&lt;keyword&gt;Taxonomic resolution&lt;/keyword&gt;&lt;keyword&gt;Sampling precision and representativeness&lt;/keyword&gt;&lt;/keywords&gt;&lt;dates&gt;&lt;year&gt;2012&lt;/year&gt;&lt;pub-dates&gt;&lt;date&gt;7//&lt;/date&gt;&lt;/pub-dates&gt;&lt;/dates&gt;&lt;isbn&gt;1470-160X&lt;/isbn&gt;&lt;urls&gt;&lt;related-urls&gt;&lt;url&gt;&lt;style face="underline" fon</w:instrText>
      </w:r>
      <w:r>
        <w:instrText>t="default" size="100%"&gt;http://www.sciencedirect.com/science/article/pii/S1470160X11003505&lt;/style&gt;&lt;/url&gt;&lt;/related-urls&gt;&lt;/urls&gt;&lt;electronic-resource-num&gt;&lt;style face="underline" font="default" size="100%"&gt;http://dx.doi.org/10.1016/j.ecolind.2011.10.009&lt;/style</w:instrText>
      </w:r>
      <w:r>
        <w:instrText>&gt;&lt;/electronic-resource-num&gt;&lt;/record&gt;&lt;/Cite&gt;&lt;/EndNote&gt;</w:instrText>
      </w:r>
      <w:r>
        <w:fldChar w:fldCharType="separate"/>
      </w:r>
      <w:r>
        <w:t>(Birk et al., 2012</w:t>
      </w:r>
      <w:r>
        <w:fldChar w:fldCharType="end"/>
      </w:r>
      <w:r>
        <w:t>). Deze classificatie wordt toegepast op monitoringdata en signaleert of er maatregelen nodig zijn voor herstel van goede waterkwaliteit (bij de klassen ontoereikend, matig en slecht</w:t>
      </w:r>
      <w:r>
        <w:t xml:space="preserve">). </w:t>
      </w:r>
    </w:p>
    <w:p w:rsidR="00DE6391" w:rsidRDefault="00DE6391"/>
    <w:p w:rsidR="00DE6391" w:rsidRDefault="00022B29">
      <w:r>
        <w:t>Voor chemische stoffen bestaat de classificatie uit een indeling in ‘voldoet’ en ‘voldoet niet’, wat getoetst wordt aan de hand van Milieu Kwaliteits Normen (MKN). De recente ‘fitness check’ van de KRW heeft geconcludeerd dat de chemische verontreinig</w:t>
      </w:r>
      <w:r>
        <w:t xml:space="preserve">ing met betere manieren beoordeeld en aangepakt zou moeten worden </w:t>
      </w:r>
      <w:r>
        <w:fldChar w:fldCharType="begin"/>
      </w:r>
      <w:r>
        <w:instrText xml:space="preserve">ADDIN EN.CITE &lt;EndNote&gt;&lt;Cite&gt;&lt;Author&gt;EC&lt;/Author&gt;&lt;Year&gt;2019&lt;/Year&gt;&lt;RecNum&gt;10588&lt;/RecNum&gt;&lt;DisplayText&gt;(EC, 2019)&lt;/DisplayText&gt;&lt;record&gt;&lt;rec-number&gt;10588&lt;/rec-number&gt;&lt;foreign-keys&gt;&lt;key app="EN" </w:instrText>
      </w:r>
      <w:r>
        <w:instrText>db-id="9vew0e5rcppvxrezet3vref0tpxfwzzf9f0s" timestamp="1581087667"&gt;10588&lt;/key&gt;&lt;/foreign-keys&gt;&lt;ref-type name="Report"&gt;27&lt;/ref-type&gt;&lt;contributors&gt;&lt;authors&gt;&lt;author&gt;EC,&lt;/author&gt;&lt;/authors&gt;&lt;/contributors&gt;&lt;titles&gt;&lt;title&gt;Fitness check of the Water Framework Direc</w:instrText>
      </w:r>
      <w:r>
        <w:instrText>tive, Groundwater Directive, Environmental Quality Standards Directive and Floods Directive https://ec.europa.eu/environment/water/fitness_check_of_the_eu_water_legislation/documents/Water%20Fitness%20Check%20-%20SWD(2019)439%20-%20web.pdf&lt;/title&gt;&lt;/titles&gt;</w:instrText>
      </w:r>
      <w:r>
        <w:instrText>&lt;pages&gt;1-176&lt;/pages&gt;&lt;dates&gt;&lt;year&gt;2019&lt;/year&gt;&lt;/dates&gt;&lt;urls&gt;&lt;/urls&gt;&lt;/record&gt;&lt;/Cite&gt;&lt;/EndNote&gt;</w:instrText>
      </w:r>
      <w:r>
        <w:fldChar w:fldCharType="separate"/>
      </w:r>
      <w:r>
        <w:t>(EC, 2019</w:t>
      </w:r>
      <w:r>
        <w:fldChar w:fldCharType="end"/>
      </w:r>
      <w:r>
        <w:t>). De huidige classificatie maakt zichtbaar of chemische verontreiniging een probleem is. Dat wordt geconstateerd als er tenminste één van de stoffen die</w:t>
      </w:r>
      <w:r>
        <w:t xml:space="preserve"> beoordeeld wordt aanwezig is in een concentratie boven de norm van die stof. In dat geval is er namelijk sprake van onvoldoende bescherming, met mogelijke effecten op de mens, of op ecosystemen via directe effecten op eindpunten zoals groei en reproductie</w:t>
      </w:r>
      <w:r>
        <w:t xml:space="preserve"> dan wel via doorvergiftiging. Het woord “mogelijk” is toegevoegd, omdat een norm niet alleen gebaseerd is op kennis over effecten op de drie eindpunten maar ook op onzekerheid: hoe minder gegevens, hoe hoger de onzekerheid en hoe lager de norm. Deze class</w:t>
      </w:r>
      <w:r>
        <w:t>ificatie van de chemische toestand wordt momenteel toegepast voor 45 prioritaire stoffen die op Europees niveau van belang zijn</w:t>
      </w:r>
      <w:r>
        <w:rPr>
          <w:rStyle w:val="Voetnootanker"/>
        </w:rPr>
        <w:footnoteReference w:id="4"/>
      </w:r>
      <w:r>
        <w:t xml:space="preserve">, en </w:t>
      </w:r>
      <w:r>
        <w:rPr>
          <w:rFonts w:ascii="Symbol" w:eastAsia="Symbol" w:hAnsi="Symbol" w:cs="Symbol"/>
        </w:rPr>
        <w:t></w:t>
      </w:r>
      <w:r>
        <w:t xml:space="preserve"> 100 stoffen die specifiek zijn voor Nederland (voor de vier riviersystemen waarvan een deel van het stroomgebieden in Ned</w:t>
      </w:r>
      <w:r>
        <w:t>erland ligt)</w:t>
      </w:r>
      <w:r>
        <w:rPr>
          <w:rStyle w:val="Voetnootanker"/>
        </w:rPr>
        <w:footnoteReference w:id="5"/>
      </w:r>
      <w:r>
        <w:t>.</w:t>
      </w:r>
    </w:p>
    <w:p w:rsidR="00DE6391" w:rsidRDefault="00DE6391"/>
    <w:p w:rsidR="00DE6391" w:rsidRDefault="00022B29">
      <w:r>
        <w:t xml:space="preserve">De classificatiemethodieken van de KRW zijn samengevat in </w:t>
      </w:r>
      <w:r>
        <w:fldChar w:fldCharType="begin"/>
      </w:r>
      <w:r>
        <w:instrText>REF _Ref31025731 \h</w:instrText>
      </w:r>
      <w:r>
        <w:fldChar w:fldCharType="separate"/>
      </w:r>
      <w:r>
        <w:t>Figuur 1</w:t>
      </w:r>
      <w:r>
        <w:fldChar w:fldCharType="end"/>
      </w:r>
      <w:r>
        <w:t>. Uiteindelijk wordt de waterkwaliteit geclassificeerd door het samenbrengen van de class</w:t>
      </w:r>
      <w:r>
        <w:t>ificaties voor verschillende biologische kwaliteitselementen (BKE) en de chemische kwaliteitselementen, waarbij de laagst-scorende uitvoer voor een kwaliteitselementen steeds doorgegeven wordt naar het integrale oordeel. Dit principe staat bekend als het “</w:t>
      </w:r>
      <w:r>
        <w:rPr>
          <w:i/>
          <w:iCs/>
        </w:rPr>
        <w:t>one out, all out</w:t>
      </w:r>
      <w:r>
        <w:t>” principe. Uiteindelijk betekent de toepassing van dit principe dat een waterbeheerder een signaal krijgt om maatregelen te nemen, totdat de laatste drukfactor is weggenomen, en de waterkwaliteit tenminste goed is. Dit in overeenstemming m</w:t>
      </w:r>
      <w:r>
        <w:t>et de doelen van de KRW om overal in Europa goede waterkwaliteit te behouden of te herstellen</w:t>
      </w:r>
      <w:r>
        <w:rPr>
          <w:rStyle w:val="Voetnootanker"/>
        </w:rPr>
        <w:footnoteReference w:id="6"/>
      </w:r>
      <w:r>
        <w:t>.</w:t>
      </w:r>
    </w:p>
    <w:p w:rsidR="00DE6391" w:rsidRDefault="00DE6391"/>
    <w:p w:rsidR="00DE6391" w:rsidRDefault="00022B29">
      <w:r>
        <w:t>De classificatie is gebaseerd op een groot aantal gegevens. Die worden samengevat in de vijf klassen van de ecologische toestand, en de twee klassen voor chemi</w:t>
      </w:r>
      <w:r>
        <w:t xml:space="preserve">sche verontreinigingen. In </w:t>
      </w:r>
      <w:r>
        <w:fldChar w:fldCharType="begin"/>
      </w:r>
      <w:r>
        <w:instrText>REF _Ref31025932 \h</w:instrText>
      </w:r>
      <w:r>
        <w:fldChar w:fldCharType="separate"/>
      </w:r>
      <w:r>
        <w:t>Tabel 1</w:t>
      </w:r>
      <w:r>
        <w:fldChar w:fldCharType="end"/>
      </w:r>
      <w:r>
        <w:t xml:space="preserve"> worden de essenties van de definitie van de klassen genoemd (voor rivieren, meren, enz. zijn deze definities nog verder uitgewerkt in KR</w:t>
      </w:r>
      <w:r>
        <w:t>W-Bijlage V).</w:t>
      </w:r>
    </w:p>
    <w:p w:rsidR="00DE6391" w:rsidRDefault="00DE6391"/>
    <w:p w:rsidR="00DE6391" w:rsidRDefault="00022B29">
      <w:pPr>
        <w:pStyle w:val="Caption"/>
        <w:rPr>
          <w:rFonts w:ascii="Verdana" w:hAnsi="Verdana"/>
          <w:sz w:val="21"/>
          <w:szCs w:val="21"/>
        </w:rPr>
      </w:pPr>
      <w:bookmarkStart w:id="9" w:name="_Ref31025932"/>
      <w:r>
        <w:rPr>
          <w:noProof/>
          <w:lang w:eastAsia="nl-NL"/>
        </w:rPr>
        <w:drawing>
          <wp:anchor distT="0" distB="0" distL="114300" distR="114300" simplePos="0" relativeHeight="251670528" behindDoc="0" locked="0" layoutInCell="1" allowOverlap="1">
            <wp:simplePos x="0" y="0"/>
            <wp:positionH relativeFrom="margin">
              <wp:posOffset>13335</wp:posOffset>
            </wp:positionH>
            <wp:positionV relativeFrom="paragraph">
              <wp:posOffset>334645</wp:posOffset>
            </wp:positionV>
            <wp:extent cx="5759450" cy="2606040"/>
            <wp:effectExtent l="0" t="0" r="0"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25"/>
                    <a:srcRect l="5849" t="20975" r="11871" b="12802"/>
                    <a:stretch>
                      <a:fillRect/>
                    </a:stretch>
                  </pic:blipFill>
                  <pic:spPr bwMode="auto">
                    <a:xfrm>
                      <a:off x="0" y="0"/>
                      <a:ext cx="5759450" cy="2606040"/>
                    </a:xfrm>
                    <a:prstGeom prst="rect">
                      <a:avLst/>
                    </a:prstGeom>
                    <a:ln w="9525">
                      <a:solidFill>
                        <a:srgbClr val="000000"/>
                      </a:solidFill>
                    </a:ln>
                  </pic:spPr>
                </pic:pic>
              </a:graphicData>
            </a:graphic>
          </wp:anchor>
        </w:drawing>
      </w:r>
      <w:r>
        <w:t xml:space="preserve">Tabel </w:t>
      </w:r>
      <w:r>
        <w:fldChar w:fldCharType="begin"/>
      </w:r>
      <w:r>
        <w:instrText>SEQ Tabel \* ARABIC</w:instrText>
      </w:r>
      <w:r>
        <w:fldChar w:fldCharType="separate"/>
      </w:r>
      <w:r>
        <w:t>1</w:t>
      </w:r>
      <w:r>
        <w:fldChar w:fldCharType="end"/>
      </w:r>
      <w:bookmarkEnd w:id="9"/>
      <w:r>
        <w:t>. Overzicht van de letterlijke normatieve definities van de ecologische toestandsklassen (bron: KRW, 2000), bijlage V).</w:t>
      </w:r>
    </w:p>
    <w:p w:rsidR="00DE6391" w:rsidRDefault="00DE6391"/>
    <w:p w:rsidR="00DE6391" w:rsidRDefault="00022B29">
      <w:pPr>
        <w:pStyle w:val="Heading2"/>
        <w:numPr>
          <w:ilvl w:val="1"/>
          <w:numId w:val="2"/>
        </w:numPr>
        <w:rPr>
          <w:sz w:val="22"/>
          <w:szCs w:val="22"/>
        </w:rPr>
      </w:pPr>
      <w:bookmarkStart w:id="10" w:name="_Toc65147559"/>
      <w:r>
        <w:t>Van classificatie naar diagnose van de waterkwaliteit</w:t>
      </w:r>
      <w:bookmarkEnd w:id="10"/>
    </w:p>
    <w:p w:rsidR="00DE6391" w:rsidRDefault="00022B29">
      <w:pPr>
        <w:pStyle w:val="Heading3"/>
        <w:numPr>
          <w:ilvl w:val="2"/>
          <w:numId w:val="2"/>
        </w:numPr>
        <w:rPr>
          <w:sz w:val="22"/>
          <w:szCs w:val="22"/>
        </w:rPr>
      </w:pPr>
      <w:bookmarkStart w:id="11" w:name="_Toc65147560"/>
      <w:r>
        <w:t>De classificatie omkeren is de basis</w:t>
      </w:r>
      <w:r>
        <w:t xml:space="preserve"> voor diagnose</w:t>
      </w:r>
      <w:bookmarkEnd w:id="11"/>
    </w:p>
    <w:p w:rsidR="00DE6391" w:rsidRDefault="00022B29">
      <w:r>
        <w:t xml:space="preserve">De </w:t>
      </w:r>
      <w:r>
        <w:rPr>
          <w:u w:val="single"/>
        </w:rPr>
        <w:t>classificaties</w:t>
      </w:r>
      <w:r>
        <w:t xml:space="preserve"> van de ecologische en chemische toestand zijn echter niet hetzelfde als de </w:t>
      </w:r>
      <w:r>
        <w:rPr>
          <w:u w:val="single"/>
        </w:rPr>
        <w:t xml:space="preserve">diagnose </w:t>
      </w:r>
      <w:r>
        <w:t xml:space="preserve">van de oorzaak van eventuele verminderde waterkwaliteit. In </w:t>
      </w:r>
      <w:r>
        <w:fldChar w:fldCharType="begin"/>
      </w:r>
      <w:r>
        <w:instrText>REF _Ref31025731 \h</w:instrText>
      </w:r>
      <w:r>
        <w:fldChar w:fldCharType="separate"/>
      </w:r>
      <w:r>
        <w:t>Figuur 1</w:t>
      </w:r>
      <w:r>
        <w:fldChar w:fldCharType="end"/>
      </w:r>
      <w:r>
        <w:t xml:space="preserve"> verloopt de classificatie namelijk “van links naar rechts”: een grote hoeveelheid gegevens wordt samengevat in één eindoordeel, de waterkwaliteitsklasse. Vaak worden de gegevens van een watersysteemanalyse (een serie lokale classificaties) </w:t>
      </w:r>
      <w:r>
        <w:t xml:space="preserve">samengevat tot een taart-diagram, met de frequenties van elke klasse. Dat is nuttig, omdat maatregelen zouden moeten leiden tot verschuivingen naar hogere frequenties van de betere toestandsklassen. </w:t>
      </w:r>
    </w:p>
    <w:p w:rsidR="00DE6391" w:rsidRDefault="00DE6391"/>
    <w:p w:rsidR="00DE6391" w:rsidRDefault="00022B29">
      <w:r>
        <w:t>Een diagnose loopt echter andersom, “van rechts naar li</w:t>
      </w:r>
      <w:r>
        <w:t>nks”. Bij de sleutelfactor toxiciteit wordt de aandacht gericht op de diagnose van de effecten van chemische verontreiniging op de waterkwaliteit voor alle stoffen en hun mengsels, waarbij ook rekening gehouden wordt met andere drukfactoren. Als de ecologi</w:t>
      </w:r>
      <w:r>
        <w:t xml:space="preserve">sche toestand verminderd is, moet de diagnose inzichtelijk maken welke oorzaken daaraan mogelijk hebben bijgedragen. Daarbij moeten in principe </w:t>
      </w:r>
      <w:r>
        <w:rPr>
          <w:i/>
          <w:iCs/>
        </w:rPr>
        <w:t>alle drukfactoren</w:t>
      </w:r>
      <w:r>
        <w:t xml:space="preserve"> worden beschouwd, omdat elke drukfactor een oorzaak kan zijn van verminderde ecologische toest</w:t>
      </w:r>
      <w:r>
        <w:t>and.</w:t>
      </w:r>
    </w:p>
    <w:p w:rsidR="00DE6391" w:rsidRDefault="00022B29">
      <w:pPr>
        <w:rPr>
          <w:rFonts w:ascii="Verdana" w:hAnsi="Verdana"/>
          <w:sz w:val="21"/>
          <w:szCs w:val="21"/>
        </w:rPr>
      </w:pPr>
      <w:r>
        <w:rPr>
          <w:rFonts w:ascii="Verdana" w:hAnsi="Verdana"/>
          <w:noProof/>
          <w:sz w:val="21"/>
          <w:szCs w:val="21"/>
          <w:lang w:eastAsia="nl-NL"/>
        </w:rPr>
        <w:lastRenderedPageBreak/>
        <w:drawing>
          <wp:anchor distT="0" distB="0" distL="114300" distR="114300" simplePos="0" relativeHeight="251654144" behindDoc="0" locked="0" layoutInCell="1" allowOverlap="1">
            <wp:simplePos x="0" y="0"/>
            <wp:positionH relativeFrom="margin">
              <wp:posOffset>13335</wp:posOffset>
            </wp:positionH>
            <wp:positionV relativeFrom="paragraph">
              <wp:posOffset>97155</wp:posOffset>
            </wp:positionV>
            <wp:extent cx="4132580" cy="2844800"/>
            <wp:effectExtent l="0" t="0" r="0" b="0"/>
            <wp:wrapTopAndBottom/>
            <wp:docPr id="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pic:cNvPicPr>
                      <a:picLocks noChangeAspect="1" noChangeArrowheads="1"/>
                    </pic:cNvPicPr>
                  </pic:nvPicPr>
                  <pic:blipFill>
                    <a:blip r:embed="rId26"/>
                    <a:srcRect l="20274" t="15433" r="17153" b="7939"/>
                    <a:stretch>
                      <a:fillRect/>
                    </a:stretch>
                  </pic:blipFill>
                  <pic:spPr bwMode="auto">
                    <a:xfrm>
                      <a:off x="0" y="0"/>
                      <a:ext cx="4132580" cy="2844800"/>
                    </a:xfrm>
                    <a:prstGeom prst="rect">
                      <a:avLst/>
                    </a:prstGeom>
                  </pic:spPr>
                </pic:pic>
              </a:graphicData>
            </a:graphic>
          </wp:anchor>
        </w:drawing>
      </w:r>
    </w:p>
    <w:p w:rsidR="00DE6391" w:rsidRDefault="00022B29">
      <w:pPr>
        <w:pStyle w:val="Caption"/>
        <w:rPr>
          <w:sz w:val="22"/>
          <w:szCs w:val="22"/>
        </w:rPr>
      </w:pPr>
      <w:bookmarkStart w:id="12" w:name="_Ref31025731"/>
      <w:bookmarkStart w:id="13" w:name="_Ref61884029"/>
      <w:r>
        <w:t xml:space="preserve">Figuur </w:t>
      </w:r>
      <w:r>
        <w:fldChar w:fldCharType="begin"/>
      </w:r>
      <w:r>
        <w:instrText>SEQ Figuur \* ARABIC</w:instrText>
      </w:r>
      <w:r>
        <w:fldChar w:fldCharType="separate"/>
      </w:r>
      <w:r>
        <w:t>1</w:t>
      </w:r>
      <w:r>
        <w:fldChar w:fldCharType="end"/>
      </w:r>
      <w:bookmarkEnd w:id="12"/>
      <w:r>
        <w:t xml:space="preserve">. De KRW is actiegericht: zodra de ondergrens van de goede (chemische en/of ecologische) toestand is overschreden moet de waterbeheerder maatregelen afleiden die het waterlichaam in goede toestand. Als veranderend </w:t>
      </w:r>
      <w:r>
        <w:t>landgebruik kan leiden tot een dergelijke overschrijding, dan moeten maatregelen voorzien in het beschermen van de waterkwaliteit tegen deze achteruitgang.</w:t>
      </w:r>
      <w:bookmarkEnd w:id="13"/>
      <w:r>
        <w:t xml:space="preserve">  </w:t>
      </w:r>
    </w:p>
    <w:p w:rsidR="00DE6391" w:rsidRDefault="00DE6391"/>
    <w:p w:rsidR="00DE6391" w:rsidRDefault="00022B29">
      <w:pPr>
        <w:pStyle w:val="Heading3"/>
        <w:numPr>
          <w:ilvl w:val="2"/>
          <w:numId w:val="2"/>
        </w:numPr>
        <w:rPr>
          <w:sz w:val="22"/>
          <w:szCs w:val="22"/>
        </w:rPr>
      </w:pPr>
      <w:bookmarkStart w:id="14" w:name="_Toc65147561"/>
      <w:r>
        <w:t>De chemische en ecologische toestand worden gekoppeld</w:t>
      </w:r>
      <w:bookmarkEnd w:id="14"/>
    </w:p>
    <w:p w:rsidR="00DE6391" w:rsidRDefault="00022B29">
      <w:r>
        <w:t>Vaak worden bij de communicatie en de analy</w:t>
      </w:r>
      <w:r>
        <w:t xml:space="preserve">se van de uitkomsten van een waterkwaliteits-analyse volgens de KRW momenteel twee uitslagen apart gepresenteerd: </w:t>
      </w:r>
    </w:p>
    <w:p w:rsidR="00DE6391" w:rsidRDefault="00022B29">
      <w:pPr>
        <w:numPr>
          <w:ilvl w:val="0"/>
          <w:numId w:val="3"/>
        </w:numPr>
      </w:pPr>
      <w:r>
        <w:t>de chemische toestand;</w:t>
      </w:r>
    </w:p>
    <w:p w:rsidR="00DE6391" w:rsidRDefault="00022B29">
      <w:pPr>
        <w:numPr>
          <w:ilvl w:val="0"/>
          <w:numId w:val="3"/>
        </w:numPr>
      </w:pPr>
      <w:r>
        <w:t xml:space="preserve">de ecologische toestand. </w:t>
      </w:r>
    </w:p>
    <w:p w:rsidR="00DE6391" w:rsidRDefault="00DE6391"/>
    <w:p w:rsidR="00DE6391" w:rsidRDefault="00022B29">
      <w:r>
        <w:t>De chemische toestand geeft een samenvattende uitslag die aanduidt of er één of meer chemis</w:t>
      </w:r>
      <w:r>
        <w:t>che verontreinigingen aanwezig zijn waarvoor het waterkwaliteitsbeleid op Europees niveau geformuleerd wordt (de 45 prioritaire stoffen die in geheel Europa een belemmering vormen voor de waterkwaliteit). Deze stoffen leiden op Europees niveau tot een bedr</w:t>
      </w:r>
      <w:r>
        <w:t>eiging voor de mens, voor aquatische ecosystemen via directe effecten, of voor aquatische ecosystemen via doorvergiftiging. De diagnose, en de maatregelen, zijn hier Europees beschreven, en de waterbeheerder kan (dus) bij het aantreffen van een onvoldoende</w:t>
      </w:r>
      <w:r>
        <w:t xml:space="preserve"> chemische toestand aansluiten bij de Europa-brede diagnose en de daarbij op Europees niveau omschreven maatregelenpakketten, aangevuld met maatregelen die lokaal mogelijk zijn. Bij de chemische toestand gaat het (momenteel) dus om 45 stoffen, die elk afzo</w:t>
      </w:r>
      <w:r>
        <w:t>nderlijk worden beoordeeld ten opzichte van hun milieu</w:t>
      </w:r>
      <w:bookmarkStart w:id="15" w:name="_GoBack"/>
      <w:bookmarkEnd w:id="15"/>
      <w:r>
        <w:t>kwaliteits</w:t>
      </w:r>
      <w:r>
        <w:t xml:space="preserve">norm (waarna de classificatie </w:t>
      </w:r>
      <w:r>
        <w:t>p</w:t>
      </w:r>
      <w:r>
        <w:t>laatsvindt via het “one out, all out” principe). Ze worden Europees aangepakt, omdat ze vaak en op veel plekken een belemmering zijn voor de waterkwaliteit.</w:t>
      </w:r>
    </w:p>
    <w:p w:rsidR="00DE6391" w:rsidRDefault="00DE6391"/>
    <w:p w:rsidR="00DE6391" w:rsidRDefault="00022B29">
      <w:r>
        <w:t>W</w:t>
      </w:r>
      <w:r>
        <w:t>at betreft de ecologische toestand is de situatie wat betreft de diagnose anders. Als de ecologische toestand minder is dan “goed” moeten er één of meer drukfactoren zijn die dit veroorzaken. Elke drukfactor afzonderlijk, of elke combinatie van drukfactore</w:t>
      </w:r>
      <w:r>
        <w:t xml:space="preserve">n, kan belemmerend werken voor het handhaven of bereiken van een goede ecologische toestand op een locatie. ‘Elke drukfactor’ betekent  dus ook: elke stof of elk mengsel van stoffen. </w:t>
      </w:r>
    </w:p>
    <w:p w:rsidR="00DE6391" w:rsidRDefault="00DE6391"/>
    <w:p w:rsidR="00DE6391" w:rsidRDefault="00022B29">
      <w:r>
        <w:lastRenderedPageBreak/>
        <w:t>Bij de diagnose van de oorzaken van verminderde ecologische toestand is</w:t>
      </w:r>
      <w:r>
        <w:t xml:space="preserve"> elke verontreinigende stof die lokaal aanwezig is, en de ecologische toestand kan helpen belemmeren, belangrijk en </w:t>
      </w:r>
      <w:r>
        <w:rPr>
          <w:u w:val="single"/>
        </w:rPr>
        <w:t xml:space="preserve">geldt er voor de diagnose dus geen </w:t>
      </w:r>
      <w:r>
        <w:rPr>
          <w:i/>
          <w:u w:val="single"/>
        </w:rPr>
        <w:t xml:space="preserve">a priori </w:t>
      </w:r>
      <w:r>
        <w:rPr>
          <w:u w:val="single"/>
        </w:rPr>
        <w:t>onderscheid</w:t>
      </w:r>
      <w:r>
        <w:t xml:space="preserve"> in prioritaire stoffen (bedreigend op Europese schaal), Nederland-specifieke stoffen</w:t>
      </w:r>
      <w:r>
        <w:t xml:space="preserve"> (bedreigend op de schaal van de stroomgebieden van de Rijn, Maas, Schelde en Eems), of zogenoemde ‘opkomende stoffen’</w:t>
      </w:r>
      <w:r>
        <w:rPr>
          <w:rStyle w:val="Voetnootanker"/>
        </w:rPr>
        <w:footnoteReference w:id="7"/>
      </w:r>
      <w:r>
        <w:t xml:space="preserve"> </w:t>
      </w:r>
      <w:r>
        <w:fldChar w:fldCharType="begin"/>
      </w:r>
      <w:r>
        <w:instrText>ADDIN EN.CITE &lt;EndNote&gt;&lt;Cite&gt;&lt;Author&gt;Osté&lt;/Author&gt;&lt;Year&gt;2017&lt;/Year&gt;&lt;RecNum&gt;11261&lt;/RecNum&gt;&lt;DisplayText&gt;(Osté et al., 2017)&lt;/DisplayText&gt;&lt;</w:instrText>
      </w:r>
      <w:r>
        <w:instrText>record&gt;&lt;rec-number&gt;11261&lt;/rec-number&gt;&lt;foreign-keys&gt;&lt;key app="EN" db-id="9vew0e5rcppvxrezet3vref0tpxfwzzf9f0s" timestamp="1614077340"&gt;11261&lt;/key&gt;&lt;/foreign-keys&gt;&lt;ref-type name="Report"&gt;27&lt;/ref-type&gt;&lt;contributors&gt;&lt;authors&gt;&lt;author&gt;Osté, L.&lt;/author&gt;&lt;author&gt;Derk</w:instrText>
      </w:r>
      <w:r>
        <w:instrText>sen, A.&lt;/author&gt;&lt;author&gt;Smit, C.E.&lt;/author&gt;&lt;author&gt;Berbee, R.&lt;/author&gt;&lt;author&gt;Ter Laak, T.&lt;/author&gt;&lt;author&gt;Van Duijnhoven, N.&lt;/author&gt;&lt;author&gt;Ten Hulscher, D.&lt;/author&gt;&lt;/authors&gt;&lt;/contributors&gt;&lt;titles&gt;&lt;title&gt;Naar een strategie voor opkomende stoffen&amp;#xD;&lt;/t</w:instrText>
      </w:r>
      <w:r>
        <w:instrText>itle&gt;&lt;/titles&gt;&lt;number&gt;Deltares-rapport 1230099-007&lt;/number&gt;&lt;dates&gt;&lt;year&gt;2017&lt;/year&gt;&lt;/dates&gt;&lt;pub-location&gt;Delft, the Netherlands&lt;/pub-location&gt;&lt;publisher&gt;Deltares&lt;/publisher&gt;&lt;urls&gt;&lt;/urls&gt;&lt;/record&gt;&lt;/Cite&gt;&lt;/EndNote&gt;</w:instrText>
      </w:r>
      <w:r>
        <w:fldChar w:fldCharType="separate"/>
      </w:r>
      <w:r>
        <w:t>(Osté et al., 2017</w:t>
      </w:r>
      <w:r>
        <w:fldChar w:fldCharType="end"/>
      </w:r>
      <w:r>
        <w:t>)). De aandacht richt z</w:t>
      </w:r>
      <w:r>
        <w:t>ich – volgens de definities van de KRW zelf – op ‘specifieke stoffen’. Dat zijn stoffen die – apart of als mengsel – de ecologische toestand of de gezondheid van de mens belemmeren</w:t>
      </w:r>
      <w:r>
        <w:rPr>
          <w:rStyle w:val="Voetnootanker"/>
        </w:rPr>
        <w:footnoteReference w:id="8"/>
      </w:r>
      <w:r>
        <w:t xml:space="preserve">. ‘Specifieke stoffen’ kunnen op elk schaalniveau vóórkomen, van Europees- </w:t>
      </w:r>
      <w:r>
        <w:t xml:space="preserve">en stroomgebied niveau tot aan bijvoorbeeld een polder. </w:t>
      </w:r>
    </w:p>
    <w:p w:rsidR="00DE6391" w:rsidRDefault="00022B29">
      <w:pPr>
        <w:pStyle w:val="Heading3"/>
        <w:numPr>
          <w:ilvl w:val="2"/>
          <w:numId w:val="2"/>
        </w:numPr>
        <w:rPr>
          <w:sz w:val="22"/>
          <w:szCs w:val="22"/>
        </w:rPr>
      </w:pPr>
      <w:bookmarkStart w:id="16" w:name="_Toc65147562"/>
      <w:r>
        <w:t>Naar een verbeterde diagnose – eerste trap: een intu</w:t>
      </w:r>
      <w:r>
        <w:rPr>
          <w:rFonts w:cs="Times New Roman"/>
        </w:rPr>
        <w:t>ï</w:t>
      </w:r>
      <w:r>
        <w:t>tieve diagnose</w:t>
      </w:r>
      <w:bookmarkEnd w:id="16"/>
    </w:p>
    <w:p w:rsidR="00DE6391" w:rsidRDefault="00022B29">
      <w:r>
        <w:t xml:space="preserve">De </w:t>
      </w:r>
      <w:r>
        <w:rPr>
          <w:u w:val="single"/>
        </w:rPr>
        <w:t>diagnose</w:t>
      </w:r>
      <w:r>
        <w:t xml:space="preserve"> van de oorzaken van een verlaagde ecologische toestand zou bestaan uit het doorlopen van het classificatieproces van </w:t>
      </w:r>
      <w:r>
        <w:fldChar w:fldCharType="begin"/>
      </w:r>
      <w:r>
        <w:instrText>RE</w:instrText>
      </w:r>
      <w:r>
        <w:instrText>F _Ref31025731 \h</w:instrText>
      </w:r>
      <w:r>
        <w:fldChar w:fldCharType="separate"/>
      </w:r>
      <w:r>
        <w:t>Figuur 1</w:t>
      </w:r>
      <w:r>
        <w:fldChar w:fldCharType="end"/>
      </w:r>
      <w:r>
        <w:t xml:space="preserve"> in omgekeerde volgorde: als de waterkwaliteit niet hoog of goed is, dan moet daarvoor een oorzaak te vinden zijn. Die kan bestaan uit het effect of samenspel van éé</w:t>
      </w:r>
      <w:r>
        <w:t xml:space="preserve">n of meer drukfactoren. Bij de </w:t>
      </w:r>
      <w:r>
        <w:rPr>
          <w:u w:val="single"/>
        </w:rPr>
        <w:t>diagnose</w:t>
      </w:r>
      <w:r>
        <w:t xml:space="preserve"> is het doel om de samengevatte kennis te ontrafelen, en af te leiden welke drukfactor(en) belemmerend werken. Recent heeft de Europese Commissie in de “fitness check” van de KRW geconcludeerd dat de diagnose van de r</w:t>
      </w:r>
      <w:r>
        <w:t xml:space="preserve">ol van chemische verontreinigingen beter ontwikkeld moet worden </w:t>
      </w:r>
      <w:r>
        <w:fldChar w:fldCharType="begin"/>
      </w:r>
      <w:r>
        <w:instrText>ADDIN EN.CITE &lt;EndNote&gt;&lt;Cite&gt;&lt;Author&gt;EC&lt;/Author&gt;&lt;Year&gt;2019&lt;/Year&gt;&lt;RecNum&gt;10588&lt;/RecNum&gt;&lt;DisplayText&gt;(EC, 2019)&lt;/DisplayText&gt;&lt;record&gt;&lt;rec-number&gt;10588&lt;/rec-number&gt;&lt;foreign-keys&gt;&lt;key app="EN" db</w:instrText>
      </w:r>
      <w:r>
        <w:instrText>-id="9vew0e5rcppvxrezet3vref0tpxfwzzf9f0s" timestamp="1581087667"&gt;10588&lt;/key&gt;&lt;/foreign-keys&gt;&lt;ref-type name="Report"&gt;27&lt;/ref-type&gt;&lt;contributors&gt;&lt;authors&gt;&lt;author&gt;EC,&lt;/author&gt;&lt;/authors&gt;&lt;/contributors&gt;&lt;titles&gt;&lt;title&gt;Fitness check of the Water Framework Directi</w:instrText>
      </w:r>
      <w:r>
        <w:instrText>ve, Groundwater Directive, Environmental Quality Standards Directive and Floods Directive https://ec.europa.eu/environment/water/fitness_check_of_the_eu_water_legislation/documents/Water%20Fitness%20Check%20-%20SWD(2019)439%20-%20web.pdf&lt;/title&gt;&lt;/titles&gt;&lt;p</w:instrText>
      </w:r>
      <w:r>
        <w:instrText>ages&gt;1-176&lt;/pages&gt;&lt;dates&gt;&lt;year&gt;2019&lt;/year&gt;&lt;/dates&gt;&lt;urls&gt;&lt;/urls&gt;&lt;/record&gt;&lt;/Cite&gt;&lt;/EndNote&gt;</w:instrText>
      </w:r>
      <w:r>
        <w:fldChar w:fldCharType="separate"/>
      </w:r>
      <w:r>
        <w:t>(EC, 2019</w:t>
      </w:r>
      <w:r>
        <w:fldChar w:fldCharType="end"/>
      </w:r>
      <w:r>
        <w:t xml:space="preserve">). In een recent artikel, River Doctors </w:t>
      </w:r>
      <w:r>
        <w:fldChar w:fldCharType="begin"/>
      </w:r>
      <w:r>
        <w:instrText>ADDIN EN.CITE &lt;EndNote&gt;&lt;Cite&gt;&lt;Author&gt;Elosegi&lt;/Author&gt;&lt;Year&gt;2017&lt;/Year&gt;&lt;RecNum&gt;8828&lt;/RecNum&gt;&lt;DisplayText&gt;(Elosegi et</w:instrText>
      </w:r>
      <w:r>
        <w:instrText xml:space="preserve"> al., 2017)&lt;/DisplayText&gt;&lt;record&gt;&lt;rec-number&gt;8828&lt;/rec-number&gt;&lt;foreign-keys&gt;&lt;key app="EN" db-id="9vew0e5rcppvxrezet3vref0tpxfwzzf9f0s" timestamp="1491549716"&gt;8828&lt;/key&gt;&lt;/foreign-keys&gt;&lt;ref-type name="Journal Article"&gt;17&lt;/ref-type&gt;&lt;contributors&gt;&lt;authors&gt;&lt;aut</w:instrText>
      </w:r>
      <w:r>
        <w:instrText>hor&gt;Elosegi, A.&lt;/author&gt;&lt;author&gt;Gessner, M.O.&lt;/author&gt;&lt;author&gt;Young, R.G.&lt;/author&gt;&lt;/authors&gt;&lt;/contributors&gt;&lt;titles&gt;&lt;title&gt;River doctors: Learning from medicine to improve ecosystem management&lt;/title&gt;&lt;secondary-title&gt;Science of the Total Environment&lt;/second</w:instrText>
      </w:r>
      <w:r>
        <w:instrText>ary-title&gt;&lt;/titles&gt;&lt;periodical&gt;&lt;full-title&gt;Science of the Total Environment&lt;/full-title&gt;&lt;/periodical&gt;&lt;pages&gt;294–302&lt;/pages&gt;&lt;volume&gt;595&lt;/volume&gt;&lt;dates&gt;&lt;year&gt;2017&lt;/year&gt;&lt;/dates&gt;&lt;urls&gt;&lt;/urls&gt;&lt;electronic-resource-num&gt;https://doi.org/10.1016/j.scitotenv.2017.03</w:instrText>
      </w:r>
      <w:r>
        <w:instrText>.188&lt;/electronic-resource-num&gt;&lt;/record&gt;&lt;/Cite&gt;&lt;/EndNote&gt;</w:instrText>
      </w:r>
      <w:r>
        <w:fldChar w:fldCharType="separate"/>
      </w:r>
      <w:r>
        <w:t>(Elosegi et al., 2017</w:t>
      </w:r>
      <w:r>
        <w:fldChar w:fldCharType="end"/>
      </w:r>
      <w:r>
        <w:t>), werd dit ook al opgemerkt. In deze Notitie beschrijven we eerst de intuïtieve werkwijze die voor de diagnose gevolgd kan worden, en die ‘ingebouwd’ is in het classificatiesy</w:t>
      </w:r>
      <w:r>
        <w:t>steem.</w:t>
      </w:r>
    </w:p>
    <w:p w:rsidR="00DE6391" w:rsidRDefault="00DE6391"/>
    <w:p w:rsidR="00DE6391" w:rsidRDefault="00022B29">
      <w:r>
        <w:t>In het artikel over ‘River Doctors’ werd voorgesteld om het proces van diagnose onder de KRW beter te ontwikkelen, met als vergelijkbare en nuttige basis de standaard-werkwijzen die door artsen worden gebruikt bij de diagnose van aandoeningen bij m</w:t>
      </w:r>
      <w:r>
        <w:t xml:space="preserve">ensen. Op dit moment wordt voor de classificatie de Handreiking KRW-doelen </w:t>
      </w:r>
      <w:r>
        <w:fldChar w:fldCharType="begin"/>
      </w:r>
      <w:r>
        <w:instrText>ADDIN EN.CITE &lt;EndNote&gt;&lt;Cite&gt;&lt;Author&gt;STOWA&lt;/Author&gt;&lt;Year&gt;2018&lt;/Year&gt;&lt;RecNum&gt;9998&lt;/RecNum&gt;&lt;DisplayText&gt;(STOWA, 2018)&lt;/DisplayText&gt;&lt;record&gt;&lt;rec-number&gt;9998&lt;/rec-number&gt;&lt;foreign-keys&gt;&lt;</w:instrText>
      </w:r>
      <w:r>
        <w:instrText>key app="EN" db-id="9vew0e5rcppvxrezet3vref0tpxfwzzf9f0s" timestamp="1555684895"&gt;9998&lt;/key&gt;&lt;/foreign-keys&gt;&lt;ref-type name="Report"&gt;27&lt;/ref-type&gt;&lt;contributors&gt;&lt;authors&gt;&lt;author&gt;STOWA&lt;/author&gt;&lt;/authors&gt;&lt;/contributors&gt;&lt;titles&gt;&lt;title&gt;Handreiking KRW-doelen&lt;/titl</w:instrText>
      </w:r>
      <w:r>
        <w:instrText>e&gt;&lt;/titles&gt;&lt;number&gt;STOWA @@@&lt;/number&gt;&lt;dates&gt;&lt;year&gt;2018&lt;/year&gt;&lt;/dates&gt;&lt;pub-location&gt;STOWA, Amersfoort, the Netherlands&lt;/pub-location&gt;&lt;urls&gt;&lt;/urls&gt;&lt;/record&gt;&lt;/Cite&gt;&lt;/EndNote&gt;</w:instrText>
      </w:r>
      <w:r>
        <w:fldChar w:fldCharType="separate"/>
      </w:r>
      <w:r>
        <w:t>(STOWA, 2018</w:t>
      </w:r>
      <w:r>
        <w:fldChar w:fldCharType="end"/>
      </w:r>
      <w:r>
        <w:t>) gebruikt. Deze Notitie vormt een op de praktijk gerichte uitbreiding</w:t>
      </w:r>
      <w:r>
        <w:t xml:space="preserve"> daarvan met een nadruk op het verwerken van gegevens die over chemische verontreiniging verzameld kunnen worden, te weten:</w:t>
      </w:r>
    </w:p>
    <w:p w:rsidR="00DE6391" w:rsidRDefault="00022B29">
      <w:pPr>
        <w:numPr>
          <w:ilvl w:val="0"/>
          <w:numId w:val="3"/>
        </w:numPr>
      </w:pPr>
      <w:r>
        <w:t>Resultaten van het Chemie-spoor van de sleutel factor toxiciteit, waarbij gegevens over de toxische druk van stoffen, stofgroepen en</w:t>
      </w:r>
      <w:r>
        <w:t xml:space="preserve"> totale mengsels worden verkregen op basis van concentratiegegevens van stoffen</w:t>
      </w:r>
    </w:p>
    <w:p w:rsidR="00DE6391" w:rsidRDefault="00022B29">
      <w:pPr>
        <w:numPr>
          <w:ilvl w:val="0"/>
          <w:numId w:val="3"/>
        </w:numPr>
      </w:pPr>
      <w:r>
        <w:t>Resultaten van het Toxicologie-spoor van de sleutel factor toxiciteit, waarbij gegevens over de toxiciteit van watermonsters worden verkregen door de uitvoering van biologische</w:t>
      </w:r>
      <w:r>
        <w:t xml:space="preserve"> toetsen (bioassays).</w:t>
      </w:r>
    </w:p>
    <w:p w:rsidR="00DE6391" w:rsidRDefault="00DE6391"/>
    <w:p w:rsidR="00DE6391" w:rsidRDefault="00022B29">
      <w:r>
        <w:t>De intuïtieve diagnose bestaat uit een aanpak die lijkt op een set Matroesjka poppen, waarbij het  “</w:t>
      </w:r>
      <w:r>
        <w:rPr>
          <w:i/>
          <w:iCs/>
        </w:rPr>
        <w:t>one out, all out”</w:t>
      </w:r>
      <w:r>
        <w:t>-principe geleid heeft tot een ‘geneste’</w:t>
      </w:r>
      <w:r>
        <w:t xml:space="preserve"> </w:t>
      </w:r>
      <w:r>
        <w:t>presentatie van de monitoring-gegevens (binnen-blokken) ten opzichte van de</w:t>
      </w:r>
      <w:r>
        <w:t xml:space="preserve"> classificatie (buitenblokken, </w:t>
      </w:r>
      <w:r>
        <w:fldChar w:fldCharType="begin"/>
      </w:r>
      <w:r>
        <w:instrText>REF _Ref64974023 \h</w:instrText>
      </w:r>
      <w:r>
        <w:fldChar w:fldCharType="separate"/>
      </w:r>
      <w:r>
        <w:t>Figuur 2</w:t>
      </w:r>
      <w:r>
        <w:fldChar w:fldCharType="end"/>
      </w:r>
      <w:r>
        <w:t>). Verdere uitleg wordt gegeven in Hoofdstuk @@@.</w:t>
      </w:r>
    </w:p>
    <w:p w:rsidR="00DE6391" w:rsidRDefault="00DE6391"/>
    <w:p w:rsidR="00DE6391" w:rsidRDefault="00022B29">
      <w:r>
        <w:t>@@@Hier de figuur.</w:t>
      </w:r>
    </w:p>
    <w:p w:rsidR="00DE6391" w:rsidRDefault="00022B29">
      <w:pPr>
        <w:pStyle w:val="Caption"/>
        <w:rPr>
          <w:sz w:val="22"/>
          <w:szCs w:val="22"/>
        </w:rPr>
      </w:pPr>
      <w:bookmarkStart w:id="17" w:name="_Ref64974023"/>
      <w:r>
        <w:t xml:space="preserve">Figuur </w:t>
      </w:r>
      <w:r>
        <w:fldChar w:fldCharType="begin"/>
      </w:r>
      <w:r>
        <w:instrText>SEQ Figuur \* ARABIC</w:instrText>
      </w:r>
      <w:r>
        <w:fldChar w:fldCharType="separate"/>
      </w:r>
      <w:r>
        <w:t>2</w:t>
      </w:r>
      <w:r>
        <w:fldChar w:fldCharType="end"/>
      </w:r>
      <w:bookmarkEnd w:id="17"/>
      <w:r>
        <w:t>. Het presenteren van gegevens</w:t>
      </w:r>
      <w:r>
        <w:t xml:space="preserve"> over de ecologische toestand en over fysisch-chemische en hydromorforlogische kwaliteitselementen is bruikbaar voor een intuïtieve, eenvoudig diagnostische </w:t>
      </w:r>
      <w:r>
        <w:lastRenderedPageBreak/>
        <w:t>werkwijze. Het KRW “</w:t>
      </w:r>
      <w:r>
        <w:rPr>
          <w:i/>
          <w:iCs/>
        </w:rPr>
        <w:t>one out, all out</w:t>
      </w:r>
      <w:r>
        <w:t>”-principe is omgezet in een presentatie die lijkt op een setje</w:t>
      </w:r>
      <w:r>
        <w:t xml:space="preserve"> Matroesjka-poppen. Voor uitleg: zie Hoofdstuk @@@.  </w:t>
      </w:r>
    </w:p>
    <w:p w:rsidR="00DE6391" w:rsidRDefault="00DE6391"/>
    <w:p w:rsidR="00DE6391" w:rsidRDefault="00022B29">
      <w:pPr>
        <w:pStyle w:val="Heading3"/>
        <w:numPr>
          <w:ilvl w:val="2"/>
          <w:numId w:val="2"/>
        </w:numPr>
        <w:rPr>
          <w:sz w:val="22"/>
          <w:szCs w:val="22"/>
        </w:rPr>
      </w:pPr>
      <w:bookmarkStart w:id="18" w:name="_Toc65147563"/>
      <w:r>
        <w:t>Naar een verbeterde diagnose (2) – hogere trappen</w:t>
      </w:r>
      <w:bookmarkEnd w:id="18"/>
    </w:p>
    <w:p w:rsidR="00DE6391" w:rsidRDefault="00022B29">
      <w:r>
        <w:t>De wetenschappelijke literatuur toont, naast de in deze Notitie beschreven intuïtieve diagnosemethodiek ook nog andere werkwijzen. De set van momenteel</w:t>
      </w:r>
      <w:r>
        <w:t xml:space="preserve"> beschikbare methodieken kan gezien worden als een getrapt systeem. </w:t>
      </w:r>
    </w:p>
    <w:p w:rsidR="00DE6391" w:rsidRDefault="00DE6391"/>
    <w:p w:rsidR="00DE6391" w:rsidRDefault="00022B29">
      <w:r>
        <w:t>Hogere diagnose trappen zijn op dezelfde data gebaseerd als de data die voor classificatie gebruikt worden, maar passen additionele technieken toe, om rekening te houden met verschijnselen zoals ecologische interacties en interacties tussen drukfactoren. V</w:t>
      </w:r>
      <w:r>
        <w:t xml:space="preserve">oorbeelden daarvan met Europese data sets zijn onder meer beschreven in van der </w:t>
      </w:r>
      <w:r>
        <w:fldChar w:fldCharType="begin"/>
      </w:r>
      <w:r>
        <w:instrText>ADDIN EN.CITE &lt;EndNote&gt;&lt;Cite AuthorYear="1"&gt;&lt;Author&gt;Lee&lt;/Author&gt;&lt;Year&gt;2020&lt;/Year&gt;&lt;RecNum&gt;11205&lt;/RecNum&gt;&lt;DisplayText&gt;Lee et al. (2020)&lt;/DisplayText&gt;&lt;record&gt;&lt;rec-number&gt;11205&lt;/re</w:instrText>
      </w:r>
      <w:r>
        <w:instrText>c-number&gt;&lt;foreign-keys&gt;&lt;key app="EN" db-id="9vew0e5rcppvxrezet3vref0tpxfwzzf9f0s" timestamp="1611132540"&gt;11205&lt;/key&gt;&lt;/foreign-keys&gt;&lt;ref-type name="Journal Article"&gt;17&lt;/ref-type&gt;&lt;contributors&gt;&lt;authors&gt;&lt;author&gt;Gea H. van der Lee&lt;/author&gt;&lt;author&gt;Milo L. de Ba</w:instrText>
      </w:r>
      <w:r>
        <w:instrText>at&lt;/author&gt;&lt;author&gt;Nienke Wieringa&lt;/author&gt;&lt;author&gt;Michiel H. S. Kraak&lt;/author&gt;&lt;author&gt;Ralf C. M. Verdonschot&lt;/author&gt;&lt;author&gt;Piet F. M. Verdonschot&lt;/author&gt;&lt;/authors&gt;&lt;/contributors&gt;&lt;titles&gt;&lt;title&gt;Structural and functional assessment of multi-stressed lowl</w:instrText>
      </w:r>
      <w:r>
        <w:instrText>and waters&lt;/title&gt;&lt;secondary-title&gt;Freshwater Science&lt;/secondary-title&gt;&lt;/titles&gt;&lt;periodical&gt;&lt;full-title&gt;Freshwater Science&lt;/full-title&gt;&lt;/periodical&gt;&lt;pages&gt;621-634&lt;/pages&gt;&lt;volume&gt;39&lt;/volume&gt;&lt;number&gt;4&lt;/number&gt;&lt;keywords&gt;&lt;keyword&gt;agriculture,wastewater treatme</w:instrText>
      </w:r>
      <w:r>
        <w:instrText>nt plant,lowland streams,drainage ditches,SPEAR approach,microbial decomposition,invertebrate consumption,trait based,invertebrate assemblage composition,organic matter breakdown,diversity indices&lt;/keyword&gt;&lt;/keywords&gt;&lt;dates&gt;&lt;year&gt;2020&lt;/year&gt;&lt;/dates&gt;&lt;urls&gt;&lt;</w:instrText>
      </w:r>
      <w:r>
        <w:instrText>related-urls&gt;&lt;url&gt;https://www.journals.uchicago.edu/doi/abs/10.1086/711507&lt;/url&gt;&lt;/related-urls&gt;&lt;/urls&gt;&lt;electronic-resource-num&gt;10.1086/711507&lt;/electronic-resource-num&gt;&lt;/record&gt;&lt;/Cite&gt;&lt;/EndNote&gt;</w:instrText>
      </w:r>
      <w:hyperlink w:anchor="_ENREF_23" w:tgtFrame="Lee, 2020 #11205">
        <w:r>
          <w:instrText>Lee et al</w:instrText>
        </w:r>
        <w:r>
          <w:instrText>. (2020)</w:instrText>
        </w:r>
      </w:hyperlink>
      <w:r>
        <w:fldChar w:fldCharType="end"/>
      </w:r>
      <w:r>
        <w:t xml:space="preserve">, </w:t>
      </w:r>
      <w:r>
        <w:fldChar w:fldCharType="begin"/>
      </w:r>
      <w:r>
        <w:instrText>ADDIN EN.CITE &lt;EndNote&gt;&lt;Cite AuthorYear="1"&gt;&lt;Author&gt;Feld&lt;/Author&gt;&lt;Year&gt;2020&lt;/Year&gt;&lt;RecNum&gt;11207&lt;/RecNum&gt;&lt;DisplayText&gt;Feld et al. (2020)&lt;/DisplayText&gt;&lt;record&gt;&lt;rec-number&gt;11207&lt;/rec-number&gt;&lt;foreign-keys&gt;&lt;key app="EN" db-id="9vew0e5rcppvxrezet3vre</w:instrText>
      </w:r>
      <w:r>
        <w:instrText>f0tpxfwzzf9f0s" timestamp="1611132843"&gt;11207&lt;/key&gt;&lt;/foreign-keys&gt;&lt;ref-type name="Journal Article"&gt;17&lt;/ref-type&gt;&lt;contributors&gt;&lt;authors&gt;&lt;author&gt;Feld, Christian K.&lt;/author&gt;&lt;author&gt;Saeedghalati, Mohammadkarim&lt;/author&gt;&lt;author&gt;Hering, Daniel&lt;/author&gt;&lt;/authors&gt;&lt;/</w:instrText>
      </w:r>
      <w:r>
        <w:instrText>contributors&gt;&lt;titles&gt;&lt;title&gt;A framework to diagnose the causes of river ecosystem deterioration using biological symptoms&lt;/title&gt;&lt;secondary-title&gt;Journal of Applied Ecology&lt;/secondary-title&gt;&lt;/titles&gt;&lt;periodical&gt;&lt;full-title&gt;Journal of Applied Ecology&lt;/full-</w:instrText>
      </w:r>
      <w:r>
        <w:instrText>title&gt;&lt;/periodical&gt;&lt;pages&gt;2271-2284&lt;/pages&gt;&lt;volume&gt;57&lt;/volume&gt;&lt;number&gt;11&lt;/number&gt;&lt;dates&gt;&lt;year&gt;2020&lt;/year&gt;&lt;/dates&gt;&lt;isbn&gt;0021-8901&lt;/isbn&gt;&lt;urls&gt;&lt;related-urls&gt;&lt;url&gt;https://besjournals.onlinelibrary.wiley.com/doi/abs/10.1111/1365-2664.13733&lt;/url&gt;&lt;/related-urls&gt;</w:instrText>
      </w:r>
      <w:r>
        <w:instrText>&lt;/urls&gt;&lt;electronic-resource-num&gt;https://doi.org/10.1111/1365-2664.13733&lt;/electronic-resource-num&gt;&lt;/record&gt;&lt;/Cite&gt;&lt;/EndNote&gt;</w:instrText>
      </w:r>
      <w:hyperlink w:anchor="_ENREF_11" w:tgtFrame="Feld, 2020 #11207">
        <w:r>
          <w:instrText>Feld et al. (2020)</w:instrText>
        </w:r>
      </w:hyperlink>
      <w:r>
        <w:fldChar w:fldCharType="end"/>
      </w:r>
      <w:r>
        <w:t xml:space="preserve"> en </w:t>
      </w:r>
      <w:r>
        <w:fldChar w:fldCharType="begin"/>
      </w:r>
      <w:r>
        <w:instrText>ADDIN EN.CITE &lt;EndNote&gt;&lt;Cite AuthorYear="1"&gt;&lt;Author&gt;de</w:instrText>
      </w:r>
      <w:r>
        <w:instrText xml:space="preserve"> Vries&lt;/Author&gt;&lt;Year&gt;2019&lt;/Year&gt;&lt;RecNum&gt;11208&lt;/RecNum&gt;&lt;DisplayText&gt;de Vries et al. (2019)&lt;/DisplayText&gt;&lt;record&gt;&lt;rec-number&gt;11208&lt;/rec-number&gt;&lt;foreign-keys&gt;&lt;key app="EN" db-id="9vew0e5rcppvxrezet3vref0tpxfwzzf9f0s" timestamp="1611133089"&gt;11208&lt;/key&gt;&lt;/foreig</w:instrText>
      </w:r>
      <w:r>
        <w:instrText>n-keys&gt;&lt;ref-type name="Journal Article"&gt;17&lt;/ref-type&gt;&lt;contributors&gt;&lt;authors&gt;&lt;author&gt;de Vries, Jip&lt;/author&gt;&lt;author&gt;Kraak, Michiel H. S.&lt;/author&gt;&lt;author&gt;Verdonschot, Ralf C. M.&lt;/author&gt;&lt;author&gt;Verdonschot, Piet F. M.&lt;/author&gt;&lt;/authors&gt;&lt;/contributors&gt;&lt;titles&gt;</w:instrText>
      </w:r>
      <w:r>
        <w:instrText>&lt;title&gt;Quantifying cumulative stress acting on macroinvertebrate assemblages in lowland streams&lt;/title&gt;&lt;secondary-title&gt;Science of The Total Environment&lt;/secondary-title&gt;&lt;/titles&gt;&lt;periodical&gt;&lt;full-title&gt;Science of the Total Environment&lt;/full-title&gt;&lt;/period</w:instrText>
      </w:r>
      <w:r>
        <w:instrText>ical&gt;&lt;pages&gt;133630&lt;/pages&gt;&lt;volume&gt;694&lt;/volume&gt;&lt;keywords&gt;&lt;keyword&gt;Ecological water quality&lt;/keyword&gt;&lt;keyword&gt;Instream stressors&lt;/keyword&gt;&lt;keyword&gt;Lowland stream&lt;/keyword&gt;&lt;keyword&gt;Macroinvertebrates&lt;/keyword&gt;&lt;keyword&gt;Quantification method&lt;/keyword&gt;&lt;/keywords</w:instrText>
      </w:r>
      <w:r>
        <w:instrText>&gt;&lt;dates&gt;&lt;year&gt;2019&lt;/year&gt;&lt;pub-dates&gt;&lt;date&gt;2019/12/01/&lt;/date&gt;&lt;/pub-dates&gt;&lt;/dates&gt;&lt;isbn&gt;0048-9697&lt;/isbn&gt;&lt;urls&gt;&lt;related-urls&gt;&lt;url&gt;http://www.sciencedirect.com/science/article/pii/S0048969719335557&lt;/url&gt;&lt;/related-urls&gt;&lt;/urls&gt;&lt;electronic-resource-num&gt;https://do</w:instrText>
      </w:r>
      <w:r>
        <w:instrText>i.org/10.1016/j.scitotenv.2019.133630&lt;/electronic-resource-num&gt;&lt;/record&gt;&lt;/Cite&gt;&lt;/EndNote&gt;</w:instrText>
      </w:r>
      <w:hyperlink w:anchor="_ENREF_3" w:tgtFrame="de Vries, 2019 #11208">
        <w:r>
          <w:instrText>de Vries et al. (2019)</w:instrText>
        </w:r>
      </w:hyperlink>
      <w:r>
        <w:fldChar w:fldCharType="end"/>
      </w:r>
      <w:r>
        <w:t xml:space="preserve">, en in </w:t>
      </w:r>
      <w:r>
        <w:fldChar w:fldCharType="begin"/>
      </w:r>
      <w:r>
        <w:instrText>ADDIN EN.CITE</w:instrText>
      </w:r>
      <w:hyperlink w:anchor="_ENREF_4" w:tgtFrame="De Zwart, 2006 #5974"/>
      <w:r>
        <w:fldChar w:fldCharType="begin"/>
      </w:r>
      <w:r>
        <w:instrText>ADDIN E</w:instrText>
      </w:r>
      <w:r>
        <w:instrText>N.CITE.DATADe Zwart et al. (2006)</w:instrText>
      </w:r>
      <w:r>
        <w:fldChar w:fldCharType="end"/>
      </w:r>
      <w:r>
        <w:fldChar w:fldCharType="end"/>
      </w:r>
      <w:r>
        <w:t xml:space="preserve">, </w:t>
      </w:r>
      <w:r>
        <w:fldChar w:fldCharType="begin"/>
      </w:r>
      <w:r>
        <w:instrText>ADDIN EN.CITE &lt;EndNote&gt;&lt;Cite AuthorYear="1"&gt;&lt;Author&gt;Kapo&lt;/Author&gt;&lt;Year&gt;2006&lt;/Year&gt;&lt;RecNum&gt;6906&lt;/RecNum&gt;&lt;DisplayText&gt;Kapo and Burton Jr (2006)&lt;/DisplayText&gt;&lt;record&gt;&lt;rec-number&gt;6906&lt;/rec-number&gt;&lt;foreign-keys&gt;&lt;key app="E</w:instrText>
      </w:r>
      <w:r>
        <w:instrText>N" db-id="9vew0e5rcppvxrezet3vref0tpxfwzzf9f0s" timestamp="1420300522"&gt;6906&lt;/key&gt;&lt;/foreign-keys&gt;&lt;ref-type name="Journal Article"&gt;17&lt;/ref-type&gt;&lt;contributors&gt;&lt;authors&gt;&lt;author&gt;Kapo, K. E.&lt;/author&gt;&lt;author&gt;Burton Jr, G. A.&lt;/author&gt;&lt;/authors&gt;&lt;/contributors&gt;&lt;auth</w:instrText>
      </w:r>
      <w:r>
        <w:instrText>-address&gt;Institute for Environmental Quality, Wright State University, 3640 Colonel Glenn Highway, Dayton, OH 45435, United States&lt;/auth-address&gt;&lt;titles&gt;&lt;title&gt;A geographic information systems-based, weights-of-evidence approach for diagnosing aquatic ecos</w:instrText>
      </w:r>
      <w:r>
        <w:instrText>ystem impairment&lt;/title&gt;&lt;secondary-title&gt;Environmental Toxicology and Chemistry&lt;/secondary-title&gt;&lt;/titles&gt;&lt;periodical&gt;&lt;full-title&gt;Environmental Toxicology and Chemistry&lt;/full-title&gt;&lt;/periodical&gt;&lt;pages&gt;2237-2249&lt;/pages&gt;&lt;volume&gt;25&lt;/volume&gt;&lt;number&gt;8&lt;/number&gt;&lt;</w:instrText>
      </w:r>
      <w:r>
        <w:instrText>keywords&gt;&lt;keyword&gt;Bioassessment&lt;/keyword&gt;&lt;keyword&gt;Ecoepidemiology&lt;/keyword&gt;&lt;keyword&gt;Spatial analysis&lt;/keyword&gt;&lt;keyword&gt;Watershed&lt;/keyword&gt;&lt;/keywords&gt;&lt;dates&gt;&lt;year&gt;2006&lt;/year&gt;&lt;/dates&gt;&lt;urls&gt;&lt;related-urls&gt;&lt;url&gt;http://www.scopus.com/inward/record.url?eid=2-s2.0</w:instrText>
      </w:r>
      <w:r>
        <w:instrText>-33751046354&amp;amp;partnerID=40&amp;amp;md5=612dc948b557f21b16179844b0e36347&lt;/url&gt;&lt;/related-urls&gt;&lt;/urls&gt;&lt;remote-database-name&gt;Scopus&lt;/remote-database-name&gt;&lt;/record&gt;&lt;/Cite&gt;&lt;/EndNote&gt;</w:instrText>
      </w:r>
      <w:hyperlink w:anchor="_ENREF_13" w:tgtFrame="Kapo, 2006 #6906">
        <w:r>
          <w:instrText>Kapo and Burton Jr (2006)</w:instrText>
        </w:r>
      </w:hyperlink>
      <w:r>
        <w:fldChar w:fldCharType="end"/>
      </w:r>
      <w:r>
        <w:t xml:space="preserve"> en </w:t>
      </w:r>
      <w:r>
        <w:fldChar w:fldCharType="begin"/>
      </w:r>
      <w:r>
        <w:instrText>ADDIN EN.CITE &lt;EndNote&gt;&lt;Cite AuthorYear="1"&gt;&lt;Author&gt;Kapo&lt;/Author&gt;&lt;Year&gt;2014&lt;/Year&gt;&lt;RecNum&gt;7051&lt;/RecNum&gt;&lt;DisplayText&gt;Kapo et al. (2014)&lt;/DisplayText&gt;&lt;record&gt;&lt;rec-number&gt;7051&lt;/rec-number&gt;&lt;foreign-keys&gt;&lt;key app="EN" db-id="9vew0e5rcppvxrezet3vref0tpxfwzzf</w:instrText>
      </w:r>
      <w:r>
        <w:instrText xml:space="preserve">9f0s" timestamp="1424948538"&gt;7051&lt;/key&gt;&lt;/foreign-keys&gt;&lt;ref-type name="Journal Article"&gt;17&lt;/ref-type&gt;&lt;contributors&gt;&lt;authors&gt;&lt;author&gt;Kapo, K. E.&lt;/author&gt;&lt;author&gt;Holmes, C. M.&lt;/author&gt;&lt;author&gt;Dyer, S. D.&lt;/author&gt;&lt;author&gt;De Zwart, D.&lt;/author&gt;&lt;author&gt;Posthuma, </w:instrText>
      </w:r>
      <w:r>
        <w:instrText>L.&lt;/author&gt;&lt;/authors&gt;&lt;/contributors&gt;&lt;auth-address&gt;Waterborne Environmental, Inc, Leesburg, VA, United States&amp;#xD;The Procter and Gamble Company, Cincinnati, OH, United States&amp;#xD;Dutch National Institute for Public Health and the Environment (RIVM), Biltho</w:instrText>
      </w:r>
      <w:r>
        <w:instrText>ven, Netherlands&lt;/auth-address&gt;&lt;titles&gt;&lt;title&gt;Developing a foundation for eco-epidemiological assessment of aquatic ecological status over large geographic regions utilizing existing data resources and models&lt;/title&gt;&lt;secondary-title&gt;Environmental Toxicolog</w:instrText>
      </w:r>
      <w:r>
        <w:instrText xml:space="preserve">y and Chemistry&lt;/secondary-title&gt;&lt;/titles&gt;&lt;periodical&gt;&lt;full-title&gt;Environmental Toxicology and Chemistry&lt;/full-title&gt;&lt;/periodical&gt;&lt;pages&gt;1665-1677&lt;/pages&gt;&lt;volume&gt;33&lt;/volume&gt;&lt;number&gt;7&lt;/number&gt;&lt;keywords&gt;&lt;keyword&gt;Eco-epidemiology&lt;/keyword&gt;&lt;keyword&gt;Geographic </w:instrText>
      </w:r>
      <w:r>
        <w:instrText>information system&lt;/keyword&gt;&lt;keyword&gt;Mixture&lt;/keyword&gt;&lt;keyword&gt;Stressor&lt;/keyword&gt;&lt;/keywords&gt;&lt;dates&gt;&lt;year&gt;2014&lt;/year&gt;&lt;/dates&gt;&lt;urls&gt;&lt;related-urls&gt;&lt;url&gt;http://www.scopus.com/inward/record.url?eid=2-s2.0-84902553941&amp;amp;partnerID=40&amp;amp;md5=cad385dedf3e7ef7882</w:instrText>
      </w:r>
      <w:r>
        <w:instrText>3de543eb5ca38&lt;/url&gt;&lt;/related-urls&gt;&lt;/urls&gt;&lt;electronic-resource-num&gt;10.1002/etc.2557&lt;/electronic-resource-num&gt;&lt;remote-database-name&gt;Scopus&lt;/remote-database-name&gt;&lt;/record&gt;&lt;/Cite&gt;&lt;/EndNote&gt;</w:instrText>
      </w:r>
      <w:hyperlink w:anchor="_ENREF_14" w:tgtFrame="Kapo, 2014 #7051">
        <w:r>
          <w:instrText>Kapo et al. (2014</w:instrText>
        </w:r>
        <w:r>
          <w:instrText>)</w:instrText>
        </w:r>
      </w:hyperlink>
      <w:r>
        <w:fldChar w:fldCharType="end"/>
      </w:r>
      <w:r>
        <w:t xml:space="preserve"> voor data uit de Amerikaanse staat Ohio. De resultaten van deze technieken kunnen, net als bij de eerste trap, weergegeven worden als kaartbeelden (</w:t>
      </w:r>
      <w:r>
        <w:fldChar w:fldCharType="begin"/>
      </w:r>
      <w:r>
        <w:instrText>REF _Ref62141243 \h</w:instrText>
      </w:r>
      <w:r>
        <w:fldChar w:fldCharType="separate"/>
      </w:r>
      <w:r>
        <w:t>Figuur 3</w:t>
      </w:r>
      <w:r>
        <w:fldChar w:fldCharType="end"/>
      </w:r>
      <w:r>
        <w:t>). Bij deze</w:t>
      </w:r>
      <w:r>
        <w:t xml:space="preserve"> werkwijzen kan een (berekende) cumulatieve druk (van allerlei drukfactoren samen) in een aantal kleuren (klassen) worden weergegeven, en kan de cumulatieve druk gevalideerd zijn met ecologische waarnemingen.</w:t>
      </w:r>
    </w:p>
    <w:p w:rsidR="00DE6391" w:rsidRDefault="00022B29">
      <w:r>
        <w:rPr>
          <w:noProof/>
          <w:lang w:eastAsia="nl-NL"/>
        </w:rPr>
        <w:drawing>
          <wp:anchor distT="0" distB="0" distL="0" distR="0" simplePos="0" relativeHeight="251664384" behindDoc="0" locked="0" layoutInCell="1" allowOverlap="1">
            <wp:simplePos x="0" y="0"/>
            <wp:positionH relativeFrom="column">
              <wp:align>left</wp:align>
            </wp:positionH>
            <wp:positionV relativeFrom="paragraph">
              <wp:posOffset>160655</wp:posOffset>
            </wp:positionV>
            <wp:extent cx="5745480" cy="1911350"/>
            <wp:effectExtent l="0" t="0" r="0" b="0"/>
            <wp:wrapSquare wrapText="largest"/>
            <wp:docPr id="2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
                    <pic:cNvPicPr>
                      <a:picLocks noChangeAspect="1" noChangeArrowheads="1"/>
                    </pic:cNvPicPr>
                  </pic:nvPicPr>
                  <pic:blipFill>
                    <a:blip r:embed="rId27"/>
                    <a:srcRect l="40509" t="39789" r="8411" b="19891"/>
                    <a:stretch>
                      <a:fillRect/>
                    </a:stretch>
                  </pic:blipFill>
                  <pic:spPr bwMode="auto">
                    <a:xfrm>
                      <a:off x="0" y="0"/>
                      <a:ext cx="5745480" cy="1911350"/>
                    </a:xfrm>
                    <a:prstGeom prst="rect">
                      <a:avLst/>
                    </a:prstGeom>
                  </pic:spPr>
                </pic:pic>
              </a:graphicData>
            </a:graphic>
          </wp:anchor>
        </w:drawing>
      </w:r>
    </w:p>
    <w:p w:rsidR="00DE6391" w:rsidRDefault="00DE6391"/>
    <w:p w:rsidR="00DE6391" w:rsidRDefault="00022B29">
      <w:pPr>
        <w:pStyle w:val="Caption"/>
        <w:rPr>
          <w:sz w:val="22"/>
          <w:szCs w:val="22"/>
        </w:rPr>
      </w:pPr>
      <w:bookmarkStart w:id="19" w:name="_Ref62141243"/>
      <w:r>
        <w:t xml:space="preserve">Figuur </w:t>
      </w:r>
      <w:r>
        <w:fldChar w:fldCharType="begin"/>
      </w:r>
      <w:r>
        <w:instrText>SEQ Figuur \* ARABIC</w:instrText>
      </w:r>
      <w:r>
        <w:fldChar w:fldCharType="separate"/>
      </w:r>
      <w:r>
        <w:t>3</w:t>
      </w:r>
      <w:r>
        <w:fldChar w:fldCharType="end"/>
      </w:r>
      <w:bookmarkEnd w:id="19"/>
      <w:r>
        <w:t>. Voorbeeld v</w:t>
      </w:r>
      <w:r>
        <w:t xml:space="preserve">an de resultaten van een diagnose met een methodiek die gebaseerd is op monitoringdata die geanalyseerd zijn met statistische en ecologische methodieken (voorbeeld uit </w:t>
      </w:r>
      <w:r>
        <w:fldChar w:fldCharType="begin"/>
      </w:r>
      <w:r>
        <w:instrText>ADDIN EN.CITE &lt;EndNote&gt;&lt;Cite AuthorYear="1"&gt;&lt;Author&gt;de Vries&lt;/Author&gt;&lt;Year&gt;2019&lt;/Year&gt;&lt;R</w:instrText>
      </w:r>
      <w:r>
        <w:instrText>ecNum&gt;11208&lt;/RecNum&gt;&lt;DisplayText&gt;de Vries et al. (2019)&lt;/DisplayText&gt;&lt;record&gt;&lt;rec-number&gt;11208&lt;/rec-number&gt;&lt;foreign-keys&gt;&lt;key app="EN" db-id="9vew0e5rcppvxrezet3vref0tpxfwzzf9f0s" timestamp="1611133089"&gt;11208&lt;/key&gt;&lt;/foreign-keys&gt;&lt;ref-type name="Journal Art</w:instrText>
      </w:r>
      <w:r>
        <w:instrText>icle"&gt;17&lt;/ref-type&gt;&lt;contributors&gt;&lt;authors&gt;&lt;author&gt;de Vries, Jip&lt;/author&gt;&lt;author&gt;Kraak, Michiel H. S.&lt;/author&gt;&lt;author&gt;Verdonschot, Ralf C. M.&lt;/author&gt;&lt;author&gt;Verdonschot, Piet F. M.&lt;/author&gt;&lt;/authors&gt;&lt;/contributors&gt;&lt;titles&gt;&lt;title&gt;Quantifying cumulative stre</w:instrText>
      </w:r>
      <w:r>
        <w:instrText>ss acting on macroinvertebrate assemblages in lowland streams&lt;/title&gt;&lt;secondary-title&gt;Science of The Total Environment&lt;/secondary-title&gt;&lt;/titles&gt;&lt;periodical&gt;&lt;full-title&gt;Science of the Total Environment&lt;/full-title&gt;&lt;/periodical&gt;&lt;pages&gt;133630&lt;/pages&gt;&lt;volume&gt;</w:instrText>
      </w:r>
      <w:r>
        <w:instrText>694&lt;/volume&gt;&lt;keywords&gt;&lt;keyword&gt;Ecological water quality&lt;/keyword&gt;&lt;keyword&gt;Instream stressors&lt;/keyword&gt;&lt;keyword&gt;Lowland stream&lt;/keyword&gt;&lt;keyword&gt;Macroinvertebrates&lt;/keyword&gt;&lt;keyword&gt;Quantification method&lt;/keyword&gt;&lt;/keywords&gt;&lt;dates&gt;&lt;year&gt;2019&lt;/year&gt;&lt;pub-date</w:instrText>
      </w:r>
      <w:r>
        <w:instrText>s&gt;&lt;date&gt;2019/12/01/&lt;/date&gt;&lt;/pub-dates&gt;&lt;/dates&gt;&lt;isbn&gt;0048-9697&lt;/isbn&gt;&lt;urls&gt;&lt;related-urls&gt;&lt;url&gt;http://www.sciencedirect.com/science/article/pii/S0048969719335557&lt;/url&gt;&lt;/related-urls&gt;&lt;/urls&gt;&lt;electronic-resource-num&gt;https://doi.org/10.1016/j.scitotenv.2019.133</w:instrText>
      </w:r>
      <w:r>
        <w:instrText>630&lt;/electronic-resource-num&gt;&lt;/record&gt;&lt;/Cite&gt;&lt;/EndNote&gt;</w:instrText>
      </w:r>
      <w:hyperlink w:anchor="_ENREF_3" w:tgtFrame="de Vries, 2019 #11208">
        <w:r>
          <w:instrText>de Vries et al. (2019)</w:instrText>
        </w:r>
      </w:hyperlink>
      <w:r>
        <w:fldChar w:fldCharType="end"/>
      </w:r>
      <w:r>
        <w:t>).</w:t>
      </w:r>
    </w:p>
    <w:p w:rsidR="00DE6391" w:rsidRDefault="00DE6391"/>
    <w:p w:rsidR="00DE6391" w:rsidRDefault="00022B29">
      <w:r>
        <w:t xml:space="preserve">Recente studies waarin grotere data sets zijn geanalyseerd met ecologische en statistische technieken </w:t>
      </w:r>
      <w:r>
        <w:fldChar w:fldCharType="begin"/>
      </w:r>
      <w:r>
        <w:instrText>ADDIN EN.CITE</w:instrText>
      </w:r>
      <w:r>
        <w:fldChar w:fldCharType="begin"/>
      </w:r>
      <w:r>
        <w:instrText>ADDIN EN.CITE.DATA</w:instrText>
      </w:r>
      <w:r>
        <w:fldChar w:fldCharType="end"/>
      </w:r>
      <w:r>
        <w:fldChar w:fldCharType="separate"/>
      </w:r>
      <w:r>
        <w:t>(Birk et al., 2020</w:t>
      </w:r>
      <w:r>
        <w:fldChar w:fldCharType="end"/>
      </w:r>
      <w:r>
        <w:t>; Grizzetti et al., 2017; Lemm et al., 2020; Posthuma et al., 2020) tonen aan dat belemmeringen van de ecologische toestand (de mate van effect op soorten, soortgroepen, of ecologische toestand) vrijwel altijd een g</w:t>
      </w:r>
      <w:r>
        <w:t xml:space="preserve">evolg zijn van een samenspel van drukfactoren. Vaak blijkt ook, dat er allerlei interacties meespelen (tussen drukfactoren, zoals tussen nutriënten en toxische druk, en tussen soorten). De technieken voor de hogere trappen van diagnose worden niet in deze </w:t>
      </w:r>
      <w:r>
        <w:t xml:space="preserve">Notitie uitgewerkt. Het toepassen van bijvoorbeeld </w:t>
      </w:r>
      <w:r>
        <w:rPr>
          <w:i/>
          <w:iCs/>
        </w:rPr>
        <w:t>Bayesian Belief Networks</w:t>
      </w:r>
      <w:r>
        <w:t xml:space="preserve"> voor de diagnose van effecten in grote data sets wordt bijvoorbeeld ontwikkeld in het KIWK-project “Ecologie”. </w:t>
      </w:r>
    </w:p>
    <w:p w:rsidR="00DE6391" w:rsidRDefault="00DE6391"/>
    <w:p w:rsidR="00DE6391" w:rsidRDefault="00022B29">
      <w:r>
        <w:t xml:space="preserve"> </w:t>
      </w:r>
    </w:p>
    <w:p w:rsidR="00DE6391" w:rsidRDefault="00022B29">
      <w:pPr>
        <w:pStyle w:val="Heading2"/>
        <w:numPr>
          <w:ilvl w:val="1"/>
          <w:numId w:val="2"/>
        </w:numPr>
        <w:rPr>
          <w:sz w:val="22"/>
          <w:szCs w:val="22"/>
        </w:rPr>
      </w:pPr>
      <w:bookmarkStart w:id="20" w:name="_Toc65147564"/>
      <w:r>
        <w:t>Deze Notitie: hulp bij diagnose en communicatie van de resultaten</w:t>
      </w:r>
      <w:r>
        <w:t xml:space="preserve"> ervan</w:t>
      </w:r>
      <w:bookmarkEnd w:id="20"/>
    </w:p>
    <w:p w:rsidR="00DE6391" w:rsidRDefault="00022B29">
      <w:r>
        <w:t>Deze Notitie beschrijft hoe de wetenschappelijke kennis over de effecten van drukfactoren op aquatische ecosystemen in de Kader Richtlijn Water is omgewerkt tot een beoordelingssysteem (de classificatie) die – bij omgekeerde toepassing – kan helpen om op e</w:t>
      </w:r>
      <w:r>
        <w:t xml:space="preserve">envoudige, visuele wijze een diagnose uit te voeren door de waterbeheerder. Dat gebeurt door met de voor de classificatie gebruikte </w:t>
      </w:r>
      <w:r>
        <w:lastRenderedPageBreak/>
        <w:t>gegevens een ‘omgekeerde interpretatie van de classificatie’ uit te voeren, als eerste trap van een diagnose die meer kan om</w:t>
      </w:r>
      <w:r>
        <w:t xml:space="preserve">vatten. </w:t>
      </w:r>
    </w:p>
    <w:p w:rsidR="00DE6391" w:rsidRDefault="00DE6391"/>
    <w:p w:rsidR="00DE6391" w:rsidRDefault="00022B29">
      <w:r>
        <w:t>Het uitvoeren van een goede diagnose van de mogelijke oorzaken van een verminderde ecologische toestand wordt expliciet gesuggereerd in Bijlage 2 van de KRW, waar gesteld wordt dat:</w:t>
      </w:r>
    </w:p>
    <w:p w:rsidR="00DE6391" w:rsidRDefault="00DE6391"/>
    <w:p w:rsidR="00DE6391" w:rsidRDefault="00022B29">
      <w:pPr>
        <w:ind w:left="567" w:right="565"/>
        <w:rPr>
          <w:i/>
        </w:rPr>
      </w:pPr>
      <w:r>
        <w:rPr>
          <w:i/>
        </w:rPr>
        <w:t>“De lidstaten gebruiken de bovenvermelde informatie die zij ver</w:t>
      </w:r>
      <w:r>
        <w:rPr>
          <w:i/>
        </w:rPr>
        <w:t>zameld hebben, en alle andere relevante informatie met inbegrip van bestaande milieumonitoringsgegevens, om een beoordeling te maken van de kans dat oppervlaktewaterlichamen in het stroomgebiedsdistrict niet zullen voldoen aan de milieukwaliteitsdoelstelli</w:t>
      </w:r>
      <w:r>
        <w:rPr>
          <w:i/>
        </w:rPr>
        <w:t xml:space="preserve">ngen die artikel 4 aan die lichamen stelt. De lidstaten kunnen bij die beoordeling modelleringstechnieken gebruiken”. </w:t>
      </w:r>
    </w:p>
    <w:p w:rsidR="00DE6391" w:rsidRDefault="00DE6391"/>
    <w:p w:rsidR="00DE6391" w:rsidRDefault="00022B29">
      <w:r>
        <w:t xml:space="preserve">Met ‘bovengenoemde informatie’ worden alle gegevens die verkregen worden door de systematische toepassing van een DPSIR-causale analyse </w:t>
      </w:r>
      <w:r>
        <w:fldChar w:fldCharType="begin"/>
      </w:r>
      <w:r>
        <w:instrText xml:space="preserve">ADDIN EN.CITE &lt;EndNote&gt;&lt;Cite&gt;&lt;Author&gt;KIWK-Tox WP2&lt;/Author&gt;&lt;Year&gt;2020&lt;/Year&gt;&lt;RecNum&gt;10662&lt;/RecNum&gt;&lt;DisplayText&gt;(KIWK-Tox WP2, 2020e)&lt;/DisplayText&gt;&lt;record&gt;&lt;rec-number&gt;10662&lt;/rec-number&gt;&lt;foreign-keys&gt;&lt;key app="EN" db-id="9vew0e5rcppvxrezet3vref0tpxfwzzf9f0s" </w:instrText>
      </w:r>
      <w:r>
        <w:instrText>timestamp="1584980023"&gt;10662&lt;/key&gt;&lt;/foreign-keys&gt;&lt;ref-type name="Report"&gt;27&lt;/ref-type&gt;&lt;contributors&gt;&lt;authors&gt;&lt;author&gt;KIWK-Tox WP2,&lt;/author&gt;&lt;/authors&gt;&lt;/contributors&gt;&lt;titles&gt;&lt;title&gt;Notitie Kennis Impuls WaterKwaliteit - Toxiciteit:&amp;quot; Over DPSIR@@@&lt;/title</w:instrText>
      </w:r>
      <w:r>
        <w:instrText>&gt;&lt;/titles&gt;&lt;dates&gt;&lt;year&gt;2020&lt;/year&gt;&lt;/dates&gt;&lt;publisher&gt;STOWA, Amsersfoort&lt;/publisher&gt;&lt;urls&gt;&lt;/urls&gt;&lt;/record&gt;&lt;/Cite&gt;&lt;/EndNote&gt;</w:instrText>
      </w:r>
      <w:r>
        <w:fldChar w:fldCharType="separate"/>
      </w:r>
      <w:r>
        <w:t>(KIWK-Tox WP2, 2020e</w:t>
      </w:r>
      <w:r>
        <w:fldChar w:fldCharType="end"/>
      </w:r>
      <w:r>
        <w:t>) bedoeld. De KRW omschrijft door toepassing van het DPSIR-model dus, dat de diagnose het best gebaseerd kan wo</w:t>
      </w:r>
      <w:r>
        <w:t>rden op de combinatie van enerzijds ‘macro-gegevens’ – dat wil zeggen: de zichtbare dingen, zoals de diverse vormen van landgebruik, de typerende stoffen die daarbij vrijkomen, en het watersysteem – in combinatie met anderzijds ‘micro-gegevens’ – de gegeve</w:t>
      </w:r>
      <w:r>
        <w:t xml:space="preserve">ns uit monitoring en/of gegevens uit specifiek onderzoek aan de waterkwaliteit. Deze combinatie van gegevens voor een diagnostische en operationeel bruikbare doelstelling (zoals voor waterbeheerders en de KRW) is voor het eerst gesuggereerd door </w:t>
      </w:r>
      <w:r>
        <w:rPr>
          <w:i/>
        </w:rPr>
        <w:t>Statistics</w:t>
      </w:r>
      <w:r>
        <w:rPr>
          <w:i/>
        </w:rPr>
        <w:t xml:space="preserve"> Canada</w:t>
      </w:r>
      <w:r>
        <w:t xml:space="preserve"> </w:t>
      </w:r>
      <w:r>
        <w:fldChar w:fldCharType="begin"/>
      </w:r>
      <w:r>
        <w:instrText>ADDIN EN.CITE &lt;EndNote&gt;&lt;Cite&gt;&lt;Author&gt;Rapport&lt;/Author&gt;&lt;Year&gt;1979&lt;/Year&gt;&lt;RecNum&gt;10318&lt;/RecNum&gt;&lt;DisplayText&gt;(Rapport and Friend, 1979)&lt;/DisplayText&gt;&lt;record&gt;&lt;rec-number&gt;10318&lt;/rec-number&gt;&lt;foreign-keys&gt;&lt;key app="EN" db-id="9vew0e5rcppvxrezet3vref0tpxfwz</w:instrText>
      </w:r>
      <w:r>
        <w:instrText>zf9f0s" timestamp="1572901127"&gt;10318&lt;/key&gt;&lt;/foreign-keys&gt;&lt;ref-type name="Report"&gt;27&lt;/ref-type&gt;&lt;contributors&gt;&lt;authors&gt;&lt;author&gt;Rapport, D.&lt;/author&gt;&lt;author&gt;Friend, A.&lt;/author&gt;&lt;/authors&gt;&lt;/contributors&gt;&lt;titles&gt;&lt;title&gt;Towards a comprehensive framework for enviro</w:instrText>
      </w:r>
      <w:r>
        <w:instrText>nmental statistics. A stress-response approach https://www.worldcat.org/title/towards-a-comprehensive-framework-for-environmental-statistics-a-stress-response-approach/oclc/21772350&lt;/title&gt;&lt;/titles&gt;&lt;dates&gt;&lt;year&gt;1979&lt;/year&gt;&lt;/dates&gt;&lt;urls&gt;&lt;/urls&gt;&lt;/record&gt;&lt;/Ci</w:instrText>
      </w:r>
      <w:r>
        <w:instrText>te&gt;&lt;/EndNote&gt;</w:instrText>
      </w:r>
      <w:r>
        <w:fldChar w:fldCharType="separate"/>
      </w:r>
      <w:r>
        <w:t>(Rapport and Friend, 1979</w:t>
      </w:r>
      <w:r>
        <w:fldChar w:fldCharType="end"/>
      </w:r>
      <w:r>
        <w:t xml:space="preserve">), daarna voor Europese toepassingen geëvalueerd en geaccepteerd </w:t>
      </w:r>
      <w:r>
        <w:fldChar w:fldCharType="begin"/>
      </w:r>
      <w:r>
        <w:instrText>ADDIN EN.CITE &lt;EndNote&gt;&lt;Cite&gt;&lt;Author&gt;Thomas&lt;/Author&gt;&lt;Year&gt;1995&lt;/Year&gt;&lt;RecNum&gt;9833&lt;/RecNum&gt;&lt;DisplayText&gt;(Thomas, 1995)&lt;/DisplayText&gt;&lt;record&gt;&lt;rec-number</w:instrText>
      </w:r>
      <w:r>
        <w:instrText>&gt;9833&lt;/rec-number&gt;&lt;foreign-keys&gt;&lt;key app="EN" db-id="9vew0e5rcppvxrezet3vref0tpxfwzzf9f0s" timestamp="1549458526"&gt;9833&lt;/key&gt;&lt;/foreign-keys&gt;&lt;ref-type name="Report"&gt;27&lt;/ref-type&gt;&lt;contributors&gt;&lt;authors&gt;&lt;author&gt;Thomas, R. (ed.)&lt;/author&gt;&lt;/authors&gt;&lt;/contributors</w:instrText>
      </w:r>
      <w:r>
        <w:instrText>&gt;&lt;titles&gt;&lt;title&gt;A general strategy for integrated environmental assessment  the European Environment Agency&lt;/title&gt;&lt;/titles&gt;&lt;number&gt;EEA/063/95&lt;/number&gt;&lt;dates&gt;&lt;year&gt;1995&lt;/year&gt;&lt;/dates&gt;&lt;pub-location&gt;Bilthoven, the Netherlands&lt;/pub-location&gt;&lt;publisher&gt;RIVM&lt;/p</w:instrText>
      </w:r>
      <w:r>
        <w:instrText>ublisher&gt;&lt;urls&gt;&lt;/urls&gt;&lt;/record&gt;&lt;/Cite&gt;&lt;/EndNote&gt;</w:instrText>
      </w:r>
      <w:r>
        <w:fldChar w:fldCharType="separate"/>
      </w:r>
      <w:r>
        <w:t>(Thomas, 1995</w:t>
      </w:r>
      <w:r>
        <w:fldChar w:fldCharType="end"/>
      </w:r>
      <w:r>
        <w:t xml:space="preserve">) en uiteindelijk een belangrijke bouwsteen voor toepassing onder de KRW geworden </w:t>
      </w:r>
      <w:r>
        <w:fldChar w:fldCharType="begin"/>
      </w:r>
      <w:r>
        <w:instrText>ADDIN EN.CITE &lt;EndNote&gt;&lt;Cite&gt;&lt;Author&gt;EC&lt;/Author&gt;&lt;Year&gt;2003&lt;/Year&gt;&lt;RecNum&gt;9675&lt;/RecNum&gt;&lt;DisplayText&gt;(EC, 2003)&lt;</w:instrText>
      </w:r>
      <w:r>
        <w:instrText>/DisplayText&gt;&lt;record&gt;&lt;rec-number&gt;9675&lt;/rec-number&gt;&lt;foreign-keys&gt;&lt;key app="EN" db-id="9vew0e5rcppvxrezet3vref0tpxfwzzf9f0s" timestamp="1539183388"&gt;9675&lt;/key&gt;&lt;/foreign-keys&gt;&lt;ref-type name="Report"&gt;27&lt;/ref-type&gt;&lt;contributors&gt;&lt;authors&gt;&lt;author&gt;EC&lt;/author&gt;&lt;/auth</w:instrText>
      </w:r>
      <w:r>
        <w:instrText>ors&gt;&lt;/contributors&gt;&lt;titles&gt;&lt;title&gt;Common Implementation Strategy for the Water Framework Directive (2000/60/EC).  Guidance Document No. 3. Analysis of Pressures and Impacts.&lt;/title&gt;&lt;/titles&gt;&lt;dates&gt;&lt;year&gt;2003&lt;/year&gt;&lt;/dates&gt;&lt;pub-location&gt;Brussels, Belgium&lt;/p</w:instrText>
      </w:r>
      <w:r>
        <w:instrText>ub-location&gt;&lt;publisher&gt;EC, CIS-Working Group 2.1 - IMPRESS&lt;/publisher&gt;&lt;urls&gt;&lt;/urls&gt;&lt;/record&gt;&lt;/Cite&gt;&lt;/EndNote&gt;</w:instrText>
      </w:r>
      <w:r>
        <w:fldChar w:fldCharType="separate"/>
      </w:r>
      <w:r>
        <w:t>(EC, 2003</w:t>
      </w:r>
      <w:r>
        <w:fldChar w:fldCharType="end"/>
      </w:r>
      <w:r>
        <w:t xml:space="preserve">). Zie voor verdere toelichting: </w:t>
      </w:r>
      <w:r>
        <w:fldChar w:fldCharType="begin"/>
      </w:r>
      <w:r>
        <w:instrText>ADDIN EN.CITE &lt;EndNote&gt;&lt;Cite&gt;&lt;Author&gt;KIWK-Tox WP2&lt;/Author&gt;&lt;Year&gt;2020&lt;/Year&gt;&lt;RecNum&gt;10662&lt;/RecNum&gt;&lt;Disp</w:instrText>
      </w:r>
      <w:r>
        <w:instrText>layText&gt;(KIWK-Tox WP2, 2020e)&lt;/DisplayText&gt;&lt;record&gt;&lt;rec-number&gt;10662&lt;/rec-number&gt;&lt;foreign-keys&gt;&lt;key app="EN" db-id="9vew0e5rcppvxrezet3vref0tpxfwzzf9f0s" timestamp="1584980023"&gt;10662&lt;/key&gt;&lt;/foreign-keys&gt;&lt;ref-type name="Report"&gt;27&lt;/ref-type&gt;&lt;contributors&gt;&lt;a</w:instrText>
      </w:r>
      <w:r>
        <w:instrText>uthors&gt;&lt;author&gt;KIWK-Tox WP2,&lt;/author&gt;&lt;/authors&gt;&lt;/contributors&gt;&lt;titles&gt;&lt;title&gt;Notitie Kennis Impuls WaterKwaliteit - Toxiciteit:&amp;quot; Over DPSIR@@@&lt;/title&gt;&lt;/titles&gt;&lt;dates&gt;&lt;year&gt;2020&lt;/year&gt;&lt;/dates&gt;&lt;publisher&gt;STOWA, Amsersfoort&lt;/publisher&gt;&lt;urls&gt;&lt;/urls&gt;&lt;/reco</w:instrText>
      </w:r>
      <w:r>
        <w:instrText>rd&gt;&lt;/Cite&gt;&lt;/EndNote&gt;</w:instrText>
      </w:r>
      <w:r>
        <w:fldChar w:fldCharType="separate"/>
      </w:r>
      <w:r>
        <w:t>(KIWK-Tox WP2, 2020e</w:t>
      </w:r>
      <w:r>
        <w:fldChar w:fldCharType="end"/>
      </w:r>
      <w:r>
        <w:t xml:space="preserve">), en </w:t>
      </w:r>
      <w:hyperlink r:id="rId28">
        <w:r>
          <w:rPr>
            <w:rStyle w:val="Internetkoppeling"/>
          </w:rPr>
          <w:t>https://www.helpdeskwater.nl/onderwerpen/wetgeving-beleid/kaderrichtlijn-w</w:t>
        </w:r>
        <w:r>
          <w:rPr>
            <w:rStyle w:val="Internetkoppeling"/>
          </w:rPr>
          <w:t>ater/uitvoering/rijn-west/we/krw/dpsir/</w:t>
        </w:r>
      </w:hyperlink>
      <w:r>
        <w:t xml:space="preserve">. </w:t>
      </w:r>
    </w:p>
    <w:p w:rsidR="00DE6391" w:rsidRDefault="00DE6391"/>
    <w:p w:rsidR="00DE6391" w:rsidRDefault="00022B29">
      <w:r>
        <w:t>Waterbeheerders kijken via deze causale analyse op een systematische wijze naar de Drivers en Pressures in hun beheergebied (economische activiteiten, resp. de emissie van typerende stoffen en hoeveelheden per sto</w:t>
      </w:r>
      <w:r>
        <w:t xml:space="preserve">f die uit die economische activiteiten volgen). De ESF-Toxiciteit helpt hierbij doordat er typerende Scenario’s van landgebruik en emissies van stoffen zijn opgesteld </w:t>
      </w:r>
      <w:r>
        <w:fldChar w:fldCharType="begin"/>
      </w:r>
      <w:r>
        <w:instrText>ADDIN EN.CITE &lt;EndNote&gt;&lt;Cite&gt;&lt;Author&gt;KIWK-Tox WP2&lt;/Author&gt;&lt;Year&gt;2020&lt;/Year&gt;&lt;RecNum&gt;10671&lt;</w:instrText>
      </w:r>
      <w:r>
        <w:instrText>/RecNum&gt;&lt;DisplayText&gt;(KIWK-Tox WP2, 2020b)&lt;/DisplayText&gt;&lt;record&gt;&lt;rec-number&gt;10671&lt;/rec-number&gt;&lt;foreign-keys&gt;&lt;key app="EN" db-id="9vew0e5rcppvxrezet3vref0tpxfwzzf9f0s" timestamp="1585572836"&gt;10671&lt;/key&gt;&lt;/foreign-keys&gt;&lt;ref-type name="Report"&gt;27&lt;/ref-type&gt;&lt;co</w:instrText>
      </w:r>
      <w:r>
        <w:instrText>ntributors&gt;&lt;authors&gt;&lt;author&gt;KIWK-Tox WP2,&lt;/author&gt;&lt;/authors&gt;&lt;/contributors&gt;&lt;titles&gt;&lt;title&gt;ESFT2_Opzoektabel - langebruikscenario&amp;apos;s en bijbehorende lijst stoffen die waarschijnlijk geemitteerd worden&lt;/title&gt;&lt;/titles&gt;&lt;dates&gt;&lt;year&gt;2020&lt;/year&gt;&lt;/dates&gt;&lt;pub</w:instrText>
      </w:r>
      <w:r>
        <w:instrText>lisher&gt;STOWA, Amsersfoort&lt;/publisher&gt;&lt;urls&gt;&lt;/urls&gt;&lt;/record&gt;&lt;/Cite&gt;&lt;/EndNote&gt;</w:instrText>
      </w:r>
      <w:r>
        <w:fldChar w:fldCharType="separate"/>
      </w:r>
      <w:r>
        <w:t>(KIWK-Tox WP2, 2020b</w:t>
      </w:r>
      <w:r>
        <w:fldChar w:fldCharType="end"/>
      </w:r>
      <w:r>
        <w:t>). Vervolgens worden die gegevens gecombineerd met monitoring gegevens van de waterlichamen. Daarbij kan blijken dat de stoffen die bij een Scenario horen oo</w:t>
      </w:r>
      <w:r>
        <w:t>k daadwerkelijk aanwezig zijn, en in welke concentraties en tijd-ruimte patronen. Dat vormt de Status-analyse, ofwel de vaststelling van deze aspecten van het begrip waterkwaliteit. Tenslotte wordt een Impact-analyse gemaakt, die wordt samengevat in de eco</w:t>
      </w:r>
      <w:r>
        <w:t xml:space="preserve">logische toestands-klasse (zie </w:t>
      </w:r>
      <w:r>
        <w:fldChar w:fldCharType="begin"/>
      </w:r>
      <w:r>
        <w:instrText>REF _Ref31025731 \h</w:instrText>
      </w:r>
      <w:r>
        <w:fldChar w:fldCharType="separate"/>
      </w:r>
      <w:r>
        <w:t>Figuur 1</w:t>
      </w:r>
      <w:r>
        <w:fldChar w:fldCharType="end"/>
      </w:r>
      <w:r>
        <w:t xml:space="preserve">). Voor de zuiveringsopgave wordt dit samengevat in het zuiveringsinspanningsniveau </w:t>
      </w:r>
      <w:r>
        <w:fldChar w:fldCharType="begin"/>
      </w:r>
      <w:r>
        <w:instrText>ADDIN EN.CITE &lt;EndNote&gt;&lt;Cite&gt;&lt;Author&gt;Pronk&lt;/Aut</w:instrText>
      </w:r>
      <w:r>
        <w:instrText>hor&gt;&lt;Year&gt;2020&lt;/Year&gt;&lt;RecNum&gt;10656&lt;/RecNum&gt;&lt;DisplayText&gt;(Pronk et al., 2020)&lt;/DisplayText&gt;&lt;record&gt;&lt;rec-number&gt;10656&lt;/rec-number&gt;&lt;foreign-keys&gt;&lt;key app="EN" db-id="9vew0e5rcppvxrezet3vref0tpxfwzzf9f0s" timestamp="1584713857"&gt;10656&lt;/key&gt;&lt;/foreign-keys&gt;&lt;ref-t</w:instrText>
      </w:r>
      <w:r>
        <w:instrText>ype name="Report"&gt;27&lt;/ref-type&gt;&lt;contributors&gt;&lt;authors&gt;&lt;author&gt;Pronk, T.E.&lt;/author&gt;&lt;author&gt;Vries, D.&lt;/author&gt;&lt;author&gt;Kools, S.A.E.&lt;/author&gt;&lt;author&gt;Hofman-Caris, R.&lt;/author&gt;&lt;author&gt;Stroomberg, G.J.&lt;/author&gt;&lt;/authors&gt;&lt;/contributors&gt;&lt;titles&gt;&lt;title&gt;Removal requ</w:instrText>
      </w:r>
      <w:r>
        <w:instrText>irement and purification treatment effort for Dutch Rhine water from 2000-2018&lt;/title&gt;&lt;/titles&gt;&lt;dates&gt;&lt;year&gt;2020&lt;/year&gt;&lt;/dates&gt;&lt;publisher&gt;RIWZ-Rijn report &lt;/publisher&gt;&lt;urls&gt;&lt;/urls&gt;&lt;/record&gt;&lt;/Cite&gt;&lt;/EndNote&gt;</w:instrText>
      </w:r>
      <w:r>
        <w:fldChar w:fldCharType="separate"/>
      </w:r>
      <w:r>
        <w:t>(Pronk et al., 2020</w:t>
      </w:r>
      <w:r>
        <w:fldChar w:fldCharType="end"/>
      </w:r>
      <w:r>
        <w:t>).</w:t>
      </w:r>
    </w:p>
    <w:p w:rsidR="00DE6391" w:rsidRDefault="00DE6391"/>
    <w:p w:rsidR="00DE6391" w:rsidRDefault="00022B29">
      <w:r>
        <w:t>Samenvattend is de KRW c</w:t>
      </w:r>
      <w:r>
        <w:t>lassificatie dus:</w:t>
      </w:r>
    </w:p>
    <w:p w:rsidR="00DE6391" w:rsidRDefault="00022B29">
      <w:pPr>
        <w:numPr>
          <w:ilvl w:val="0"/>
          <w:numId w:val="5"/>
        </w:numPr>
      </w:pPr>
      <w:r>
        <w:t xml:space="preserve">Het samenvatten van monitoring-gegevens, om de toestand van het waterlichaam samen te vatten (in </w:t>
      </w:r>
      <w:r>
        <w:fldChar w:fldCharType="begin"/>
      </w:r>
      <w:r>
        <w:instrText>REF _Ref31025731 \h</w:instrText>
      </w:r>
      <w:r>
        <w:fldChar w:fldCharType="separate"/>
      </w:r>
      <w:r>
        <w:t>Figuur 1</w:t>
      </w:r>
      <w:r>
        <w:fldChar w:fldCharType="end"/>
      </w:r>
      <w:r>
        <w:t xml:space="preserve"> geheel rechts), op basis van de samenvatting v</w:t>
      </w:r>
      <w:r>
        <w:t xml:space="preserve">an de ecologische en de chemische toestand; dit is een proces “van links naar rechts” in </w:t>
      </w:r>
      <w:r>
        <w:fldChar w:fldCharType="begin"/>
      </w:r>
      <w:r>
        <w:instrText>REF _Ref31025731 \h</w:instrText>
      </w:r>
      <w:r>
        <w:fldChar w:fldCharType="separate"/>
      </w:r>
      <w:r>
        <w:t>Figuur 1</w:t>
      </w:r>
      <w:r>
        <w:fldChar w:fldCharType="end"/>
      </w:r>
      <w:r>
        <w:t xml:space="preserve">, </w:t>
      </w:r>
    </w:p>
    <w:p w:rsidR="00DE6391" w:rsidRDefault="00022B29">
      <w:r>
        <w:t>en is diagnose slechts kort gedefinieerd (in Bijlage 2, zie citaat hie</w:t>
      </w:r>
      <w:r>
        <w:t>rboven), terwijl die betekent:</w:t>
      </w:r>
    </w:p>
    <w:p w:rsidR="00DE6391" w:rsidRDefault="00022B29">
      <w:pPr>
        <w:numPr>
          <w:ilvl w:val="0"/>
          <w:numId w:val="5"/>
        </w:numPr>
      </w:pPr>
      <w:r>
        <w:t>Het ontrafelen van de beschikbare gegevens uit een DPSIR-analyse, waardoor duidelijk wordt aan welke oorzaak of combinatie van oorzaken een ecologisch effect of een verhoogde zuiveringsopgave waarschijnlijk kan worden toegesc</w:t>
      </w:r>
      <w:r>
        <w:t xml:space="preserve">hreven; dit is een proces “van rechts naar links” in </w:t>
      </w:r>
      <w:r>
        <w:fldChar w:fldCharType="begin"/>
      </w:r>
      <w:r>
        <w:instrText>REF _Ref31025731 \h</w:instrText>
      </w:r>
      <w:r>
        <w:fldChar w:fldCharType="separate"/>
      </w:r>
      <w:r>
        <w:t>Figuur 1</w:t>
      </w:r>
      <w:r>
        <w:fldChar w:fldCharType="end"/>
      </w:r>
      <w:r>
        <w:t xml:space="preserve"> </w:t>
      </w:r>
    </w:p>
    <w:p w:rsidR="00DE6391" w:rsidRDefault="00DE6391"/>
    <w:p w:rsidR="00DE6391" w:rsidRDefault="00022B29">
      <w:r>
        <w:t>In deze Notitie wordt een voorstel gedaan voor een handige werkwijze bij het omzetten van de classificatie</w:t>
      </w:r>
      <w:r>
        <w:t xml:space="preserve">-gegevens in een diagnose van de oorzaken van verlaagde ecologische toestand. Verder </w:t>
      </w:r>
      <w:r>
        <w:lastRenderedPageBreak/>
        <w:t xml:space="preserve">wordt een voorstel gedaan om de diagnose-resultaten samen te vatten in een kaartbeeld, waarin ook gegevens over landgebruik (scenario’s, zie </w:t>
      </w:r>
      <w:r>
        <w:fldChar w:fldCharType="begin"/>
      </w:r>
      <w:r>
        <w:instrText>ADDIN EN.CITE &lt;EndNote&gt;&lt;Cite&gt;&lt;</w:instrText>
      </w:r>
      <w:r>
        <w:instrText>Author&gt;KIWK-Tox WP2&lt;/Author&gt;&lt;Year&gt;2020&lt;/Year&gt;&lt;RecNum&gt;10671&lt;/RecNum&gt;&lt;DisplayText&gt;(KIWK-Tox WP2, 2020b)&lt;/DisplayText&gt;&lt;record&gt;&lt;rec-number&gt;10671&lt;/rec-number&gt;&lt;foreign-keys&gt;&lt;key app="EN" db-id="9vew0e5rcppvxrezet3vref0tpxfwzzf9f0s" timestamp="1585572836"&gt;10671&lt;/</w:instrText>
      </w:r>
      <w:r>
        <w:instrText xml:space="preserve">key&gt;&lt;/foreign-keys&gt;&lt;ref-type name="Report"&gt;27&lt;/ref-type&gt;&lt;contributors&gt;&lt;authors&gt;&lt;author&gt;KIWK-Tox WP2,&lt;/author&gt;&lt;/authors&gt;&lt;/contributors&gt;&lt;titles&gt;&lt;title&gt;ESFT2_Opzoektabel - langebruikscenario&amp;apos;s en bijbehorende lijst stoffen die waarschijnlijk geemitteerd </w:instrText>
      </w:r>
      <w:r>
        <w:instrText>worden&lt;/title&gt;&lt;/titles&gt;&lt;dates&gt;&lt;year&gt;2020&lt;/year&gt;&lt;/dates&gt;&lt;publisher&gt;STOWA, Amsersfoort&lt;/publisher&gt;&lt;urls&gt;&lt;/urls&gt;&lt;/record&gt;&lt;/Cite&gt;&lt;/EndNote&gt;</w:instrText>
      </w:r>
      <w:r>
        <w:fldChar w:fldCharType="separate"/>
      </w:r>
      <w:r>
        <w:t>(KIWK-Tox WP2, 2020b</w:t>
      </w:r>
      <w:r>
        <w:fldChar w:fldCharType="end"/>
      </w:r>
      <w:r>
        <w:t>)) en de hydrologische verbanden zichtbaar worden. Daarbij wordt beoogd om voor het afleiden van e</w:t>
      </w:r>
      <w:r>
        <w:t xml:space="preserve">en samenhangend maatregelenpakket zo goed mogelijk in kaart te brengen wat de ‘macro’ en ‘micro’  gegevens zijn, en wat de bijbehorende maatregelen zijn. </w:t>
      </w:r>
    </w:p>
    <w:p w:rsidR="00DE6391" w:rsidRDefault="00DE6391"/>
    <w:p w:rsidR="00DE6391" w:rsidRDefault="00022B29">
      <w:pPr>
        <w:pStyle w:val="Heading1"/>
        <w:numPr>
          <w:ilvl w:val="0"/>
          <w:numId w:val="2"/>
        </w:numPr>
        <w:rPr>
          <w:sz w:val="22"/>
          <w:szCs w:val="22"/>
        </w:rPr>
      </w:pPr>
      <w:bookmarkStart w:id="21" w:name="_Toc65147565"/>
      <w:r>
        <w:lastRenderedPageBreak/>
        <w:t>Gerelateerde onderwerpen</w:t>
      </w:r>
      <w:bookmarkEnd w:id="21"/>
    </w:p>
    <w:p w:rsidR="00DE6391" w:rsidRDefault="00022B29">
      <w:r>
        <w:t xml:space="preserve">De sleutelfactor toxiciteit bestaat uit een aantal onderdelen, aangeduid </w:t>
      </w:r>
      <w:r>
        <w:t>als modules. De Startmodule wordt ingezet bij aanvang van een watersysteemanalyse, en is bedoeld om de waterbeheerders te assisteren bij het beoordelen van de vragen of en hoe de sleutelfactor toxiciteit moet worden ingezet.</w:t>
      </w:r>
    </w:p>
    <w:p w:rsidR="00DE6391" w:rsidRDefault="00DE6391"/>
    <w:p w:rsidR="00DE6391" w:rsidRDefault="00022B29">
      <w:r>
        <w:t>Deze Notitie geeft binnen de c</w:t>
      </w:r>
      <w:r>
        <w:t>ontext van de Startmodule een antwoord op de vraag hoe een waterbeheerder een diagnose kan uitvoeren waarin nagegaan wordt welke (combinatie van) drukfactoren mogelijk het handhaven of het bereiken van een goede ecologische toestand belemmeren, met specifi</w:t>
      </w:r>
      <w:r>
        <w:t>eke aandacht voor chemische verontreinigingen.</w:t>
      </w:r>
    </w:p>
    <w:p w:rsidR="00DE6391" w:rsidRDefault="00DE6391"/>
    <w:p w:rsidR="00DE6391" w:rsidRDefault="00022B29">
      <w:r>
        <w:t>De Startmodule beidt achtereenvolgens informatie over:</w:t>
      </w:r>
    </w:p>
    <w:p w:rsidR="00DE6391" w:rsidRDefault="00022B29">
      <w:pPr>
        <w:numPr>
          <w:ilvl w:val="0"/>
          <w:numId w:val="3"/>
        </w:numPr>
      </w:pPr>
      <w:r>
        <w:t xml:space="preserve">De “Waarom?”-vraag, waarbij de beschikbare kennis aanduidt dat chemische verontreiniging vaak een belangrijke belemmerende factor is </w:t>
      </w:r>
      <w:r>
        <w:fldChar w:fldCharType="begin"/>
      </w:r>
      <w:r>
        <w:instrText>ADDIN EN.CITE &lt;EndNo</w:instrText>
      </w:r>
      <w:r>
        <w:instrText>te&gt;&lt;Cite&gt;&lt;Author&gt;KIWK-Tox WP2&lt;/Author&gt;&lt;Year&gt;2020&lt;/Year&gt;&lt;RecNum&gt;10629&lt;/RecNum&gt;&lt;DisplayText&gt;(KIWK-Tox WP2, 2020a)&lt;/DisplayText&gt;&lt;record&gt;&lt;rec-number&gt;10629&lt;/rec-number&gt;&lt;foreign-keys&gt;&lt;key app="EN" db-id="9vew0e5rcppvxrezet3vref0tpxfwzzf9f0s" timestamp="158332762</w:instrText>
      </w:r>
      <w:r>
        <w:instrText>4"&gt;10629&lt;/key&gt;&lt;/foreign-keys&gt;&lt;ref-type name="Report"&gt;27&lt;/ref-type&gt;&lt;contributors&gt;&lt;authors&gt;&lt;author&gt;KIWK-Tox WP2,&lt;/author&gt;&lt;/authors&gt;&lt;/contributors&gt;&lt;titles&gt;&lt;title&gt;Chemische verontreiniging en effecten op ecologie en de zuiveringsinspanning. Achtergronddocument</w:instrText>
      </w:r>
      <w:r>
        <w:instrText xml:space="preserve"> beschikbare kennis bij de sleutelfactor toxiciteit.&lt;/title&gt;&lt;/titles&gt;&lt;dates&gt;&lt;year&gt;2020&lt;/year&gt;&lt;/dates&gt;&lt;publisher&gt;STOWA, Amsersfoort&lt;/publisher&gt;&lt;urls&gt;&lt;/urls&gt;&lt;/record&gt;&lt;/Cite&gt;&lt;/EndNote&gt;</w:instrText>
      </w:r>
      <w:r>
        <w:fldChar w:fldCharType="separate"/>
      </w:r>
      <w:r>
        <w:t>(KIWK-Tox WP2, 2020a</w:t>
      </w:r>
      <w:r>
        <w:fldChar w:fldCharType="end"/>
      </w:r>
      <w:r>
        <w:t>)</w:t>
      </w:r>
    </w:p>
    <w:p w:rsidR="00DE6391" w:rsidRDefault="00022B29">
      <w:pPr>
        <w:numPr>
          <w:ilvl w:val="0"/>
          <w:numId w:val="3"/>
        </w:numPr>
      </w:pPr>
      <w:r>
        <w:t>De vraag naar een praktische werkwijze voor diagno</w:t>
      </w:r>
      <w:r>
        <w:t>se en communicatie van de diagnostische resultaten ten behoeve van afwegingen (met belanghebbenden) die leiden tot het afleiden van maatregelen (deze Notitie)</w:t>
      </w:r>
    </w:p>
    <w:p w:rsidR="00DE6391" w:rsidRDefault="00022B29">
      <w:pPr>
        <w:numPr>
          <w:ilvl w:val="0"/>
          <w:numId w:val="3"/>
        </w:numPr>
      </w:pPr>
      <w:r>
        <w:t>Toelichting over het DPSIR-beoordelingskader, waarbij dit schema een vorm heeft gekregen die geri</w:t>
      </w:r>
      <w:r>
        <w:t xml:space="preserve">cht is op het afleiden van maatregelen  </w:t>
      </w:r>
      <w:r>
        <w:fldChar w:fldCharType="begin"/>
      </w:r>
      <w:r>
        <w:instrText>ADDIN EN.CITE &lt;EndNote&gt;&lt;Cite&gt;&lt;Author&gt;KIWK-Tox WP2&lt;/Author&gt;&lt;Year&gt;2020&lt;/Year&gt;&lt;RecNum&gt;10630&lt;/RecNum&gt;&lt;DisplayText&gt;(KIWK-Tox WP2, 2020c)&lt;/DisplayText&gt;&lt;record&gt;&lt;rec-number&gt;10630&lt;/rec-number&gt;&lt;foreign-keys&gt;&lt;key app="EN" db-id</w:instrText>
      </w:r>
      <w:r>
        <w:instrText xml:space="preserve">="9vew0e5rcppvxrezet3vref0tpxfwzzf9f0s" timestamp="1583327639"&gt;10630&lt;/key&gt;&lt;/foreign-keys&gt;&lt;ref-type name="Report"&gt;27&lt;/ref-type&gt;&lt;contributors&gt;&lt;authors&gt;&lt;author&gt;KIWK-Tox WP2,&lt;/author&gt;&lt;/authors&gt;&lt;/contributors&gt;&lt;titles&gt;&lt;title&gt;Notitie Kennis Impuls WaterKwaliteit </w:instrText>
      </w:r>
      <w:r>
        <w:instrText>- Toxiciteit: &amp;quot; Diagnose en communicatie van ESFT-resultaten&amp;quot;&lt;/title&gt;&lt;/titles&gt;&lt;dates&gt;&lt;year&gt;2020&lt;/year&gt;&lt;/dates&gt;&lt;publisher&gt;STOWA, Amsersfoort&lt;/publisher&gt;&lt;urls&gt;&lt;/urls&gt;&lt;/record&gt;&lt;/Cite&gt;&lt;/EndNote&gt;</w:instrText>
      </w:r>
      <w:r>
        <w:fldChar w:fldCharType="separate"/>
      </w:r>
      <w:r>
        <w:t>(KIWK-Tox WP2, 2020c</w:t>
      </w:r>
      <w:r>
        <w:fldChar w:fldCharType="end"/>
      </w:r>
      <w:r>
        <w:t>)</w:t>
      </w:r>
    </w:p>
    <w:p w:rsidR="00DE6391" w:rsidRDefault="00022B29">
      <w:pPr>
        <w:numPr>
          <w:ilvl w:val="0"/>
          <w:numId w:val="3"/>
        </w:numPr>
      </w:pPr>
      <w:r>
        <w:t>De vraag naar mogelijke handeli</w:t>
      </w:r>
      <w:r>
        <w:t xml:space="preserve">ngsperspectieven </w:t>
      </w:r>
      <w:r>
        <w:fldChar w:fldCharType="begin"/>
      </w:r>
      <w:r>
        <w:instrText>ADDIN EN.CITE &lt;EndNote&gt;&lt;Cite&gt;&lt;Author&gt;KIWK-Tox WP2&lt;/Author&gt;&lt;Year&gt;2020&lt;/Year&gt;&lt;RecNum&gt;10674&lt;/RecNum&gt;&lt;DisplayText&gt;(KIWK-Tox WP2, 2020d)&lt;/DisplayText&gt;&lt;record&gt;&lt;rec-number&gt;10674&lt;/rec-number&gt;&lt;foreign-keys&gt;&lt;key app="EN" db-id="9vew0e5rcppvxrezet3vr</w:instrText>
      </w:r>
      <w:r>
        <w:instrText>ef0tpxfwzzf9f0s" timestamp="1585650351"&gt;10674&lt;/key&gt;&lt;/foreign-keys&gt;&lt;ref-type name="Report"&gt;27&lt;/ref-type&gt;&lt;contributors&gt;&lt;authors&gt;&lt;author&gt;KIWK-Tox WP2,&lt;/author&gt;&lt;/authors&gt;&lt;/contributors&gt;&lt;titles&gt;&lt;title&gt;Notitie Kennis Impuls WaterKwaliteit - Toxiciteit: &amp;quot;Sta</w:instrText>
      </w:r>
      <w:r>
        <w:instrText>rtmodule - strategie voor het afleiden van maatregelen&amp;quot;&lt;/title&gt;&lt;/titles&gt;&lt;dates&gt;&lt;year&gt;2020&lt;/year&gt;&lt;/dates&gt;&lt;publisher&gt;STOWA, Amsersfoort&lt;/publisher&gt;&lt;urls&gt;&lt;/urls&gt;&lt;/record&gt;&lt;/Cite&gt;&lt;/EndNote&gt;</w:instrText>
      </w:r>
      <w:r>
        <w:fldChar w:fldCharType="separate"/>
      </w:r>
      <w:r>
        <w:t>(KIWK-Tox WP2, 2020d</w:t>
      </w:r>
      <w:r>
        <w:fldChar w:fldCharType="end"/>
      </w:r>
      <w:r>
        <w:t>)</w:t>
      </w:r>
    </w:p>
    <w:p w:rsidR="00DE6391" w:rsidRDefault="00DE6391"/>
    <w:p w:rsidR="00DE6391" w:rsidRDefault="00022B29">
      <w:r>
        <w:t xml:space="preserve">De recente kennis die in het EU-project SOLUTIONS verzameld is wordt voor waterbeheerders en beleidstoepassingen samengevat in een serie </w:t>
      </w:r>
      <w:r>
        <w:rPr>
          <w:i/>
        </w:rPr>
        <w:t>Policy Briefs</w:t>
      </w:r>
      <w:r>
        <w:t xml:space="preserve">, beschikbaar via de link: </w:t>
      </w:r>
      <w:hyperlink r:id="rId29">
        <w:r>
          <w:rPr>
            <w:rStyle w:val="Internetkoppeling"/>
          </w:rPr>
          <w:t>https://w</w:t>
        </w:r>
        <w:r>
          <w:rPr>
            <w:rStyle w:val="Internetkoppeling"/>
          </w:rPr>
          <w:t>ww.springeropen.com/collections/solutions</w:t>
        </w:r>
      </w:hyperlink>
      <w:r>
        <w:t xml:space="preserve">. </w:t>
      </w:r>
    </w:p>
    <w:p w:rsidR="00DE6391" w:rsidRDefault="00DE6391"/>
    <w:p w:rsidR="00DE6391" w:rsidRDefault="00DE6391"/>
    <w:p w:rsidR="00DE6391" w:rsidRDefault="00022B29">
      <w:pPr>
        <w:pStyle w:val="Heading1"/>
        <w:numPr>
          <w:ilvl w:val="0"/>
          <w:numId w:val="2"/>
        </w:numPr>
        <w:rPr>
          <w:lang w:val="en-US"/>
        </w:rPr>
      </w:pPr>
      <w:bookmarkStart w:id="22" w:name="_Toc65147566"/>
      <w:r>
        <w:rPr>
          <w:lang w:val="en-US"/>
        </w:rPr>
        <w:lastRenderedPageBreak/>
        <w:t>Classificatie is geen diagnose</w:t>
      </w:r>
      <w:bookmarkEnd w:id="22"/>
    </w:p>
    <w:p w:rsidR="00DE6391" w:rsidRDefault="00022B29">
      <w:r>
        <w:t>De waterkwaliteit wordt, conform de KRW, voor rapportages en het afleiden van maatregelen samengevat in de ecologische toestand en de chemische toestand. In rapporten over de toes</w:t>
      </w:r>
      <w:r>
        <w:t xml:space="preserve">tand van de Europese watersystemen wordt de classificatie vaak samengevat als </w:t>
      </w:r>
      <w:r>
        <w:rPr>
          <w:i/>
        </w:rPr>
        <w:t>frequentie van waterlichamen</w:t>
      </w:r>
      <w:r>
        <w:t xml:space="preserve"> in elke klasse </w:t>
      </w:r>
      <w:r>
        <w:fldChar w:fldCharType="begin"/>
      </w:r>
      <w:r>
        <w:instrText>ADDIN EN.CITE &lt;EndNote&gt;&lt;Cite&gt;&lt;Author&gt;EEA&lt;/Author&gt;&lt;Year&gt;2012&lt;/Year&gt;&lt;RecNum&gt;9263&lt;/RecNum&gt;&lt;DisplayText&gt;(EEA, 2012; 2018)&lt;/DisplayText&gt;&lt;re</w:instrText>
      </w:r>
      <w:r>
        <w:instrText>cord&gt;&lt;rec-number&gt;9263&lt;/rec-number&gt;&lt;foreign-keys&gt;&lt;key app="EN" db-id="9vew0e5rcppvxrezet3vref0tpxfwzzf9f0s" timestamp="1519121944"&gt;9263&lt;/key&gt;&lt;/foreign-keys&gt;&lt;ref-type name="Report"&gt;27&lt;/ref-type&gt;&lt;contributors&gt;&lt;authors&gt;&lt;author&gt;EEA,&lt;/author&gt;&lt;/authors&gt;&lt;/contribu</w:instrText>
      </w:r>
      <w:r>
        <w:instrText>tors&gt;&lt;titles&gt;&lt;title&gt;European waters — assessment of status and pressures&lt;/title&gt;&lt;/titles&gt;&lt;dates&gt;&lt;year&gt;2012&lt;/year&gt;&lt;/dates&gt;&lt;publisher&gt;EEA Report No 8/2012 EEA, Copenhagen, Denmark.&lt;/publisher&gt;&lt;isbn&gt;EEA-Report no. 8/2012&lt;/isbn&gt;&lt;call-num&gt;ISSN 1725-9177&lt;/call-n</w:instrText>
      </w:r>
      <w:r>
        <w:instrText>um&gt;&lt;urls&gt;&lt;/urls&gt;&lt;/record&gt;&lt;/Cite&gt;&lt;Cite&gt;&lt;Author&gt;EEA&lt;/Author&gt;&lt;Year&gt;2018&lt;/Year&gt;&lt;RecNum&gt;9623&lt;/RecNum&gt;&lt;record&gt;&lt;rec-number&gt;9623&lt;/rec-number&gt;&lt;foreign-keys&gt;&lt;key app="EN" db-id="9vew0e5rcppvxrezet3vref0tpxfwzzf9f0s" timestamp="1535616654"&gt;9623&lt;/key&gt;&lt;/foreign-keys&gt;&lt;r</w:instrText>
      </w:r>
      <w:r>
        <w:instrText>ef-type name="Report"&gt;27&lt;/ref-type&gt;&lt;contributors&gt;&lt;authors&gt;&lt;author&gt;EEA,&lt;/author&gt;&lt;/authors&gt;&lt;/contributors&gt;&lt;titles&gt;&lt;title&gt;European waters — assessment of status and pressures https://www.eea.europa.eu/publications/state-of-water&lt;/title&gt;&lt;/titles&gt;&lt;dates&gt;&lt;year&gt;2</w:instrText>
      </w:r>
      <w:r>
        <w:instrText>018&lt;/year&gt;&lt;/dates&gt;&lt;orig-pub&gt;ISSN 1725-9177&lt;/orig-pub&gt;&lt;urls&gt;&lt;/urls&gt;&lt;/record&gt;&lt;/Cite&gt;&lt;/EndNote&gt;</w:instrText>
      </w:r>
      <w:r>
        <w:fldChar w:fldCharType="separate"/>
      </w:r>
      <w:r>
        <w:t>(EEA, 2012</w:t>
      </w:r>
      <w:r>
        <w:fldChar w:fldCharType="end"/>
      </w:r>
      <w:r>
        <w:t>; 2018). Door de resultaten te vergelijken tussen verschillende rapportageperiodes kan vastgesteld worden of de waterkwaliteit voor een gebied verander</w:t>
      </w:r>
      <w:r>
        <w:t>t. Door maatregelen zou de frequentie van de lagere klassen (slechtere waterkwaliteit) afnemen, en die van hogere (goede waterkwaliteit) toenemen. Als maatregelen effectief zijn neemt de frequentie van waterlichamen in goede toestand uiteindelijk toe, en v</w:t>
      </w:r>
      <w:r>
        <w:t>ervalt voor die waterlichamen de ‘trigger’ voor verdere aandacht voor herstelplannen, totdat alle waterlichamen in (tenminste) goede toestand zijn. Bij de classificatie wordt gebruik gemaakt van het “</w:t>
      </w:r>
      <w:r>
        <w:rPr>
          <w:i/>
        </w:rPr>
        <w:t>one out, all out</w:t>
      </w:r>
      <w:r>
        <w:t>” principe, wat betekent dat bij de aggr</w:t>
      </w:r>
      <w:r>
        <w:t xml:space="preserve">egatie van allerlei gegevens steeds de slechtste classificatie-uitslag van een stap de einduitslag bepaalt (zie </w:t>
      </w:r>
      <w:r>
        <w:fldChar w:fldCharType="begin"/>
      </w:r>
      <w:r>
        <w:instrText>REF _Ref31025731 \h</w:instrText>
      </w:r>
      <w:r>
        <w:fldChar w:fldCharType="separate"/>
      </w:r>
      <w:r>
        <w:t>Figuur 1</w:t>
      </w:r>
      <w:r>
        <w:fldChar w:fldCharType="end"/>
      </w:r>
      <w:r>
        <w:t>).</w:t>
      </w:r>
    </w:p>
    <w:p w:rsidR="00DE6391" w:rsidRDefault="00DE6391"/>
    <w:p w:rsidR="00DE6391" w:rsidRDefault="00022B29">
      <w:r>
        <w:t>Hierboven staat in een notendop het sterke aspe</w:t>
      </w:r>
      <w:r>
        <w:t xml:space="preserve">ct van het KRW-classificatie-systeem: de waterbeheerder wordt geattendeerd op de noodzaak van maatregelen zolang er tenminste één waterlichaam op tenminste één drukfactor niet voldoet. Ook is het een voordeel dat kan worden vastgesteld of de doelen van de </w:t>
      </w:r>
      <w:r>
        <w:t>KRW bereikt zijn: in dat geval is er 100% van de waterlichamen in goede toestand (ecologisch, zuiveringsopgave technisch en chemisch). Afwijkingen daarvan zijn in feite op het niveau van een beheergebied, met vele waterlichamen, een ‘</w:t>
      </w:r>
      <w:r>
        <w:rPr>
          <w:i/>
        </w:rPr>
        <w:t>distance to target</w:t>
      </w:r>
      <w:r>
        <w:t>’: v</w:t>
      </w:r>
      <w:r>
        <w:t xml:space="preserve">oor hoeveel waterlichamen zijn er nog maatregelen nodig? </w:t>
      </w:r>
    </w:p>
    <w:p w:rsidR="00DE6391" w:rsidRDefault="00DE6391"/>
    <w:p w:rsidR="00DE6391" w:rsidRDefault="00022B29">
      <w:r>
        <w:t xml:space="preserve">Het zwakke aspect van de classificatie is echter, dat de uitslagen </w:t>
      </w:r>
      <w:r>
        <w:rPr>
          <w:i/>
        </w:rPr>
        <w:t>geen inzicht geven in de mate waarin een drukfactor effecten veroorzaakt</w:t>
      </w:r>
      <w:r>
        <w:t>. Dat geldt het sterkst voor verontreinigende stoffen, waa</w:t>
      </w:r>
      <w:r>
        <w:t xml:space="preserve">r er slechts duidelijk is dat een stof aanwezig is boven diens norm, maar niet welk eindpunt (mens, of directe of indirecte effecten op aquatische levensgemeenschappen) met welke omvang kan zijn aangetast. Dit zwakke aspect kwam opvallend naar voren in de </w:t>
      </w:r>
      <w:r>
        <w:t>EEA-analyse van de Europese water in 2012: alle &gt;22</w:t>
      </w:r>
      <w:r>
        <w:t>.000</w:t>
      </w:r>
      <w:r>
        <w:t xml:space="preserve"> waterlichamen van Zweden hadden een chemisch onvoldoende kwaliteit, op basis van (dus) slechts 45 prioritaire stoffen </w:t>
      </w:r>
      <w:r>
        <w:fldChar w:fldCharType="begin"/>
      </w:r>
      <w:r>
        <w:instrText>ADDIN EN.CITE &lt;EndNote&gt;&lt;Cite&gt;&lt;Author&gt;EEA&lt;/Author&gt;&lt;Year&gt;2012&lt;/Year&gt;&lt;RecNum&gt;9263&lt;/R</w:instrText>
      </w:r>
      <w:r>
        <w:instrText>ecNum&gt;&lt;DisplayText&gt;(EEA, 2012)&lt;/DisplayText&gt;&lt;record&gt;&lt;rec-number&gt;9263&lt;/rec-number&gt;&lt;foreign-keys&gt;&lt;key app="EN" db-id="9vew0e5rcppvxrezet3vref0tpxfwzzf9f0s" timestamp="1519121944"&gt;9263&lt;/key&gt;&lt;/foreign-keys&gt;&lt;ref-type name="Report"&gt;27&lt;/ref-type&gt;&lt;contributors&gt;&lt;au</w:instrText>
      </w:r>
      <w:r>
        <w:instrText>thors&gt;&lt;author&gt;EEA,&lt;/author&gt;&lt;/authors&gt;&lt;/contributors&gt;&lt;titles&gt;&lt;title&gt;European waters — assessment of status and pressures&lt;/title&gt;&lt;/titles&gt;&lt;dates&gt;&lt;year&gt;2012&lt;/year&gt;&lt;/dates&gt;&lt;publisher&gt;EEA Report No 8/2012 EEA, Copenhagen, Denmark.&lt;/publisher&gt;&lt;isbn&gt;EEA-Report no</w:instrText>
      </w:r>
      <w:r>
        <w:instrText>. 8/2012&lt;/isbn&gt;&lt;call-num&gt;ISSN 1725-9177&lt;/call-num&gt;&lt;urls&gt;&lt;/urls&gt;&lt;/record&gt;&lt;/Cite&gt;&lt;/EndNote&gt;</w:instrText>
      </w:r>
      <w:r>
        <w:fldChar w:fldCharType="separate"/>
      </w:r>
      <w:r>
        <w:t>(EEA, 2012</w:t>
      </w:r>
      <w:r>
        <w:fldChar w:fldCharType="end"/>
      </w:r>
      <w:r>
        <w:t>). In het verlengde hiervan ligt het voor de hand te denken dat de classificatie voor geheel Europa ‘niet voldoend’ zou aangeven als de waterkwaliteit via</w:t>
      </w:r>
      <w:r>
        <w:t xml:space="preserve"> het ‘</w:t>
      </w:r>
      <w:r>
        <w:rPr>
          <w:i/>
        </w:rPr>
        <w:t>one out, all out</w:t>
      </w:r>
      <w:r>
        <w:t>’ principe getoetst zou worden met de voorlopige normeringsvoorstellen voor meer dan 40k stoffen van het EU-NORMAN netwerk (</w:t>
      </w:r>
      <w:hyperlink r:id="rId30">
        <w:r>
          <w:t>https://www.norman-network.com/nds/ecotox/</w:t>
        </w:r>
      </w:hyperlink>
      <w:r>
        <w:t>). Ied</w:t>
      </w:r>
      <w:r>
        <w:t xml:space="preserve">ere waterbeheerder zou er via dit indicatorensysteem op gewezen worden dat chemische verontreiniging overal optreedt, schijnbaar evenredig is qua sterkte en dat ze dat probleem overal moeten aanpakken. </w:t>
      </w:r>
    </w:p>
    <w:p w:rsidR="00DE6391" w:rsidRDefault="00DE6391"/>
    <w:p w:rsidR="00DE6391" w:rsidRDefault="00022B29">
      <w:r>
        <w:t>De feitelijke situatie die door de classificatie-sys</w:t>
      </w:r>
      <w:r>
        <w:t xml:space="preserve">tematiek in Europa bestaat is geanalyseerd in </w:t>
      </w:r>
      <w:r>
        <w:fldChar w:fldCharType="begin"/>
      </w:r>
      <w:r>
        <w:instrText>ADDIN EN.CITE &lt;EndNote&gt;&lt;Cite&gt;&lt;Author&gt;Posthuma&lt;/Author&gt;&lt;Year&gt;2020&lt;/Year&gt;&lt;RecNum&gt;11012&lt;/RecNum&gt;&lt;DisplayText&gt;(Posthuma et al., 2020)&lt;/DisplayText&gt;&lt;record&gt;&lt;rec-number&gt;11012&lt;/rec-number&gt;&lt;foreign-keys&gt;&lt;key app="EN" d</w:instrText>
      </w:r>
      <w:r>
        <w:instrText>b-id="9vew0e5rcppvxrezet3vref0tpxfwzzf9f0s" timestamp="1599654012"&gt;11012&lt;/key&gt;&lt;/foreign-keys&gt;&lt;ref-type name="Journal Article"&gt;17&lt;/ref-type&gt;&lt;contributors&gt;&lt;authors&gt;&lt;author&gt;Posthuma, Leo&lt;/author&gt;&lt;author&gt;Zijp, Michiel C.&lt;/author&gt;&lt;author&gt;De Zwart, Dick&lt;/author&gt;</w:instrText>
      </w:r>
      <w:r>
        <w:instrText>&lt;author&gt;Van de Meent, Dik&lt;/author&gt;&lt;author&gt;Globevnik, Lidija&lt;/author&gt;&lt;author&gt;Koprivsek, Maja&lt;/author&gt;&lt;author&gt;Focks, Andreas&lt;/author&gt;&lt;author&gt;Van Gils, Jos&lt;/author&gt;&lt;author&gt;Birk, Sebastian&lt;/author&gt;&lt;/authors&gt;&lt;/contributors&gt;&lt;titles&gt;&lt;title&gt;Chemical pollution impo</w:instrText>
      </w:r>
      <w:r>
        <w:instrText>ses limitations to the ecological status of European surface waters&lt;/title&gt;&lt;secondary-title&gt;Scientific Reports&lt;/secondary-title&gt;&lt;/titles&gt;&lt;periodical&gt;&lt;full-title&gt;Scientific Reports&lt;/full-title&gt;&lt;/periodical&gt;&lt;pages&gt;14825&lt;/pages&gt;&lt;volume&gt;10&lt;/volume&gt;&lt;number&gt;1&lt;/n</w:instrText>
      </w:r>
      <w:r>
        <w:instrText>umber&gt;&lt;dates&gt;&lt;year&gt;2020&lt;/year&gt;&lt;pub-dates&gt;&lt;date&gt;2020/09/09&lt;/date&gt;&lt;/pub-dates&gt;&lt;/dates&gt;&lt;isbn&gt;2045-2322&lt;/isbn&gt;&lt;urls&gt;&lt;related-urls&gt;&lt;url&gt;https://doi.org/10.1038/s41598-020-71537-2&lt;/url&gt;&lt;/related-urls&gt;&lt;/urls&gt;&lt;electronic-resource-num&gt;10.1038/s41598-020-71537-2&lt;/el</w:instrText>
      </w:r>
      <w:r>
        <w:instrText>ectronic-resource-num&gt;&lt;/record&gt;&lt;/Cite&gt;&lt;/EndNote&gt;</w:instrText>
      </w:r>
      <w:r>
        <w:fldChar w:fldCharType="separate"/>
      </w:r>
      <w:r>
        <w:t>(Posthuma et al., 2020</w:t>
      </w:r>
      <w:r>
        <w:fldChar w:fldCharType="end"/>
      </w:r>
      <w:r>
        <w:t xml:space="preserve">). Zevenenzestig procent van de Europese KRW-waterlichamen bleek vanwege slechts enkele tientallen stoffen geclassificeerd worden als ‘voldoet niet’ qua chemische verontreiniging. In </w:t>
      </w:r>
      <w:r>
        <w:t>de discussie van deze Europa-brede data analyse werd gesteld, dat de diagnose beter kan en moet, omdat de huidige classificatie – zoals uit de voorbeelden blijkt – uiterst gevoelig is voor verslechtering, en tegelijkertijd nauwelijks voor daadwerkelijke ve</w:t>
      </w:r>
      <w:r>
        <w:t>rbetering van de waterkwaliteit. De waterkwaliteit valt pas in de klasse “voldoet” als geen enkele stof boven diens norm aanwezig is. Beide (onbedoelde) effecten belemmeren het prioriteren van maatregelen (“tegen alles, overal”?) en het volhouden ervan (“d</w:t>
      </w:r>
      <w:r>
        <w:t xml:space="preserve">e classificatie verandert niet, ondanks grote investeringen in maatregelen”). </w:t>
      </w:r>
    </w:p>
    <w:p w:rsidR="00DE6391" w:rsidRDefault="00DE6391"/>
    <w:p w:rsidR="00DE6391" w:rsidRDefault="00022B29">
      <w:pPr>
        <w:pStyle w:val="Heading1"/>
        <w:numPr>
          <w:ilvl w:val="0"/>
          <w:numId w:val="2"/>
        </w:numPr>
        <w:rPr>
          <w:sz w:val="22"/>
          <w:szCs w:val="22"/>
        </w:rPr>
      </w:pPr>
      <w:bookmarkStart w:id="23" w:name="_Toc65147567"/>
      <w:r>
        <w:lastRenderedPageBreak/>
        <w:t>Diagnose: waarom en met welke basis?</w:t>
      </w:r>
      <w:bookmarkEnd w:id="23"/>
    </w:p>
    <w:p w:rsidR="00DE6391" w:rsidRDefault="00022B29">
      <w:pPr>
        <w:pStyle w:val="Heading2"/>
        <w:numPr>
          <w:ilvl w:val="1"/>
          <w:numId w:val="2"/>
        </w:numPr>
        <w:rPr>
          <w:sz w:val="22"/>
          <w:szCs w:val="22"/>
        </w:rPr>
      </w:pPr>
      <w:bookmarkStart w:id="24" w:name="_Toc65147568"/>
      <w:r>
        <w:t>Over diagnose</w:t>
      </w:r>
      <w:bookmarkEnd w:id="24"/>
    </w:p>
    <w:p w:rsidR="00DE6391" w:rsidRDefault="00022B29">
      <w:r>
        <w:t xml:space="preserve">De hierboven genoemde classificatie voor een beheergebied vormt duidelijk géén “diagnose” in de klassieke zin van het woord. </w:t>
      </w:r>
      <w:r>
        <w:t>Het woord ‘diagnose’ heeft daarbij diverse betekenissen, waaronder (a) het proces waarin afgeleid wordt wat de onderliggende oorzaken zijn van een afwijking van de normale situatie (‘er is een afwijking die zich uit als effect x, en in de diagnose analyser</w:t>
      </w:r>
      <w:r>
        <w:t xml:space="preserve">en we of de factoren a, b, c…. hierbij een rol kunnen hebben gespeeld), en (b) het resultaat van dat proces (‘de diagnose is, dat factor x de afwijking veroorzaakt heeft’). </w:t>
      </w:r>
    </w:p>
    <w:p w:rsidR="00DE6391" w:rsidRDefault="00DE6391"/>
    <w:p w:rsidR="00DE6391" w:rsidRDefault="00022B29">
      <w:r>
        <w:t>Omdat er veel DP</w:t>
      </w:r>
      <w:r>
        <w:t>SI-gegevens verzameld en gebruikt worden bij de classificatie kwam de gedachte op om (vooral voor chemische verontreinigingen) de classificatie-systematiek ‘omgekeerd’ te interpreteren, als eerste trap van een diagnose: beschikbare gegevens worden gebruikt</w:t>
      </w:r>
      <w:r>
        <w:t xml:space="preserve"> om af te leiden welke drukfactoren mogelijk een rol spelen bij een verminderde waterkwaliteit. Ofwel: het zodanig kijken naar de classificatie dat de oorzaken, en hun relatieve belang, duidelijk worden. In relatie tot de actiegerichtheid van de KRW is het</w:t>
      </w:r>
      <w:r>
        <w:t xml:space="preserve"> belangrijk dat de aandacht niet alleen gericht wordt op de waterlichamen met een minder-dan-goede classificatie, maar daarbinnen specifiek op de drukfactoren die het sterkst bijgedragen hebben aan die classificatie. Dat is niet direct af te leiden uit de </w:t>
      </w:r>
      <w:r>
        <w:t>classificatie. De vergelijking met het ‘River Doctors’-Artikel zou kunnen zijn dat er in de gezondheidszorg snel kan worden geclassificeerd (x% van de mensen gaat naar de huisarts, y% van de mensen gaat naar de orthopeed, etc.) maar dat de diagnose (door h</w:t>
      </w:r>
      <w:r>
        <w:t xml:space="preserve">uisarts of specialist) een grondige analyse is van de oorzaken achter de aandoening van elke patiënt, met (daarna) een patiënt-specifiek behandelplan (een gebroken been leidt tot een ander behandelingsadvies dan griep). Voor waterbeheerders geldt, dat een </w:t>
      </w:r>
      <w:r>
        <w:t>goede diagnose zal helpen om de waterlichamen te identificeren waar de drukfactoren een bedreiging zijn (of lijken te worden) voor een beheergebied, hoe groot de bijhorende effecten zijn (bijvoorbeeld via de geel, oranje of rood codering van de ecologische</w:t>
      </w:r>
      <w:r>
        <w:t xml:space="preserve"> toestand), en door welke (combinatie van) drukfactor(en) de impacts worden veroorzaakt. </w:t>
      </w:r>
    </w:p>
    <w:p w:rsidR="00DE6391" w:rsidRDefault="00022B29">
      <w:pPr>
        <w:pStyle w:val="Heading2"/>
        <w:numPr>
          <w:ilvl w:val="1"/>
          <w:numId w:val="2"/>
        </w:numPr>
        <w:rPr>
          <w:sz w:val="22"/>
          <w:szCs w:val="22"/>
        </w:rPr>
      </w:pPr>
      <w:bookmarkStart w:id="25" w:name="_Toc65147569"/>
      <w:r>
        <w:t>Groepen van drukfactoren en interacties</w:t>
      </w:r>
      <w:bookmarkEnd w:id="25"/>
    </w:p>
    <w:p w:rsidR="00DE6391" w:rsidRDefault="00022B29">
      <w:r>
        <w:t>De mogelijke oorzaken van verminderde waterkwaliteit zijn:</w:t>
      </w:r>
    </w:p>
    <w:p w:rsidR="00DE6391" w:rsidRDefault="00022B29">
      <w:pPr>
        <w:numPr>
          <w:ilvl w:val="0"/>
          <w:numId w:val="4"/>
        </w:numPr>
      </w:pPr>
      <w:r>
        <w:t>Hydromorfologische factoren, zoals de stroming van een rivier, diep</w:t>
      </w:r>
      <w:r>
        <w:t>te, breedte en substraat-type</w:t>
      </w:r>
    </w:p>
    <w:p w:rsidR="00DE6391" w:rsidRDefault="00022B29">
      <w:pPr>
        <w:numPr>
          <w:ilvl w:val="0"/>
          <w:numId w:val="4"/>
        </w:numPr>
      </w:pPr>
      <w:r>
        <w:t>Fysisch-chemische factoren, zoals thermische omstandigheden, zuurstofhuishouding, zoutgehalte, verzuringsgraad en nutriënten</w:t>
      </w:r>
    </w:p>
    <w:p w:rsidR="00DE6391" w:rsidRDefault="00022B29">
      <w:r>
        <w:t xml:space="preserve">en binnen de fysisch-chemische factoren (ook) </w:t>
      </w:r>
    </w:p>
    <w:p w:rsidR="00DE6391" w:rsidRDefault="00022B29">
      <w:pPr>
        <w:numPr>
          <w:ilvl w:val="0"/>
          <w:numId w:val="4"/>
        </w:numPr>
      </w:pPr>
      <w:r>
        <w:t xml:space="preserve">Verontreinigende stoffen, te onderscheiden in </w:t>
      </w:r>
    </w:p>
    <w:p w:rsidR="00DE6391" w:rsidRDefault="00022B29">
      <w:pPr>
        <w:numPr>
          <w:ilvl w:val="1"/>
          <w:numId w:val="4"/>
        </w:numPr>
      </w:pPr>
      <w:r>
        <w:t>natuurl</w:t>
      </w:r>
      <w:r>
        <w:t>ijke stoffen (zoals zware metalen) en</w:t>
      </w:r>
    </w:p>
    <w:p w:rsidR="00DE6391" w:rsidRDefault="00022B29">
      <w:pPr>
        <w:numPr>
          <w:ilvl w:val="1"/>
          <w:numId w:val="4"/>
        </w:numPr>
      </w:pPr>
      <w:r>
        <w:t>synthetische stoffen</w:t>
      </w:r>
    </w:p>
    <w:p w:rsidR="00DE6391" w:rsidRDefault="00DE6391"/>
    <w:p w:rsidR="00DE6391" w:rsidRDefault="00022B29">
      <w:r>
        <w:t>Daarbij geldt, dat de effecten op de ecologische toestand heel vaak veroorzaakt kunnen zijn door meer dan één van de genoemde drukfactoren, en daarbinnen door één of meer stoffen (samen: een mengsel). Ook is er vaak sprake van interacties, waarbij de aanwe</w:t>
      </w:r>
      <w:r>
        <w:t xml:space="preserve">zigheid van de ene drukfactor de effecten van  de andere drukfactor versterkt of teniet doet. Dat geldt bijvoorbeeld voor nutriënten en chemische stoffen, die elkaars effecten in het veld beïnvloeden (significante interactie, zie </w:t>
      </w:r>
      <w:r>
        <w:fldChar w:fldCharType="begin"/>
      </w:r>
      <w:r>
        <w:instrText>ADDIN EN.CITE</w:instrText>
      </w:r>
      <w:hyperlink w:anchor="_ENREF_24" w:tgtFrame="Lemm, 2020 #11177"/>
      <w:r>
        <w:fldChar w:fldCharType="begin"/>
      </w:r>
      <w:r>
        <w:instrText>ADDIN EN.CITE.DATALemm et al. (2020)</w:instrText>
      </w:r>
      <w:r>
        <w:fldChar w:fldCharType="end"/>
      </w:r>
      <w:r>
        <w:fldChar w:fldCharType="end"/>
      </w:r>
      <w:r>
        <w:t>), en waarbij dit logisch is om te verwachten. Dat laatste blijkt uit alleen al de titel van het ecotoxicologische artikel “</w:t>
      </w:r>
      <w:r>
        <w:rPr>
          <w:i/>
          <w:iCs/>
        </w:rPr>
        <w:t>Survival of the fattest: implications for acute ef</w:t>
      </w:r>
      <w:r>
        <w:rPr>
          <w:i/>
          <w:iCs/>
        </w:rPr>
        <w:t>fects of lipophilic chemicals on aquatic populations</w:t>
      </w:r>
      <w:r>
        <w:t xml:space="preserve">”, waarbij de hoeveelheid voeding de effecten van chemische stoffen duidelijk beïnvloedt. De interacties </w:t>
      </w:r>
      <w:r>
        <w:lastRenderedPageBreak/>
        <w:t>kunnen veel vormen hebben (tussen drukfactoren, tussen soorten, etc.), maar als het aquatische ecos</w:t>
      </w:r>
      <w:r>
        <w:t xml:space="preserve">ysteem (vrijwel) in ongestoorde toestand is (teruggebracht door maatregelen) zijn de interacties die dan bestaan ook de natuurlijke interacties die bij die situatie horen.   </w:t>
      </w:r>
    </w:p>
    <w:p w:rsidR="00DE6391" w:rsidRDefault="00022B29">
      <w:pPr>
        <w:pStyle w:val="Heading2"/>
        <w:numPr>
          <w:ilvl w:val="1"/>
          <w:numId w:val="2"/>
        </w:numPr>
        <w:rPr>
          <w:sz w:val="22"/>
          <w:szCs w:val="22"/>
        </w:rPr>
      </w:pPr>
      <w:bookmarkStart w:id="26" w:name="_Toc65147570"/>
      <w:r>
        <w:t>Diagnose van effecten op ecosystemen: voorgestelde aanpak</w:t>
      </w:r>
      <w:bookmarkEnd w:id="26"/>
      <w:r>
        <w:t xml:space="preserve"> </w:t>
      </w:r>
    </w:p>
    <w:p w:rsidR="00DE6391" w:rsidRDefault="00022B29">
      <w:pPr>
        <w:pStyle w:val="Heading3"/>
        <w:numPr>
          <w:ilvl w:val="2"/>
          <w:numId w:val="2"/>
        </w:numPr>
        <w:rPr>
          <w:sz w:val="22"/>
          <w:szCs w:val="22"/>
        </w:rPr>
      </w:pPr>
      <w:bookmarkStart w:id="27" w:name="_Toc65147571"/>
      <w:r>
        <w:t>De wetenschappelijke b</w:t>
      </w:r>
      <w:r>
        <w:t>asis</w:t>
      </w:r>
      <w:bookmarkEnd w:id="27"/>
    </w:p>
    <w:p w:rsidR="00DE6391" w:rsidRDefault="00022B29">
      <w:r>
        <w:t>Door combinatie van de principes van het artikel “</w:t>
      </w:r>
      <w:r>
        <w:rPr>
          <w:i/>
        </w:rPr>
        <w:t>River Doctors</w:t>
      </w:r>
      <w:r>
        <w:t>”, de basis van de KRW-methodieken in de toegepaste ecologie en de toegepaste ecotoxicologie en de KRW-classificatie is afgeleid hoe de eerste-trap diagnosemethodiek voor ecosystemen er ui</w:t>
      </w:r>
      <w:r>
        <w:t xml:space="preserve">t ziet. </w:t>
      </w:r>
    </w:p>
    <w:p w:rsidR="00DE6391" w:rsidRDefault="00DE6391"/>
    <w:p w:rsidR="00DE6391" w:rsidRDefault="00022B29">
      <w:r>
        <w:t xml:space="preserve">Zowel in de toegepaste ecologie als de toegepaste ecotoxicologie is er sprake van stressor-respons relaties, zoals uiteengezet in de KIWK-Notitie over het optreden van effecten </w:t>
      </w:r>
      <w:r>
        <w:fldChar w:fldCharType="begin"/>
      </w:r>
      <w:r>
        <w:instrText>ADDIN EN.CITE &lt;EndNote&gt;&lt;Cite&gt;&lt;Author&gt;KIWK-Tox WP2&lt;/Author&gt;&lt;Year&gt;2020&lt;</w:instrText>
      </w:r>
      <w:r>
        <w:instrText>/Year&gt;&lt;RecNum&gt;10629&lt;/RecNum&gt;&lt;DisplayText&gt;(KIWK-Tox WP2, 2020a)&lt;/DisplayText&gt;&lt;record&gt;&lt;rec-number&gt;10629&lt;/rec-number&gt;&lt;foreign-keys&gt;&lt;key app="EN" db-id="9vew0e5rcppvxrezet3vref0tpxfwzzf9f0s" timestamp="1583327624"&gt;10629&lt;/key&gt;&lt;/foreign-keys&gt;&lt;ref-type name="Repo</w:instrText>
      </w:r>
      <w:r>
        <w:instrText>rt"&gt;27&lt;/ref-type&gt;&lt;contributors&gt;&lt;authors&gt;&lt;author&gt;KIWK-Tox WP2,&lt;/author&gt;&lt;/authors&gt;&lt;/contributors&gt;&lt;titles&gt;&lt;title&gt;Chemische verontreiniging en effecten op ecologie en de zuiveringsinspanning. Achtergronddocument beschikbare kennis bij de sleutelfactor toxicite</w:instrText>
      </w:r>
      <w:r>
        <w:instrText>it.&lt;/title&gt;&lt;/titles&gt;&lt;dates&gt;&lt;year&gt;2020&lt;/year&gt;&lt;/dates&gt;&lt;publisher&gt;STOWA, Amsersfoort&lt;/publisher&gt;&lt;urls&gt;&lt;/urls&gt;&lt;/record&gt;&lt;/Cite&gt;&lt;/EndNote&gt;</w:instrText>
      </w:r>
      <w:r>
        <w:fldChar w:fldCharType="separate"/>
      </w:r>
      <w:r>
        <w:t>(KIWK-Tox WP2, 2020a</w:t>
      </w:r>
      <w:r>
        <w:fldChar w:fldCharType="end"/>
      </w:r>
      <w:r>
        <w:t xml:space="preserve">). In die Notitie worden die stressor-respons relaties uitgebeeld zoals in </w:t>
      </w:r>
      <w:r>
        <w:fldChar w:fldCharType="begin"/>
      </w:r>
      <w:r>
        <w:instrText>REF _Ref62033098 \h</w:instrText>
      </w:r>
      <w:r>
        <w:fldChar w:fldCharType="separate"/>
      </w:r>
      <w:r>
        <w:t xml:space="preserve">Figuur </w:t>
      </w:r>
      <w:r>
        <w:t>4</w:t>
      </w:r>
      <w:r>
        <w:fldChar w:fldCharType="end"/>
      </w:r>
      <w:r>
        <w:t xml:space="preserve">. Het ecologische concept van de optimum-curve staat onder meer bekend als ‘Shelford’s Law of Tolerance’ uit 1911 </w:t>
      </w:r>
      <w:r>
        <w:fldChar w:fldCharType="begin"/>
      </w:r>
      <w:r>
        <w:instrText>ADDIN EN.CITE &lt;EndNote&gt;&lt;Cite&gt;&lt;Author&gt;Shelford&lt;/Author&gt;&lt;Year&gt;1929&lt;/Year&gt;&lt;Rec</w:instrText>
      </w:r>
      <w:r>
        <w:instrText>Num&gt;10484&lt;/RecNum&gt;&lt;DisplayText&gt;(Shelford, 1929)&lt;/DisplayText&gt;&lt;record&gt;&lt;rec-number&gt;10484&lt;/rec-number&gt;&lt;foreign-keys&gt;&lt;key app="EN" db-id="9vew0e5rcppvxrezet3vref0tpxfwzzf9f0s" timestamp="1575304743"&gt;10484&lt;/key&gt;&lt;/foreign-keys&gt;&lt;ref-type name="Book"&gt;6&lt;/ref-type&gt;&lt;</w:instrText>
      </w:r>
      <w:r>
        <w:instrText>contributors&gt;&lt;authors&gt;&lt;author&gt;Shelford, Victor E.&lt;/author&gt;&lt;/authors&gt;&lt;/contributors&gt;&lt;titles&gt;&lt;title&gt;Laboratory and field ecology: the responses of animals as indicators of correct working methods&lt;/title&gt;&lt;/titles&gt;&lt;pages&gt;xii, 608 p.&lt;/pages&gt;&lt;number&gt;xii, 608 p.&lt;</w:instrText>
      </w:r>
      <w:r>
        <w:instrText>/number&gt;&lt;keywords&gt;&lt;keyword&gt;Acclimatization.&lt;/keyword&gt;&lt;keyword&gt;Animal ecology.&lt;/keyword&gt;&lt;/keywords&gt;&lt;dates&gt;&lt;year&gt;1929&lt;/year&gt;&lt;/dates&gt;&lt;pub-location&gt;Baltimore&lt;/pub-location&gt;&lt;publisher&gt;Williams &amp;amp; Wilkins&lt;/publisher&gt;&lt;urls&gt;&lt;related-urls&gt;&lt;url&gt;//catalog.hathitru</w:instrText>
      </w:r>
      <w:r>
        <w:instrText>st.org/Record/001503108&lt;/url&gt;&lt;url&gt;http://hdl.handle.net/2027/mdp.39015068572380&lt;/url&gt;&lt;url&gt;http://hdl.handle.net/2027/wu.89041304379&lt;/url&gt;&lt;/related-urls&gt;&lt;/urls&gt;&lt;/record&gt;&lt;/Cite&gt;&lt;/EndNote&gt;</w:instrText>
      </w:r>
      <w:r>
        <w:fldChar w:fldCharType="separate"/>
      </w:r>
      <w:r>
        <w:t>(Shelford, 1929</w:t>
      </w:r>
      <w:r>
        <w:fldChar w:fldCharType="end"/>
      </w:r>
      <w:r>
        <w:t>). Het (eco)toxicologische concept van de dosis-respo</w:t>
      </w:r>
      <w:r>
        <w:t xml:space="preserve">ns relatie wordt toegeschreven aan de middeleeuwse wetenschapper Paracelsus. Beide curves tonen, dat een verandering van de blootstelling aan een drukfactor (op de x-as) gevolgen heeft voor bijvoorbeeld het vóórkomen van een soort (toegepaste ecologie) of </w:t>
      </w:r>
      <w:r>
        <w:t xml:space="preserve">de groei of reproductie bij blootstelling aan een toxische stof (toegepaste ecotoxicologie). In de figuur wordt dan ook de relatie met de kleurencodes van de classificatie van de KRW geïllustreerd. De toegepaste disciplines tonen voor zowel chemische- als </w:t>
      </w:r>
      <w:r>
        <w:t>andere drukfactoren dat een toenemende druk meestal zichtbaar wordt in toenemende effecten (gradueel).</w:t>
      </w:r>
    </w:p>
    <w:p w:rsidR="00DE6391" w:rsidRDefault="00DE6391"/>
    <w:p w:rsidR="00DE6391" w:rsidRDefault="00022B29">
      <w:r>
        <w:t xml:space="preserve">  </w:t>
      </w:r>
    </w:p>
    <w:p w:rsidR="00DE6391" w:rsidRDefault="00022B29">
      <w:pPr>
        <w:pStyle w:val="Caption"/>
        <w:rPr>
          <w:sz w:val="22"/>
          <w:szCs w:val="22"/>
        </w:rPr>
      </w:pPr>
      <w:r>
        <w:rPr>
          <w:noProof/>
          <w:lang w:eastAsia="nl-NL"/>
        </w:rPr>
        <w:drawing>
          <wp:inline distT="0" distB="0" distL="0" distR="0">
            <wp:extent cx="5753735" cy="1645285"/>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1"/>
                    <a:stretch>
                      <a:fillRect/>
                    </a:stretch>
                  </pic:blipFill>
                  <pic:spPr bwMode="auto">
                    <a:xfrm>
                      <a:off x="0" y="0"/>
                      <a:ext cx="5753735" cy="1645285"/>
                    </a:xfrm>
                    <a:prstGeom prst="rect">
                      <a:avLst/>
                    </a:prstGeom>
                  </pic:spPr>
                </pic:pic>
              </a:graphicData>
            </a:graphic>
          </wp:inline>
        </w:drawing>
      </w:r>
    </w:p>
    <w:p w:rsidR="00DE6391" w:rsidRDefault="00DE6391"/>
    <w:p w:rsidR="00DE6391" w:rsidRDefault="00022B29">
      <w:pPr>
        <w:pStyle w:val="Caption"/>
        <w:rPr>
          <w:sz w:val="22"/>
          <w:szCs w:val="22"/>
        </w:rPr>
      </w:pPr>
      <w:bookmarkStart w:id="28" w:name="_Ref62033098"/>
      <w:r>
        <w:t xml:space="preserve">Figuur </w:t>
      </w:r>
      <w:r>
        <w:fldChar w:fldCharType="begin"/>
      </w:r>
      <w:r>
        <w:instrText>SEQ Figuur \* ARABIC</w:instrText>
      </w:r>
      <w:r>
        <w:fldChar w:fldCharType="separate"/>
      </w:r>
      <w:r>
        <w:t>4</w:t>
      </w:r>
      <w:r>
        <w:fldChar w:fldCharType="end"/>
      </w:r>
      <w:bookmarkEnd w:id="28"/>
      <w:r>
        <w:t>. Links: De relatie tussen de concentratie van chemische verontreiniging en toenemende effecten. Het principe van d</w:t>
      </w:r>
      <w:r>
        <w:t>eze curve wordt toegeschreven aan Paracelsus, die wel de vader van de toxicologie wordt genoemd. Rechts: De relatie tussen de druk van een factor in het water (zoals pH) en toenemende effecten. Door de graduele kleuren wordt aangegeven dat ecologische effe</w:t>
      </w:r>
      <w:r>
        <w:t>cten (op de Y-as) op een continue schaal veranderen, met toenemende druk.</w:t>
      </w:r>
    </w:p>
    <w:p w:rsidR="00DE6391" w:rsidRDefault="00DE6391"/>
    <w:p w:rsidR="00DE6391" w:rsidRDefault="00022B29">
      <w:r>
        <w:t xml:space="preserve">In </w:t>
      </w:r>
      <w:r>
        <w:fldChar w:fldCharType="begin"/>
      </w:r>
      <w:r>
        <w:instrText>REF _Ref62033098 \h</w:instrText>
      </w:r>
      <w:r>
        <w:fldChar w:fldCharType="separate"/>
      </w:r>
      <w:r>
        <w:t>Figuur 4</w:t>
      </w:r>
      <w:r>
        <w:fldChar w:fldCharType="end"/>
      </w:r>
      <w:r>
        <w:t xml:space="preserve"> staan de vijf kleuren van de ecologische toestand ingekleurd op de Y-as, van zeer go</w:t>
      </w:r>
      <w:r>
        <w:t>ed (blauw) naar slechts (rood), maar nu als gradiënt (omdat de ecologische effecten gradueel toenemen bij toenemende druk). Er is geen conceptueel verschil tussen de curves uit de toegepaste ecologie en de toegepaste ecotoxicologie, behalve dan dat bij nut</w:t>
      </w:r>
      <w:r>
        <w:t xml:space="preserve">riënten er sprake kan zijn van een tekort dat nadelige effecten heeft. Dit figuur kan ook anders weergegeven worden, namelijk op een manier waarbij de kleuren op de X-as weergegeven worden, zoals in </w:t>
      </w:r>
      <w:r>
        <w:fldChar w:fldCharType="begin"/>
      </w:r>
      <w:r>
        <w:instrText>REF _Ref36483510 \h</w:instrText>
      </w:r>
      <w:r>
        <w:fldChar w:fldCharType="separate"/>
      </w:r>
      <w:r>
        <w:t>Figuur 5</w:t>
      </w:r>
      <w:r>
        <w:fldChar w:fldCharType="end"/>
      </w:r>
      <w:r>
        <w:t>. In de stap die geïllustreerd wordt, wordt de continue variatie in de ecologische effecten omgezet in vijf (uiteindelijk beleidsmatig gedefinieerde) klassen (en dus vijf kleuren).</w:t>
      </w:r>
    </w:p>
    <w:p w:rsidR="00DE6391" w:rsidRDefault="00DE6391">
      <w:pPr>
        <w:rPr>
          <w:rFonts w:ascii="Verdana" w:hAnsi="Verdana"/>
          <w:sz w:val="21"/>
          <w:szCs w:val="21"/>
        </w:rPr>
      </w:pPr>
    </w:p>
    <w:p w:rsidR="00DE6391" w:rsidRDefault="00022B29">
      <w:pPr>
        <w:pStyle w:val="Caption"/>
        <w:rPr>
          <w:sz w:val="22"/>
          <w:szCs w:val="22"/>
        </w:rPr>
      </w:pPr>
      <w:bookmarkStart w:id="29" w:name="_Ref36483510"/>
      <w:r>
        <w:rPr>
          <w:noProof/>
          <w:lang w:eastAsia="nl-NL"/>
        </w:rPr>
        <w:drawing>
          <wp:anchor distT="0" distB="0" distL="0" distR="0" simplePos="0" relativeHeight="251660288" behindDoc="0" locked="0" layoutInCell="1" allowOverlap="1">
            <wp:simplePos x="0" y="0"/>
            <wp:positionH relativeFrom="column">
              <wp:posOffset>635</wp:posOffset>
            </wp:positionH>
            <wp:positionV relativeFrom="paragraph">
              <wp:posOffset>45720</wp:posOffset>
            </wp:positionV>
            <wp:extent cx="5756910" cy="2102485"/>
            <wp:effectExtent l="0" t="0" r="0" b="0"/>
            <wp:wrapTopAndBottom/>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pic:cNvPicPr>
                      <a:picLocks noChangeAspect="1" noChangeArrowheads="1"/>
                    </pic:cNvPicPr>
                  </pic:nvPicPr>
                  <pic:blipFill>
                    <a:blip r:embed="rId32"/>
                    <a:srcRect t="5839"/>
                    <a:stretch>
                      <a:fillRect/>
                    </a:stretch>
                  </pic:blipFill>
                  <pic:spPr bwMode="auto">
                    <a:xfrm>
                      <a:off x="0" y="0"/>
                      <a:ext cx="5756910" cy="2102485"/>
                    </a:xfrm>
                    <a:prstGeom prst="rect">
                      <a:avLst/>
                    </a:prstGeom>
                  </pic:spPr>
                </pic:pic>
              </a:graphicData>
            </a:graphic>
          </wp:anchor>
        </w:drawing>
      </w:r>
      <w:r>
        <w:t xml:space="preserve">Figuur </w:t>
      </w:r>
      <w:r>
        <w:fldChar w:fldCharType="begin"/>
      </w:r>
      <w:r>
        <w:instrText>SEQ Figuur \* ARABIC</w:instrText>
      </w:r>
      <w:r>
        <w:fldChar w:fldCharType="separate"/>
      </w:r>
      <w:r>
        <w:t>5</w:t>
      </w:r>
      <w:r>
        <w:fldChar w:fldCharType="end"/>
      </w:r>
      <w:bookmarkEnd w:id="29"/>
      <w:r>
        <w:t>. Als</w:t>
      </w:r>
      <w:r>
        <w:t xml:space="preserve"> </w:t>
      </w:r>
      <w:r>
        <w:fldChar w:fldCharType="begin"/>
      </w:r>
      <w:r>
        <w:instrText>REF _Ref62033098 \h</w:instrText>
      </w:r>
      <w:r>
        <w:fldChar w:fldCharType="separate"/>
      </w:r>
      <w:r>
        <w:t>Figuur 4</w:t>
      </w:r>
      <w:r>
        <w:fldChar w:fldCharType="end"/>
      </w:r>
      <w:r>
        <w:t>, maar nu met een strikt doorgevoerde indeling in vijf effect-klassen, die overeenkomen met vijf klassen van de waarde van de drukfactor (op de X-as). Dit illust</w:t>
      </w:r>
      <w:r>
        <w:t>reert de relatie tussen de mogelijk te definiëren drukfactor-klassen en de effect-klassen. Blauw: geen (menselijke) invloeden op de drukfactor; groen: enige menselijke invloed en een begin van effect, maar dat effect is nog niet significant, geel/oranje/ro</w:t>
      </w:r>
      <w:r>
        <w:t>od – bij deze drukwaarden nemen de effecten toe.</w:t>
      </w:r>
    </w:p>
    <w:p w:rsidR="00DE6391" w:rsidRDefault="00DE6391"/>
    <w:p w:rsidR="00DE6391" w:rsidRDefault="00022B29">
      <w:r>
        <w:t>In de toegepaste ecologie gelden de hier genoemde beginselen nog steeds, maar is de theorievorming verder uitgebreid met onder meer de filter-hypothese. De filter-hypothese bouwt voort op het optimum-curve concept voor soorten, door naar de samenstelling v</w:t>
      </w:r>
      <w:r>
        <w:t>an soortenverzamelingen te kijken als resultante van een aantal filters, bij een gegeven regionale verzameling van soorten die in de onderdelen van het watersysteem zou kunnen vóórkomen: de lokale soortenverzameling is de resultante van de huidige en lokal</w:t>
      </w:r>
      <w:r>
        <w:t xml:space="preserve">e processen (die via onder meer optimum-curves werken op elke soort), maar ook van regionale en historische processen die soorten kunnen belemmeren in hun vóórkomen </w:t>
      </w:r>
      <w:r>
        <w:fldChar w:fldCharType="begin"/>
      </w:r>
      <w:r>
        <w:instrText>ADDIN EN.CITE</w:instrText>
      </w:r>
      <w:r>
        <w:fldChar w:fldCharType="begin"/>
      </w:r>
      <w:r>
        <w:instrText>ADDIN EN.CITE.DATA</w:instrText>
      </w:r>
      <w:r>
        <w:fldChar w:fldCharType="end"/>
      </w:r>
      <w:r>
        <w:fldChar w:fldCharType="separate"/>
      </w:r>
      <w:r>
        <w:t>(Peralta-Maraver et al., 2018</w:t>
      </w:r>
      <w:r>
        <w:fldChar w:fldCharType="end"/>
      </w:r>
      <w:r>
        <w:t xml:space="preserve">; Poff, 1997; Tonn, 1990; </w:t>
      </w:r>
      <w:r>
        <w:t xml:space="preserve">Tonn et al., 1990). Een habitat kan bijvoorbeeld in alle opzichten optimaal zijn wat betreft lokale waterkwaliteit (“blauw” in </w:t>
      </w:r>
      <w:r>
        <w:fldChar w:fldCharType="begin"/>
      </w:r>
      <w:r>
        <w:instrText>REF _Ref62033098 \h</w:instrText>
      </w:r>
      <w:r>
        <w:fldChar w:fldCharType="separate"/>
      </w:r>
      <w:r>
        <w:t>Figuur 4</w:t>
      </w:r>
      <w:r>
        <w:fldChar w:fldCharType="end"/>
      </w:r>
      <w:r>
        <w:t xml:space="preserve"> en </w:t>
      </w:r>
      <w:r>
        <w:fldChar w:fldCharType="begin"/>
      </w:r>
      <w:r>
        <w:instrText>REF _Ref36483510 \h</w:instrText>
      </w:r>
      <w:r>
        <w:fldChar w:fldCharType="separate"/>
      </w:r>
      <w:r>
        <w:t>Figuur 5</w:t>
      </w:r>
      <w:r>
        <w:fldChar w:fldCharType="end"/>
      </w:r>
      <w:r>
        <w:t xml:space="preserve"> voor alle lokale drukfactoren) voor bijvoorbeeld 20 soorten, maar door bijvoorbeeld dammen en sluizen komen er lokaal maar 4 soorten voor (het effect van deze constructies als filter). De kennis over optima van soorten en over filter-processen voor verzam</w:t>
      </w:r>
      <w:r>
        <w:t>elingen van soorten duiden er op, dat drukfactoren effecten kunnen hebben op aquatische ecosystemen, doordat ze belemmerend werken en uiteindelijk beginnende (“groen”) en significante effecten hebben  (“geel, oranje, rood”). De mate van belemmering die vas</w:t>
      </w:r>
      <w:r>
        <w:t xml:space="preserve">tgelegd is in een klasse (zoals “geel”) is echter geen “voorspeller” van een precies omschreven effect, zoals “soort x zal met y% minder individuen vóórkomen” (zie bijvoorbeeld </w:t>
      </w:r>
      <w:r>
        <w:fldChar w:fldCharType="begin"/>
      </w:r>
      <w:r>
        <w:instrText>ADDIN EN.CITE &lt;EndNote&gt;&lt;Cite AuthorYear="1"&gt;&lt;Author&gt;Feld&lt;/Author&gt;&lt;Year&gt;2014&lt;/Ye</w:instrText>
      </w:r>
      <w:r>
        <w:instrText>ar&gt;&lt;RecNum&gt;11264&lt;/RecNum&gt;&lt;DisplayText&gt;Feld et al. (2014)&lt;/DisplayText&gt;&lt;record&gt;&lt;rec-number&gt;11264&lt;/rec-number&gt;&lt;foreign-keys&gt;&lt;key app="EN" db-id="9vew0e5rcppvxrezet3vref0tpxfwzzf9f0s" timestamp="1614156690"&gt;11264&lt;/key&gt;&lt;/foreign-keys&gt;&lt;ref-type name="Journal Ar</w:instrText>
      </w:r>
      <w:r>
        <w:instrText>ticle"&gt;17&lt;/ref-type&gt;&lt;contributors&gt;&lt;authors&gt;&lt;author&gt;Feld, Christian K.&lt;/author&gt;&lt;author&gt;de Bello, Francesco&lt;/author&gt;&lt;author&gt;Dolédec, Sylvain&lt;/author&gt;&lt;/authors&gt;&lt;/contributors&gt;&lt;titles&gt;&lt;title&gt;Biodiversity of traits and species both show weak responses to hydrom</w:instrText>
      </w:r>
      <w:r>
        <w:instrText>orphological alteration in lowland river macroinvertebrates&lt;/title&gt;&lt;secondary-title&gt;Freshwater Biology&lt;/secondary-title&gt;&lt;/titles&gt;&lt;periodical&gt;&lt;full-title&gt;Freshwater Biology&lt;/full-title&gt;&lt;/periodical&gt;&lt;pages&gt;233-248&lt;/pages&gt;&lt;volume&gt;59&lt;/volume&gt;&lt;number&gt;2&lt;/number&gt;</w:instrText>
      </w:r>
      <w:r>
        <w:instrText>&lt;dates&gt;&lt;year&gt;2014&lt;/year&gt;&lt;/dates&gt;&lt;isbn&gt;0046-5070&lt;/isbn&gt;&lt;urls&gt;&lt;related-urls&gt;&lt;url&gt;https://onlinelibrary.wiley.com/doi/abs/10.1111/fwb.12260&lt;/url&gt;&lt;/related-urls&gt;&lt;/urls&gt;&lt;electronic-resource-num&gt;https://doi.org/10.1111/fwb.12260&lt;/electronic-resource-num&gt;&lt;/record</w:instrText>
      </w:r>
      <w:r>
        <w:instrText>&gt;&lt;/Cite&gt;&lt;/EndNote&gt;</w:instrText>
      </w:r>
      <w:hyperlink w:anchor="_ENREF_10" w:tgtFrame="Feld, 2014 #11264">
        <w:r>
          <w:instrText>Feld et al. (2014)</w:instrText>
        </w:r>
      </w:hyperlink>
      <w:r>
        <w:fldChar w:fldCharType="end"/>
      </w:r>
      <w:r>
        <w:t>). Deze auteur benadrukt ook, dat voor het bepalen van de mate van effect of belemmering er gekeken moet worden op soort of soortgroep-niveau, in plaats van hoog g</w:t>
      </w:r>
      <w:r>
        <w:t xml:space="preserve">eaggregeerde biodiversiteits-maten. Dit laatste is van belang voor de diagnose van toxische effecten, en wordt verder gebruikt in de indeling in ecotoxicologische effectklassen (zie Notitie WP5@@@).      </w:t>
      </w:r>
    </w:p>
    <w:p w:rsidR="00DE6391" w:rsidRDefault="00022B29">
      <w:pPr>
        <w:pStyle w:val="Heading3"/>
        <w:numPr>
          <w:ilvl w:val="2"/>
          <w:numId w:val="2"/>
        </w:numPr>
        <w:rPr>
          <w:sz w:val="22"/>
          <w:szCs w:val="22"/>
        </w:rPr>
      </w:pPr>
      <w:bookmarkStart w:id="30" w:name="_Toc65147572"/>
      <w:r>
        <w:t>Indeling van drukfactoren in klassen voor praktijk-</w:t>
      </w:r>
      <w:r>
        <w:t>evaluaties</w:t>
      </w:r>
      <w:bookmarkEnd w:id="30"/>
    </w:p>
    <w:p w:rsidR="00DE6391" w:rsidRDefault="00022B29">
      <w:r>
        <w:t xml:space="preserve">In </w:t>
      </w:r>
      <w:r>
        <w:fldChar w:fldCharType="begin"/>
      </w:r>
      <w:r>
        <w:instrText>REF _Ref36483510 \h</w:instrText>
      </w:r>
      <w:r>
        <w:fldChar w:fldCharType="separate"/>
      </w:r>
      <w:r>
        <w:t>Figuur 5</w:t>
      </w:r>
      <w:r>
        <w:fldChar w:fldCharType="end"/>
      </w:r>
      <w:r>
        <w:t xml:space="preserve"> wordt getoond dat een afwijking in de Y-as (effecten) ook een relatie heeft met een afwijking op de X-as, namelijk: een afwijking van de watertype-s</w:t>
      </w:r>
      <w:r>
        <w:t>pecifieke abiotische condities. Noot: het kan dus óók vóórkomen dat de Y-as een lagere classificatie heeft (bijvoorbeeld: oranje), maar dat de X-as níet afwijkend is van de watertype-specifieke referentie: dan is een ándere factor dan de bestudeerde factor</w:t>
      </w:r>
      <w:r>
        <w:t xml:space="preserve"> op de x-as de waarschijnlijke oorzaak van de effecten.</w:t>
      </w:r>
    </w:p>
    <w:p w:rsidR="00DE6391" w:rsidRDefault="00022B29">
      <w:pPr>
        <w:pStyle w:val="Heading2"/>
        <w:numPr>
          <w:ilvl w:val="1"/>
          <w:numId w:val="2"/>
        </w:numPr>
        <w:rPr>
          <w:sz w:val="22"/>
          <w:szCs w:val="22"/>
        </w:rPr>
      </w:pPr>
      <w:bookmarkStart w:id="31" w:name="_Toc65147573"/>
      <w:r>
        <w:lastRenderedPageBreak/>
        <w:t>De voorgestelde visuele diagnose: het principe</w:t>
      </w:r>
      <w:bookmarkEnd w:id="31"/>
    </w:p>
    <w:p w:rsidR="00DE6391" w:rsidRDefault="00022B29">
      <w:pPr>
        <w:pStyle w:val="Heading3"/>
        <w:numPr>
          <w:ilvl w:val="2"/>
          <w:numId w:val="2"/>
        </w:numPr>
        <w:rPr>
          <w:sz w:val="22"/>
          <w:szCs w:val="22"/>
        </w:rPr>
      </w:pPr>
      <w:bookmarkStart w:id="32" w:name="_Toc65147574"/>
      <w:r>
        <w:t>Koppeling tussen kennis en KRW</w:t>
      </w:r>
      <w:bookmarkEnd w:id="32"/>
    </w:p>
    <w:p w:rsidR="00DE6391" w:rsidRDefault="00022B29">
      <w:r>
        <w:t>Deze paragraaf beschrijft hoe de wetenschappelijke kennis over effecten en belemmeringen (de optimum-curve, de filter h</w:t>
      </w:r>
      <w:r>
        <w:t>ypothese, enz.) en de KRW-classificatie van ecologische toestandsklassen gebruikt kunnen worden voor een eerste-trap, eenvoudige en intuïtieve diagnose. Dat wordt geïllustreerd voor eerst één locatie, en vervolgens voor het watersysteemniveau. Noot: deze v</w:t>
      </w:r>
      <w:r>
        <w:t>isuele diagnosemethodiek sluit wat betreft het beoordelen van belemmeringen aan op de KRW, omdat daarin gesproken wordt over het “[maken van] een beoordeling ,,,, van de kans dat oppervlaktewaterlichamen in het stroomgebiedsdistrict niet zullen voldoen aan</w:t>
      </w:r>
      <w:r>
        <w:t xml:space="preserve"> de milieukwaliteitsdoelstellingen [van de KRW]” (Bijlage II, 1.5); dit is geen aanzet tot een preciese voorspelling. Verder zit de diagnosemethodiek al in de KRW “verborgen”, maar is desondanks nauwelijks voor de praktijk uitgewerkt. Rapportages over KRW-</w:t>
      </w:r>
      <w:r>
        <w:t>monitoring-data zijn vaak vooral gericht zijn het samenvatten van de resultaten van de classificatie voor een gebied of een land, en presenteren dan de frequenties van het vóórkomen van verschillende klassen in een groep waterlichamen.</w:t>
      </w:r>
    </w:p>
    <w:p w:rsidR="00DE6391" w:rsidRDefault="00022B29">
      <w:pPr>
        <w:pStyle w:val="Heading3"/>
        <w:numPr>
          <w:ilvl w:val="2"/>
          <w:numId w:val="2"/>
        </w:numPr>
        <w:rPr>
          <w:sz w:val="22"/>
          <w:szCs w:val="22"/>
        </w:rPr>
      </w:pPr>
      <w:bookmarkStart w:id="33" w:name="_Toc65147575"/>
      <w:r>
        <w:t>De intuïtieve diagno</w:t>
      </w:r>
      <w:r>
        <w:t>se</w:t>
      </w:r>
      <w:bookmarkEnd w:id="33"/>
    </w:p>
    <w:p w:rsidR="00DE6391" w:rsidRDefault="00022B29">
      <w:r>
        <w:fldChar w:fldCharType="begin"/>
      </w:r>
      <w:r>
        <w:instrText>REF _Ref65073414 \h</w:instrText>
      </w:r>
      <w:r>
        <w:fldChar w:fldCharType="separate"/>
      </w:r>
      <w:r>
        <w:t>Figuur 6</w:t>
      </w:r>
      <w:r>
        <w:fldChar w:fldCharType="end"/>
      </w:r>
      <w:r>
        <w:t xml:space="preserve"> toont de diagnostische toepassing van de KRW-classificatie van de waterkwaliteit op basis van het “</w:t>
      </w:r>
      <w:r>
        <w:rPr>
          <w:i/>
          <w:iCs/>
        </w:rPr>
        <w:t>one out, all out</w:t>
      </w:r>
      <w:r>
        <w:t xml:space="preserve">” principe. De diagnostische toepassing is </w:t>
      </w:r>
      <w:r>
        <w:t>als het ware een Matroesjka-systeem (in het engels een ‘genest’ systeem): de ecologische toestand (links) wordt ingedeeld in één van de vijf klassen, hoog, goed, matig, ontoereikend, en slecht (met de kleurencodes blauw, groen, geel, oranje en rood). Als e</w:t>
      </w:r>
      <w:r>
        <w:t>r één soortgroep in leidt tot classificatie als ‘ontoereikend” (in de figuur: de visfauna, het “binnenblokje”), dan wordt de ecologische toestand netto geclassificeerd als ‘ontoereikend’ (het “buitenblok”). Ditzelfde wordt gedaan voor de hydromorfologische</w:t>
      </w:r>
      <w:r>
        <w:t>- en de fysisch-chemische kwaliteitselementen. Daar wordt een afwijking van de niet door mensen beïnvloedde waarden vaak ingedeeld in “voldoet niet” (vaak alleen “geel”), hoewel de KRW in principe zou kunnen leiden tot een indeling van deze kwaliteitseleme</w:t>
      </w:r>
      <w:r>
        <w:t xml:space="preserve">nten in vijf klassen (zie </w:t>
      </w:r>
      <w:r>
        <w:fldChar w:fldCharType="begin"/>
      </w:r>
      <w:r>
        <w:instrText>REF _Ref62033098 \h</w:instrText>
      </w:r>
      <w:r>
        <w:fldChar w:fldCharType="separate"/>
      </w:r>
      <w:r>
        <w:t>Figuur 4</w:t>
      </w:r>
      <w:r>
        <w:fldChar w:fldCharType="end"/>
      </w:r>
      <w:r>
        <w:t xml:space="preserve"> en </w:t>
      </w:r>
      <w:r>
        <w:fldChar w:fldCharType="begin"/>
      </w:r>
      <w:r>
        <w:instrText>REF _Ref36483510 \h</w:instrText>
      </w:r>
      <w:r>
        <w:fldChar w:fldCharType="separate"/>
      </w:r>
      <w:r>
        <w:t>Figuur 5</w:t>
      </w:r>
      <w:r>
        <w:fldChar w:fldCharType="end"/>
      </w:r>
      <w:r>
        <w:t>). Ook hier geldt het Matroesjka-princi</w:t>
      </w:r>
      <w:r>
        <w:t>pe: een geel “binnenblokje” levert een geel “buitenblok” (het ergste “binnenblok” is leidend).  De intuïtieve interpretatie is dan simpel: de visfauna (in het voorbeeld) kan in principe aangetast zijn door de morfologische omstandigheden en door specifieke</w:t>
      </w:r>
      <w:r>
        <w:t xml:space="preserve"> verontreinigende stoffen. </w:t>
      </w:r>
    </w:p>
    <w:p w:rsidR="00DE6391" w:rsidRDefault="00022B29">
      <w:r>
        <w:t xml:space="preserve">Noot: Het is dus momenteel onder de KRW gebruikelijk om de X-as kleur vaak alleen te coderen als ‘geel’ (en bestaan oranje en rood niet voor de abiotische factoren). Dit volgt echter niet uit de KRW-definities; in Bijlage V van </w:t>
      </w:r>
      <w:r>
        <w:t>de KRW kan in principe afgelezen worden dat er voor de drukfactoren ook een gradueel systeem mogelijk is om aan te duiden dat de afwijking van een drukfactor (ten opzichte van een ongestoorde referentie) relatief klein, matig of groot.</w:t>
      </w:r>
    </w:p>
    <w:p w:rsidR="00DE6391" w:rsidRDefault="00022B29">
      <w:r>
        <w:t>Noot: de intuï</w:t>
      </w:r>
      <w:r>
        <w:t>tieve diagnose leidt niet tot duidelijkheid over interacties, zoals al eerder omschreven tussen nutriënten en toxiciteit. Als de “binnenblokjes” voor twee drukfactoren afwijken van de ongestoorde condities, en dus mogelijk effect hebben, dan kan het gezame</w:t>
      </w:r>
      <w:r>
        <w:t>nlijke effect beïnvloed worden door interacties (dus: minder toxische effecten dan verwacht bij voedselrijke condities). Als beide factoren via maatregelen teruggedrongen worden neemt echter logischerwijze ook de interactie af, totdat de interactie het nat</w:t>
      </w:r>
      <w:r>
        <w:t>uurlijke niveau bereikt heeft. Interactie wordt dus niet gekwantificeerd, meet impliciet wel meegenomen als er maatregelen worden genomen. Als echter slechts tegen één van beide drukfactoren maatregelen worden genomen, kan herstel van de visfauna uitblijve</w:t>
      </w:r>
      <w:r>
        <w:t>n, doordat de andere factor dan beperkend kan zijn (bv. als voedseloverschot teruggebracht wordt tot natuurlijke niveaus, dan kan toxiciteit – die onder voedselrijkdom beperkter van omvang was – zichtbaar worden).</w:t>
      </w:r>
    </w:p>
    <w:p w:rsidR="00DE6391" w:rsidRDefault="00DE6391"/>
    <w:p w:rsidR="00DE6391" w:rsidRDefault="00022B29">
      <w:pPr>
        <w:rPr>
          <w:rFonts w:ascii="Verdana" w:hAnsi="Verdana"/>
          <w:sz w:val="21"/>
          <w:szCs w:val="21"/>
        </w:rPr>
      </w:pPr>
      <w:r>
        <w:rPr>
          <w:rFonts w:ascii="Verdana" w:hAnsi="Verdana"/>
          <w:noProof/>
          <w:sz w:val="21"/>
          <w:szCs w:val="21"/>
          <w:lang w:eastAsia="nl-NL"/>
        </w:rPr>
        <w:lastRenderedPageBreak/>
        <w:drawing>
          <wp:anchor distT="0" distB="0" distL="0" distR="0" simplePos="0" relativeHeight="251645952" behindDoc="0" locked="0" layoutInCell="1" allowOverlap="1">
            <wp:simplePos x="0" y="0"/>
            <wp:positionH relativeFrom="column">
              <wp:posOffset>-9525</wp:posOffset>
            </wp:positionH>
            <wp:positionV relativeFrom="paragraph">
              <wp:posOffset>19050</wp:posOffset>
            </wp:positionV>
            <wp:extent cx="6104255" cy="3246755"/>
            <wp:effectExtent l="0" t="0" r="0" b="0"/>
            <wp:wrapSquare wrapText="bothSides"/>
            <wp:docPr id="2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
                    <pic:cNvPicPr>
                      <a:picLocks noChangeAspect="1" noChangeArrowheads="1"/>
                    </pic:cNvPicPr>
                  </pic:nvPicPr>
                  <pic:blipFill>
                    <a:blip r:embed="rId33"/>
                    <a:srcRect l="1658" t="20612" r="4474" b="16903"/>
                    <a:stretch>
                      <a:fillRect/>
                    </a:stretch>
                  </pic:blipFill>
                  <pic:spPr bwMode="auto">
                    <a:xfrm>
                      <a:off x="0" y="0"/>
                      <a:ext cx="6104255" cy="3246755"/>
                    </a:xfrm>
                    <a:prstGeom prst="rect">
                      <a:avLst/>
                    </a:prstGeom>
                  </pic:spPr>
                </pic:pic>
              </a:graphicData>
            </a:graphic>
          </wp:anchor>
        </w:drawing>
      </w:r>
    </w:p>
    <w:p w:rsidR="00DE6391" w:rsidRDefault="00DE6391"/>
    <w:p w:rsidR="00DE6391" w:rsidRDefault="00DE6391"/>
    <w:p w:rsidR="00DE6391" w:rsidRDefault="00DE6391"/>
    <w:p w:rsidR="00DE6391" w:rsidRDefault="00DE6391"/>
    <w:p w:rsidR="00DE6391" w:rsidRDefault="00DE6391"/>
    <w:p w:rsidR="00DE6391" w:rsidRDefault="00DE6391"/>
    <w:p w:rsidR="00DE6391" w:rsidRDefault="00DE6391"/>
    <w:p w:rsidR="00DE6391" w:rsidRDefault="00DE6391"/>
    <w:p w:rsidR="00DE6391" w:rsidRDefault="00DE6391"/>
    <w:p w:rsidR="00DE6391" w:rsidRDefault="00DE6391"/>
    <w:p w:rsidR="00DE6391" w:rsidRDefault="00DE6391"/>
    <w:p w:rsidR="00DE6391" w:rsidRDefault="00DE6391">
      <w:pPr>
        <w:pStyle w:val="Caption"/>
        <w:rPr>
          <w:sz w:val="22"/>
          <w:szCs w:val="22"/>
        </w:rPr>
      </w:pPr>
      <w:bookmarkStart w:id="34" w:name="_Ref31031783"/>
    </w:p>
    <w:p w:rsidR="00DE6391" w:rsidRDefault="00DE6391">
      <w:pPr>
        <w:pStyle w:val="Caption"/>
        <w:rPr>
          <w:sz w:val="22"/>
          <w:szCs w:val="22"/>
        </w:rPr>
      </w:pPr>
    </w:p>
    <w:p w:rsidR="00DE6391" w:rsidRDefault="00DE6391">
      <w:pPr>
        <w:pStyle w:val="Caption"/>
        <w:rPr>
          <w:sz w:val="22"/>
          <w:szCs w:val="22"/>
        </w:rPr>
      </w:pPr>
    </w:p>
    <w:p w:rsidR="00DE6391" w:rsidRDefault="00DE6391">
      <w:pPr>
        <w:pStyle w:val="Caption"/>
        <w:rPr>
          <w:sz w:val="22"/>
          <w:szCs w:val="22"/>
        </w:rPr>
      </w:pPr>
    </w:p>
    <w:p w:rsidR="00DE6391" w:rsidRDefault="00DE6391">
      <w:pPr>
        <w:pStyle w:val="Caption"/>
        <w:rPr>
          <w:sz w:val="22"/>
          <w:szCs w:val="22"/>
        </w:rPr>
      </w:pPr>
    </w:p>
    <w:p w:rsidR="00DE6391" w:rsidRDefault="00DE6391">
      <w:pPr>
        <w:pStyle w:val="Caption"/>
        <w:rPr>
          <w:sz w:val="22"/>
          <w:szCs w:val="22"/>
        </w:rPr>
      </w:pPr>
    </w:p>
    <w:p w:rsidR="00DE6391" w:rsidRDefault="00DE6391">
      <w:pPr>
        <w:pStyle w:val="Caption"/>
        <w:rPr>
          <w:sz w:val="22"/>
          <w:szCs w:val="22"/>
        </w:rPr>
      </w:pPr>
    </w:p>
    <w:p w:rsidR="00DE6391" w:rsidRDefault="00022B29">
      <w:pPr>
        <w:pStyle w:val="Caption"/>
        <w:rPr>
          <w:sz w:val="22"/>
          <w:szCs w:val="22"/>
        </w:rPr>
      </w:pPr>
      <w:bookmarkStart w:id="35" w:name="_Ref65073414"/>
      <w:r>
        <w:t xml:space="preserve">Figuur </w:t>
      </w:r>
      <w:r>
        <w:fldChar w:fldCharType="begin"/>
      </w:r>
      <w:r>
        <w:instrText xml:space="preserve">SEQ Figuur \* </w:instrText>
      </w:r>
      <w:r>
        <w:instrText>ARABIC</w:instrText>
      </w:r>
      <w:r>
        <w:fldChar w:fldCharType="separate"/>
      </w:r>
      <w:r>
        <w:t>6</w:t>
      </w:r>
      <w:r>
        <w:fldChar w:fldCharType="end"/>
      </w:r>
      <w:bookmarkEnd w:id="34"/>
      <w:bookmarkEnd w:id="35"/>
      <w:r>
        <w:t>. Het principe van de ‘geneste’ diagnosemethodiek voor de eerste trap van een (visuele) intuïdiagnose van de mogelijke oorzaken van effecten op ecosystemen. De illustratie is gemaakt voor de gegevens die voor de classificatie van de waterkwalitei</w:t>
      </w:r>
      <w:r>
        <w:t>t in rivieren wordt gehanteerd, zoals gedefinieerd in de KRW-Bijlage V. Voor andere watertypen gelden andere effect- en drukfactoren. Voor uitleg: zie tekst.</w:t>
      </w:r>
    </w:p>
    <w:p w:rsidR="00DE6391" w:rsidRDefault="00DE6391"/>
    <w:p w:rsidR="00DE6391" w:rsidRDefault="00022B29">
      <w:r>
        <w:t xml:space="preserve">Het resultaat van de diagnose, bij allerlei varianten van de uitkomsten zoals getoond in het voorbeeld van </w:t>
      </w:r>
      <w:r>
        <w:fldChar w:fldCharType="begin"/>
      </w:r>
      <w:r>
        <w:instrText>REF _Ref65073414 \h</w:instrText>
      </w:r>
      <w:r>
        <w:fldChar w:fldCharType="separate"/>
      </w:r>
      <w:r>
        <w:t>Figuur 6</w:t>
      </w:r>
      <w:r>
        <w:fldChar w:fldCharType="end"/>
      </w:r>
      <w:r>
        <w:t>, kan uit de volgende interpretaties bestaan:</w:t>
      </w:r>
    </w:p>
    <w:p w:rsidR="00DE6391" w:rsidRDefault="00022B29">
      <w:pPr>
        <w:numPr>
          <w:ilvl w:val="0"/>
          <w:numId w:val="4"/>
        </w:numPr>
      </w:pPr>
      <w:r>
        <w:t>Dat de ec</w:t>
      </w:r>
      <w:r>
        <w:t>ologische toestand hoog of goed is, en de hydromorfologische en fysisch-chemische condities in referentie-condities zijn (alles kwaliteits-</w:t>
      </w:r>
    </w:p>
    <w:p w:rsidR="00DE6391" w:rsidRDefault="00022B29">
      <w:pPr>
        <w:numPr>
          <w:ilvl w:val="0"/>
          <w:numId w:val="4"/>
        </w:numPr>
      </w:pPr>
      <w:r>
        <w:t>elementen groen of blauw) – het waterlichaam toont geen effecten, en er zijn ook geen (bekende) drukfactoren die een</w:t>
      </w:r>
      <w:r>
        <w:t xml:space="preserve"> bedreiging vormen</w:t>
      </w:r>
    </w:p>
    <w:p w:rsidR="00DE6391" w:rsidRDefault="00022B29">
      <w:pPr>
        <w:numPr>
          <w:ilvl w:val="0"/>
          <w:numId w:val="4"/>
        </w:numPr>
      </w:pPr>
      <w:r>
        <w:lastRenderedPageBreak/>
        <w:t>Dat de ecologische toestand hoog of goed is, maar één of meer drukfactoren wijken af van de waarden die gevonden worden onder referentie-condities – het waterlichaam toont geen effecten, maar de toename in de afwijking van de drukfactor(</w:t>
      </w:r>
      <w:r>
        <w:t>en) leidt tot de constatering dat beschermende maatregelen mogelijk gewenst zijn tegen de betreffende drukfactor(en)</w:t>
      </w:r>
    </w:p>
    <w:p w:rsidR="00DE6391" w:rsidRDefault="00022B29">
      <w:pPr>
        <w:numPr>
          <w:ilvl w:val="0"/>
          <w:numId w:val="4"/>
        </w:numPr>
      </w:pPr>
      <w:r>
        <w:t>Dat de ecologische toestand minder is dan goed, terwijl één of meer drukfactoren afwijken van de waarden die gevonden worden onder  referen</w:t>
      </w:r>
      <w:r>
        <w:t xml:space="preserve">tie-condities – die drukfactoren zijn een mogelijke oorzaak van de effecten (noot: niet-gemeten drukfactoren kunnen ook belemmerend zijn – zie volgende punt) </w:t>
      </w:r>
    </w:p>
    <w:p w:rsidR="00DE6391" w:rsidRDefault="00022B29">
      <w:pPr>
        <w:numPr>
          <w:ilvl w:val="0"/>
          <w:numId w:val="4"/>
        </w:numPr>
      </w:pPr>
      <w:r>
        <w:t>Dat de ecologische toestand minder is dan goed, terwijl geen van de bekende drukfactoren afwijken</w:t>
      </w:r>
      <w:r>
        <w:t xml:space="preserve"> van de waarden die gevonden worden onder  referentie-condities – er zijn andere drukfactoren die een oorzaak zijn van de effecten, wat om nadere monitoringstappen vraagt om die factoren te diagnosticeren. </w:t>
      </w:r>
    </w:p>
    <w:p w:rsidR="00DE6391" w:rsidRDefault="00022B29">
      <w:pPr>
        <w:pStyle w:val="Heading2"/>
        <w:numPr>
          <w:ilvl w:val="1"/>
          <w:numId w:val="2"/>
        </w:numPr>
        <w:rPr>
          <w:sz w:val="22"/>
          <w:szCs w:val="22"/>
        </w:rPr>
      </w:pPr>
      <w:bookmarkStart w:id="36" w:name="_Toc65147576"/>
      <w:r>
        <w:t>Praktijktoepassing en interpretatie</w:t>
      </w:r>
      <w:bookmarkEnd w:id="36"/>
    </w:p>
    <w:p w:rsidR="00DE6391" w:rsidRDefault="00022B29">
      <w:r>
        <w:t>De interpreta</w:t>
      </w:r>
      <w:r>
        <w:t xml:space="preserve">tie werkt als volgt. </w:t>
      </w:r>
    </w:p>
    <w:p w:rsidR="00DE6391" w:rsidRDefault="00DE6391">
      <w:pPr>
        <w:rPr>
          <w:b/>
        </w:rPr>
      </w:pPr>
    </w:p>
    <w:p w:rsidR="00DE6391" w:rsidRDefault="00022B29">
      <w:r>
        <w:rPr>
          <w:b/>
        </w:rPr>
        <w:t xml:space="preserve">Stap 1. </w:t>
      </w:r>
      <w:r>
        <w:t xml:space="preserve">Net als de KRW zelf beginnen we de interpretatie bij de </w:t>
      </w:r>
      <w:r>
        <w:rPr>
          <w:i/>
        </w:rPr>
        <w:t>ecologische toestand</w:t>
      </w:r>
      <w:r>
        <w:t xml:space="preserve">, het ‘buitenste blok’, bijvoorbeeld links in </w:t>
      </w:r>
      <w:r>
        <w:fldChar w:fldCharType="begin"/>
      </w:r>
      <w:r>
        <w:instrText>REF _Ref65073414 \h</w:instrText>
      </w:r>
      <w:r>
        <w:fldChar w:fldCharType="separate"/>
      </w:r>
      <w:r>
        <w:t>Figuur 6</w:t>
      </w:r>
      <w:r>
        <w:fldChar w:fldCharType="end"/>
      </w:r>
      <w:r>
        <w:t>. De ecol</w:t>
      </w:r>
      <w:r>
        <w:t xml:space="preserve">ogische toestand is gekenmerkt als “oranje”. In de “binnen-blokken” is te zien, dat alleen de visfauna op het “oranje”-niveau is aangetast, terwijl dat niet geldt voor de overige soortgroepen (effectindicatoren). </w:t>
      </w:r>
      <w:r>
        <w:rPr>
          <w:i/>
        </w:rPr>
        <w:t>De eerste duidelijke diagnose is: er is een</w:t>
      </w:r>
      <w:r>
        <w:rPr>
          <w:i/>
        </w:rPr>
        <w:t xml:space="preserve"> behoorlijke afwijking waargenomen ten opzichte van de verwachte, ongestoorde watertype-specifieke referentie voor één of meer van de ecologische variabelen die in de monitoring zijn meegenomen</w:t>
      </w:r>
      <w:r>
        <w:t xml:space="preserve">. </w:t>
      </w:r>
    </w:p>
    <w:p w:rsidR="00DE6391" w:rsidRDefault="00DE6391">
      <w:pPr>
        <w:rPr>
          <w:b/>
        </w:rPr>
      </w:pPr>
    </w:p>
    <w:p w:rsidR="00DE6391" w:rsidRDefault="00022B29">
      <w:r>
        <w:rPr>
          <w:b/>
        </w:rPr>
        <w:t>Stap 2:</w:t>
      </w:r>
      <w:r>
        <w:t xml:space="preserve"> Waar zou het ecologische effect door gekomen zijn? </w:t>
      </w:r>
      <w:r>
        <w:t>De diagnose kan de mogelijke oorzaken vinden, zoals in het voorbeeld wordt getoond. We gaan nu kijken naar de ‘buitenblokken’ van de hydromorfologische- en de fysisch-chemische drukfactoren (midden en rechts in de Figuur). Duidelijk is, dat beide “geel” zi</w:t>
      </w:r>
      <w:r>
        <w:t>jn: de drukfactor is aanwezig met een waarde die afwijkt van de watertype-specifieke onverstoorde waarden. Via de “binnen-blokken” van beide groepen drukfactoren wordt duidelijk dat de drukfactoren hier “morfologische omstandigheden” zijn, en ook “specifie</w:t>
      </w:r>
      <w:r>
        <w:t xml:space="preserve">ke synthetische verontreinigende stoffen”.   </w:t>
      </w:r>
    </w:p>
    <w:p w:rsidR="00DE6391" w:rsidRDefault="00DE6391"/>
    <w:p w:rsidR="00DE6391" w:rsidRDefault="00022B29">
      <w:r>
        <w:t xml:space="preserve">Deze diagnose is nog vrij grof, hoewel in principe dus </w:t>
      </w:r>
      <w:r>
        <w:rPr>
          <w:i/>
        </w:rPr>
        <w:t>alle ecologische effectmaten, en alle typen drukfactoren in de diagnose betrokken zijn.</w:t>
      </w:r>
      <w:r>
        <w:t xml:space="preserve"> De diagnose gaat – via de Matroesjka-aanpak – nog een stap dieper </w:t>
      </w:r>
      <w:r>
        <w:t xml:space="preserve">(en dit kan doorgaan tot de beoordelaar uitgekomen is bij de oorspronkelijke ruwe monitoringdata). </w:t>
      </w:r>
    </w:p>
    <w:p w:rsidR="00DE6391" w:rsidRDefault="00022B29">
      <w:pPr>
        <w:pStyle w:val="Heading2"/>
        <w:numPr>
          <w:ilvl w:val="1"/>
          <w:numId w:val="2"/>
        </w:numPr>
        <w:rPr>
          <w:sz w:val="22"/>
          <w:szCs w:val="22"/>
        </w:rPr>
      </w:pPr>
      <w:bookmarkStart w:id="37" w:name="_Toc65147577"/>
      <w:r>
        <w:t>Specifiekere diagnose – het principe</w:t>
      </w:r>
      <w:bookmarkEnd w:id="37"/>
      <w:r>
        <w:t xml:space="preserve"> </w:t>
      </w:r>
    </w:p>
    <w:p w:rsidR="00DE6391" w:rsidRDefault="00022B29">
      <w:r>
        <w:t xml:space="preserve">Omdat voor diverse ‘binnenblokjes’ van </w:t>
      </w:r>
      <w:r>
        <w:fldChar w:fldCharType="begin"/>
      </w:r>
      <w:r>
        <w:instrText>REF _Ref65073414 \h</w:instrText>
      </w:r>
      <w:r>
        <w:fldChar w:fldCharType="separate"/>
      </w:r>
      <w:r>
        <w:t>Figuur 6</w:t>
      </w:r>
      <w:r>
        <w:fldChar w:fldCharType="end"/>
      </w:r>
      <w:r>
        <w:t xml:space="preserve"> er mogelijk diverse onderliggende drukfactoren zijn gespecificeerd, wordt het simpele voorbeeld-schema van </w:t>
      </w:r>
      <w:r>
        <w:fldChar w:fldCharType="begin"/>
      </w:r>
      <w:r>
        <w:instrText>REF _Ref65073414 \h</w:instrText>
      </w:r>
      <w:r>
        <w:fldChar w:fldCharType="separate"/>
      </w:r>
      <w:r>
        <w:t>Figuur 6</w:t>
      </w:r>
      <w:r>
        <w:fldChar w:fldCharType="end"/>
      </w:r>
      <w:r>
        <w:t xml:space="preserve"> verder uitgewerkt. Dit geldt vooral vo</w:t>
      </w:r>
      <w:r>
        <w:t xml:space="preserve">or chemische verontreiniging, waar het aantal stoffen dat in de handel is (&gt;170.000) beoordeeld zou moeten worden op de kans dat ze een belemmering kunnen zijn voor de ecologische toestand. Om de deze detaillering door te voeren wordt in het voorbeeld van </w:t>
      </w:r>
      <w:r>
        <w:fldChar w:fldCharType="begin"/>
      </w:r>
      <w:r>
        <w:instrText>REF _Ref31035146 \h</w:instrText>
      </w:r>
      <w:r>
        <w:fldChar w:fldCharType="separate"/>
      </w:r>
      <w:r>
        <w:t>Figuur 7</w:t>
      </w:r>
      <w:r>
        <w:fldChar w:fldCharType="end"/>
      </w:r>
      <w:r>
        <w:t xml:space="preserve"> een diagnose uitgevoerd waarbij voor 48 stoffen de concentratie gemeten is, waarna die vergeleken is met de grenswaarde waarboven er een afwijking van de ongestoo</w:t>
      </w:r>
      <w:r>
        <w:t>rde conditie wordt geconstateerd. Voor die stoffen wordt de kleur geel gehanteerd. De analyse voor de drukfactor ‘Specifieke synthetische verontreinigende stoffen’ toont een afwijking van de ongestoorde condities voor drie van de 48 beoordeelde stoffen (di</w:t>
      </w:r>
      <w:r>
        <w:t xml:space="preserve">e leverden ‘gele ‘binnenste’ blokjes). In de voorbeeld-figuur toont via het ‘binnen-blok’ ook voor de hydromorfologische drukfactoren dat de situatie afwijkend is van watertype-specifieke referentiecondities voor (specifiek) de ‘Structuur en het substraat </w:t>
      </w:r>
      <w:r>
        <w:t xml:space="preserve">van de rivierbedding’. </w:t>
      </w:r>
    </w:p>
    <w:p w:rsidR="00DE6391" w:rsidRDefault="00022B29">
      <w:pPr>
        <w:rPr>
          <w:rFonts w:ascii="Verdana" w:hAnsi="Verdana"/>
          <w:sz w:val="21"/>
          <w:szCs w:val="21"/>
        </w:rPr>
      </w:pPr>
      <w:r>
        <w:rPr>
          <w:rFonts w:ascii="Verdana" w:hAnsi="Verdana"/>
          <w:noProof/>
          <w:sz w:val="21"/>
          <w:szCs w:val="21"/>
          <w:lang w:eastAsia="nl-NL"/>
        </w:rPr>
        <w:lastRenderedPageBreak/>
        <w:drawing>
          <wp:anchor distT="0" distB="0" distL="0" distR="0" simplePos="0" relativeHeight="251648000" behindDoc="0" locked="0" layoutInCell="1" allowOverlap="1">
            <wp:simplePos x="0" y="0"/>
            <wp:positionH relativeFrom="column">
              <wp:posOffset>-31115</wp:posOffset>
            </wp:positionH>
            <wp:positionV relativeFrom="paragraph">
              <wp:posOffset>225425</wp:posOffset>
            </wp:positionV>
            <wp:extent cx="4761865" cy="2858770"/>
            <wp:effectExtent l="0" t="0" r="0" b="0"/>
            <wp:wrapTopAndBottom/>
            <wp:docPr id="2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2"/>
                    <pic:cNvPicPr>
                      <a:picLocks noChangeAspect="1" noChangeArrowheads="1"/>
                    </pic:cNvPicPr>
                  </pic:nvPicPr>
                  <pic:blipFill>
                    <a:blip r:embed="rId34"/>
                    <a:srcRect l="66440" t="22602" r="4451" b="15220"/>
                    <a:stretch>
                      <a:fillRect/>
                    </a:stretch>
                  </pic:blipFill>
                  <pic:spPr bwMode="auto">
                    <a:xfrm>
                      <a:off x="0" y="0"/>
                      <a:ext cx="4761865" cy="2858770"/>
                    </a:xfrm>
                    <a:prstGeom prst="rect">
                      <a:avLst/>
                    </a:prstGeom>
                  </pic:spPr>
                </pic:pic>
              </a:graphicData>
            </a:graphic>
          </wp:anchor>
        </w:drawing>
      </w:r>
    </w:p>
    <w:p w:rsidR="00DE6391" w:rsidRDefault="00022B29">
      <w:pPr>
        <w:pStyle w:val="Caption"/>
        <w:rPr>
          <w:sz w:val="22"/>
          <w:szCs w:val="22"/>
        </w:rPr>
      </w:pPr>
      <w:bookmarkStart w:id="38" w:name="_Ref31035146"/>
      <w:r>
        <w:t xml:space="preserve">Figuur </w:t>
      </w:r>
      <w:r>
        <w:fldChar w:fldCharType="begin"/>
      </w:r>
      <w:r>
        <w:instrText>SEQ Figuur \* ARABIC</w:instrText>
      </w:r>
      <w:r>
        <w:fldChar w:fldCharType="separate"/>
      </w:r>
      <w:r>
        <w:t>7</w:t>
      </w:r>
      <w:r>
        <w:fldChar w:fldCharType="end"/>
      </w:r>
      <w:bookmarkEnd w:id="38"/>
      <w:r>
        <w:t xml:space="preserve">. Als </w:t>
      </w:r>
      <w:r>
        <w:fldChar w:fldCharType="begin"/>
      </w:r>
      <w:r>
        <w:instrText>REF _Ref65073414 \h</w:instrText>
      </w:r>
      <w:r>
        <w:fldChar w:fldCharType="separate"/>
      </w:r>
      <w:r>
        <w:t>Figuur 6</w:t>
      </w:r>
      <w:r>
        <w:fldChar w:fldCharType="end"/>
      </w:r>
      <w:r>
        <w:t>, maar met een meer gedetailleerde diagnose-stap.</w:t>
      </w:r>
    </w:p>
    <w:p w:rsidR="00DE6391" w:rsidRDefault="00DE6391"/>
    <w:p w:rsidR="00DE6391" w:rsidRDefault="00022B29">
      <w:pPr>
        <w:pStyle w:val="Heading2"/>
        <w:numPr>
          <w:ilvl w:val="1"/>
          <w:numId w:val="2"/>
        </w:numPr>
        <w:rPr>
          <w:sz w:val="22"/>
          <w:szCs w:val="22"/>
        </w:rPr>
      </w:pPr>
      <w:bookmarkStart w:id="39" w:name="_Toc65147578"/>
      <w:r>
        <w:t xml:space="preserve">Specifieke diagnose voor chemische </w:t>
      </w:r>
      <w:r>
        <w:t>verontreiniging</w:t>
      </w:r>
      <w:bookmarkEnd w:id="39"/>
    </w:p>
    <w:p w:rsidR="00DE6391" w:rsidRDefault="00022B29">
      <w:r>
        <w:t xml:space="preserve">Het blokjes-systeem wordt onhanteerbaar als we denken aan de 170.000 stoffen die in Europa op de markt zijn. De sleutelfactor toxiciteit maakt het echter mogelijk, om de mate van belemmering door chemische verontreiniging niet alleen af te </w:t>
      </w:r>
      <w:r>
        <w:t>leiden per stof, maar ook voor stofgroepen of voor totale mengsels, en de resultaten met behulp van het Chemie-spoor te kwantificeren als msPAF-waarde, of met behulp van het Toxicologie-spoor als verhoogde bioassay-responsies. Een voorbeeld van deze integr</w:t>
      </w:r>
      <w:r>
        <w:t xml:space="preserve">ale diagnose – waarbij de waterbeheerder beide sporen gebruikt – is weergegeven in </w:t>
      </w:r>
      <w:r>
        <w:fldChar w:fldCharType="begin"/>
      </w:r>
      <w:r>
        <w:instrText>REF _Ref31036482 \h</w:instrText>
      </w:r>
      <w:r>
        <w:fldChar w:fldCharType="separate"/>
      </w:r>
      <w:r>
        <w:t>Figuur 8</w:t>
      </w:r>
      <w:r>
        <w:fldChar w:fldCharType="end"/>
      </w:r>
      <w:r>
        <w:t>. Door de integrale presentatie kunnen de resultaten van het Chemie- en het Tox</w:t>
      </w:r>
      <w:r>
        <w:t>icologie-spoor elkaar versterken (als bijvoorbeeld de ‘binnenblokjes’ geel worden voor bepaalde stofgroepen via het Chemie-spoor, en ook geel worden bij tests met de bioassays die relevant zijn voro de betreffende stofgroep. Beide typen uitslagen, apart of</w:t>
      </w:r>
      <w:r>
        <w:t xml:space="preserve"> bij elkaar, zijn relevant voor de beoordelaar, die immers – volgens Bijlage 2 van de KRW – </w:t>
      </w:r>
      <w:r>
        <w:rPr>
          <w:i/>
        </w:rPr>
        <w:t>de kans moet bepalen dat drukfactor(en) bijdragen aan ecologische impacts</w:t>
      </w:r>
      <w:r>
        <w:t xml:space="preserve">, en daarbij </w:t>
      </w:r>
      <w:r>
        <w:rPr>
          <w:i/>
        </w:rPr>
        <w:t>diverse bronnen van informatie mag combineren</w:t>
      </w:r>
      <w:r>
        <w:t>. Die kans is verhoogd, als er éé</w:t>
      </w:r>
      <w:r>
        <w:t>n of meer stoffen, stofgroepen, of bioassays, of het totale mengsel, als ‘geel’ wordt beoordeeld. In het voorbeeldplaatje toont de figuur echter ook, dat er bioassays zijn die een signaal hebben gegeven, terwijl er vanuit de metingen van de stoffen geen si</w:t>
      </w:r>
      <w:r>
        <w:t>gnaal waargenomen is. In dit geval zou de beoordelaar constateren dat er effecten van stoffenmengsels zijn die niet direct zijn toe te schrijven aan de bekende, gemeten stoffen.</w:t>
      </w:r>
    </w:p>
    <w:p w:rsidR="00DE6391" w:rsidRDefault="00022B29">
      <w:r>
        <w:rPr>
          <w:noProof/>
          <w:lang w:eastAsia="nl-NL"/>
        </w:rPr>
        <w:lastRenderedPageBreak/>
        <w:drawing>
          <wp:anchor distT="0" distB="0" distL="0" distR="0" simplePos="0" relativeHeight="251650048" behindDoc="0" locked="0" layoutInCell="1" allowOverlap="1">
            <wp:simplePos x="0" y="0"/>
            <wp:positionH relativeFrom="column">
              <wp:align>left</wp:align>
            </wp:positionH>
            <wp:positionV relativeFrom="paragraph">
              <wp:posOffset>266700</wp:posOffset>
            </wp:positionV>
            <wp:extent cx="5457190" cy="3242310"/>
            <wp:effectExtent l="0" t="0" r="0" b="0"/>
            <wp:wrapTopAndBottom/>
            <wp:docPr id="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3"/>
                    <pic:cNvPicPr>
                      <a:picLocks noChangeAspect="1" noChangeArrowheads="1"/>
                    </pic:cNvPicPr>
                  </pic:nvPicPr>
                  <pic:blipFill>
                    <a:blip r:embed="rId35"/>
                    <a:srcRect l="66391" t="21219" r="4457" b="17150"/>
                    <a:stretch>
                      <a:fillRect/>
                    </a:stretch>
                  </pic:blipFill>
                  <pic:spPr bwMode="auto">
                    <a:xfrm>
                      <a:off x="0" y="0"/>
                      <a:ext cx="5457190" cy="3242310"/>
                    </a:xfrm>
                    <a:prstGeom prst="rect">
                      <a:avLst/>
                    </a:prstGeom>
                  </pic:spPr>
                </pic:pic>
              </a:graphicData>
            </a:graphic>
          </wp:anchor>
        </w:drawing>
      </w:r>
    </w:p>
    <w:p w:rsidR="00DE6391" w:rsidRDefault="00022B29">
      <w:pPr>
        <w:pStyle w:val="Caption"/>
        <w:rPr>
          <w:sz w:val="22"/>
          <w:szCs w:val="22"/>
        </w:rPr>
      </w:pPr>
      <w:bookmarkStart w:id="40" w:name="_Ref31036482"/>
      <w:r>
        <w:t xml:space="preserve">Figuur </w:t>
      </w:r>
      <w:r>
        <w:fldChar w:fldCharType="begin"/>
      </w:r>
      <w:r>
        <w:instrText>SEQ Figuur \* ARABIC</w:instrText>
      </w:r>
      <w:r>
        <w:fldChar w:fldCharType="separate"/>
      </w:r>
      <w:r>
        <w:t>8</w:t>
      </w:r>
      <w:r>
        <w:fldChar w:fldCharType="end"/>
      </w:r>
      <w:bookmarkEnd w:id="40"/>
      <w:r>
        <w:t xml:space="preserve">., Als </w:t>
      </w:r>
      <w:r>
        <w:fldChar w:fldCharType="begin"/>
      </w:r>
      <w:r>
        <w:instrText>REF _Ref31035146 \h</w:instrText>
      </w:r>
      <w:r>
        <w:fldChar w:fldCharType="separate"/>
      </w:r>
      <w:r>
        <w:t>Figuur 7</w:t>
      </w:r>
      <w:r>
        <w:fldChar w:fldCharType="end"/>
      </w:r>
      <w:r>
        <w:t xml:space="preserve">, waarbij de diagnose van de mogelijke effecten van verontreinigende stoffen beoordeeld wordt met de ecologische sleutelfactor toxiciteit. </w:t>
      </w:r>
    </w:p>
    <w:p w:rsidR="00DE6391" w:rsidRDefault="00DE6391"/>
    <w:p w:rsidR="00DE6391" w:rsidRDefault="00DE6391"/>
    <w:p w:rsidR="00DE6391" w:rsidRDefault="00022B29">
      <w:pPr>
        <w:pStyle w:val="Heading2"/>
        <w:numPr>
          <w:ilvl w:val="1"/>
          <w:numId w:val="2"/>
        </w:numPr>
        <w:rPr>
          <w:sz w:val="22"/>
          <w:szCs w:val="22"/>
        </w:rPr>
      </w:pPr>
      <w:bookmarkStart w:id="41" w:name="_Toc65147579"/>
      <w:r>
        <w:t>Verbeterde uitwerking met meer kwantitatieve gegevens</w:t>
      </w:r>
      <w:bookmarkEnd w:id="41"/>
    </w:p>
    <w:p w:rsidR="00DE6391" w:rsidRDefault="00022B29">
      <w:r>
        <w:t>Tot d</w:t>
      </w:r>
      <w:r>
        <w:t>usver zijn de voorbeeld-figuren uitgewerkt met een gele kleur voor de drukfactoren, als die afwijken van de ongestoorde conditie. Zowel de ecologie als de ecotoxicologie zijn echter kwantitatieve wetenschappen: zoals we gezien hebben zijn concentratie-effe</w:t>
      </w:r>
      <w:r>
        <w:t>ct relaties voor stoffen gradueel, en is ook de respons van ecosystemen op toenemende druk gradueel. Als we deze kennis toepassen op het diagnostische systeem, dan kan dat de diagnose verbeteren. De diagnose wordt beter als de drukfactoren worden samengeva</w:t>
      </w:r>
      <w:r>
        <w:t xml:space="preserve">t in de vijf klassen die ook voor de ecologische toestand toegepast worden. </w:t>
      </w:r>
    </w:p>
    <w:p w:rsidR="00DE6391" w:rsidRDefault="00DE6391"/>
    <w:p w:rsidR="00DE6391" w:rsidRDefault="00022B29">
      <w:r>
        <w:fldChar w:fldCharType="begin"/>
      </w:r>
      <w:r>
        <w:instrText>REF _Ref64369960 \h</w:instrText>
      </w:r>
      <w:r>
        <w:fldChar w:fldCharType="separate"/>
      </w:r>
      <w:r>
        <w:t>Figuur 9</w:t>
      </w:r>
      <w:r>
        <w:fldChar w:fldCharType="end"/>
      </w:r>
      <w:r>
        <w:t xml:space="preserve"> toont een voorbeeld, waarbij de analyses voor de PCBs suggereren dat er PCBs gemeten</w:t>
      </w:r>
      <w:r>
        <w:t xml:space="preserve"> zijn (zonder dat deze nu al significante ecologische effecten veroorzaken: groen), terwijl de PAKs relatief hoge druk veroorzaken (oranje), en er ook een zeer sterk responderende bioassay (rood) duidt op mogelijk forse effecten van een onbekende stof(groe</w:t>
      </w:r>
      <w:r>
        <w:t xml:space="preserve">p). De resultaten van </w:t>
      </w:r>
      <w:r>
        <w:fldChar w:fldCharType="begin"/>
      </w:r>
      <w:r>
        <w:instrText>REF _Ref64369960 \h</w:instrText>
      </w:r>
      <w:r>
        <w:fldChar w:fldCharType="separate"/>
      </w:r>
      <w:r>
        <w:t>Figuur 9</w:t>
      </w:r>
      <w:r>
        <w:fldChar w:fldCharType="end"/>
      </w:r>
      <w:r>
        <w:t xml:space="preserve"> zijn direct gerelateerd aan de waarnemingen die in ecologisch onderzoek gedaan worden: er is vaak sprake van gradueel verschillende afwijkin</w:t>
      </w:r>
      <w:r>
        <w:t xml:space="preserve">gen van de ecologische toestands-variabelen (bv. de dichtheid van een vissoort in een gebied), en van gradueel verschillende afwijkingen in abiotische drukfactoren. </w:t>
      </w:r>
    </w:p>
    <w:p w:rsidR="00DE6391" w:rsidRDefault="00022B29">
      <w:r>
        <w:rPr>
          <w:noProof/>
          <w:lang w:eastAsia="nl-NL"/>
        </w:rPr>
        <w:lastRenderedPageBreak/>
        <w:drawing>
          <wp:anchor distT="0" distB="0" distL="0" distR="0" simplePos="0" relativeHeight="251652096" behindDoc="0" locked="0" layoutInCell="1" allowOverlap="1">
            <wp:simplePos x="0" y="0"/>
            <wp:positionH relativeFrom="column">
              <wp:posOffset>31750</wp:posOffset>
            </wp:positionH>
            <wp:positionV relativeFrom="paragraph">
              <wp:posOffset>160020</wp:posOffset>
            </wp:positionV>
            <wp:extent cx="5338445" cy="3194685"/>
            <wp:effectExtent l="0" t="0" r="0" b="0"/>
            <wp:wrapTopAndBottom/>
            <wp:docPr id="3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5"/>
                    <pic:cNvPicPr>
                      <a:picLocks noChangeAspect="1" noChangeArrowheads="1"/>
                    </pic:cNvPicPr>
                  </pic:nvPicPr>
                  <pic:blipFill>
                    <a:blip r:embed="rId13"/>
                    <a:srcRect l="66544" t="21097" r="4516" b="17290"/>
                    <a:stretch>
                      <a:fillRect/>
                    </a:stretch>
                  </pic:blipFill>
                  <pic:spPr bwMode="auto">
                    <a:xfrm>
                      <a:off x="0" y="0"/>
                      <a:ext cx="5338445" cy="3194685"/>
                    </a:xfrm>
                    <a:prstGeom prst="rect">
                      <a:avLst/>
                    </a:prstGeom>
                  </pic:spPr>
                </pic:pic>
              </a:graphicData>
            </a:graphic>
          </wp:anchor>
        </w:drawing>
      </w:r>
    </w:p>
    <w:p w:rsidR="00DE6391" w:rsidRDefault="00022B29">
      <w:pPr>
        <w:pStyle w:val="Caption"/>
        <w:rPr>
          <w:sz w:val="22"/>
          <w:szCs w:val="22"/>
        </w:rPr>
      </w:pPr>
      <w:r>
        <w:t xml:space="preserve"> </w:t>
      </w:r>
      <w:bookmarkStart w:id="42" w:name="_Ref64369960"/>
      <w:r>
        <w:t xml:space="preserve">Figuur </w:t>
      </w:r>
      <w:r>
        <w:fldChar w:fldCharType="begin"/>
      </w:r>
      <w:r>
        <w:instrText>SEQ Figuur \* ARABIC</w:instrText>
      </w:r>
      <w:r>
        <w:fldChar w:fldCharType="separate"/>
      </w:r>
      <w:r>
        <w:t>9</w:t>
      </w:r>
      <w:r>
        <w:fldChar w:fldCharType="end"/>
      </w:r>
      <w:bookmarkEnd w:id="42"/>
      <w:r>
        <w:t xml:space="preserve">. Als </w:t>
      </w:r>
      <w:r>
        <w:fldChar w:fldCharType="begin"/>
      </w:r>
      <w:r>
        <w:instrText>REF _Ref31036482 \h</w:instrText>
      </w:r>
      <w:r>
        <w:fldChar w:fldCharType="separate"/>
      </w:r>
      <w:r>
        <w:t>Figuur 8</w:t>
      </w:r>
      <w:r>
        <w:fldChar w:fldCharType="end"/>
      </w:r>
      <w:r>
        <w:t>, maar met versterkte diagnose door de drukfactoren kwantitatiever weer te geven (in vijf kleuren).</w:t>
      </w:r>
    </w:p>
    <w:p w:rsidR="00DE6391" w:rsidRDefault="00022B29">
      <w:r>
        <w:tab/>
      </w:r>
    </w:p>
    <w:p w:rsidR="00DE6391" w:rsidRDefault="00022B29">
      <w:pPr>
        <w:pStyle w:val="Heading2"/>
        <w:numPr>
          <w:ilvl w:val="1"/>
          <w:numId w:val="2"/>
        </w:numPr>
        <w:rPr>
          <w:sz w:val="22"/>
          <w:szCs w:val="22"/>
        </w:rPr>
      </w:pPr>
      <w:r>
        <w:t xml:space="preserve"> </w:t>
      </w:r>
      <w:bookmarkStart w:id="43" w:name="_Toc65147580"/>
      <w:r>
        <w:t>Uitwerking voor de zuiveringsinspanning</w:t>
      </w:r>
      <w:bookmarkEnd w:id="43"/>
    </w:p>
    <w:p w:rsidR="00DE6391" w:rsidRDefault="00022B29">
      <w:r>
        <w:t>Voor de zuiveringsinspanning</w:t>
      </w:r>
      <w:r>
        <w:t xml:space="preserve">is er ook een diagnose mogelijk. </w:t>
      </w:r>
      <w:r>
        <w:t xml:space="preserve">Ook al is de zuiveringsinspanning een enkel getal, deze is opgebouwd uit de waarden van individuele stoffen. Daardoor is het te achterhalen welke stoffen de </w:t>
      </w:r>
      <w:r>
        <w:t>oorzaak zijn va</w:t>
      </w:r>
      <w:r>
        <w:t xml:space="preserve">n een verhoogde zuiveringsinspanning. Als voorbeeld, een water kan geklassificeerd worden als </w:t>
      </w:r>
      <w:r>
        <w:t>‘geel’. Het blijkt ui</w:t>
      </w:r>
      <w:r>
        <w:t xml:space="preserve">t de analyse dat </w:t>
      </w:r>
      <w:r>
        <w:t xml:space="preserve">er voor 15 van de stoffen </w:t>
      </w:r>
      <w:r>
        <w:t>met</w:t>
      </w:r>
      <w:r>
        <w:t xml:space="preserve"> de meest simpele zuivering kan worden voldaan om de gewenste drinkwaterkwalitei</w:t>
      </w:r>
      <w:r>
        <w:t>t te halen. Uit dezelfde analyse kan blijken dat er m</w:t>
      </w:r>
      <w:r>
        <w:t>aar twee stoffen verantwoordelijk zijn voor het pas halen van de gewenste drinkwaterkwaliteit na een extra zuiveringsstap</w:t>
      </w:r>
      <w:r>
        <w:t>. Voor de emissie van deze typen stoffen kunnen maatregelen bedacht worden, waardo</w:t>
      </w:r>
      <w:r>
        <w:t>or de waterkwaliteit in de definitie van de benodigde zuiveringsin</w:t>
      </w:r>
      <w:r>
        <w:t>spanning weer een stap beter zal zijn, en van geel naar groen zal gaan.</w:t>
      </w:r>
      <w:r>
        <w:t xml:space="preserve"> </w:t>
      </w:r>
      <w:r>
        <w:t>Het is hier wel van belang om te beseffen dat de zuiveringsinspanning geen rekening houdt met specificiteiten van indi</w:t>
      </w:r>
      <w:r>
        <w:t xml:space="preserve">viduele zuiveringsinstallaties, het is geen </w:t>
      </w:r>
      <w:r>
        <w:t>exacte bepaling van wat in een specifieke installatie zal worden verwijderd</w:t>
      </w:r>
      <w:r>
        <w:t xml:space="preserve"> maar een vuistregel.</w:t>
      </w:r>
    </w:p>
    <w:p w:rsidR="00DE6391" w:rsidRDefault="00022B29">
      <w:pPr>
        <w:pStyle w:val="Heading2"/>
        <w:numPr>
          <w:ilvl w:val="1"/>
          <w:numId w:val="2"/>
        </w:numPr>
        <w:rPr>
          <w:sz w:val="22"/>
          <w:szCs w:val="22"/>
        </w:rPr>
      </w:pPr>
      <w:bookmarkStart w:id="44" w:name="_Toc65147581"/>
      <w:r>
        <w:t>Samenvatting</w:t>
      </w:r>
      <w:bookmarkEnd w:id="44"/>
    </w:p>
    <w:p w:rsidR="00DE6391" w:rsidRDefault="00022B29">
      <w:r>
        <w:t>De KRW is actiegericht, dat wil zeggen: bij verminderde waterkwaliteit moet de oorzaak gediagnosticeer</w:t>
      </w:r>
      <w:r>
        <w:t xml:space="preserve">d worden, en door maatregelen teniet gedaan. In de praktijk worden veel monitoringgegevens verzameld, maar is er ruimte voor verbetering wat betreft het gebruik van die gegevens voor de diagnose van de oorzaken van verminderde waterkwaliteit. De KRW bevat </w:t>
      </w:r>
      <w:r>
        <w:t>echter een “verborgen” diagnostisch systeem, dat logisch volgt uit de combinatie van ecologische en ecotoxicologische concepten zoals druk-effect relaties met het “</w:t>
      </w:r>
      <w:r>
        <w:rPr>
          <w:i/>
          <w:iCs/>
        </w:rPr>
        <w:t>one out, all out</w:t>
      </w:r>
      <w:r>
        <w:t xml:space="preserve">”-principe en met de KRW-aanwijzing om te kans te bepalen of drukfactor(en) </w:t>
      </w:r>
      <w:r>
        <w:t xml:space="preserve">belemmerend zijn voor de waterkwaliteit. Deze combinatie leidt tot een eerste trap met een intuïtief uitvoerbare diagnose, dat is: het identificeren </w:t>
      </w:r>
      <w:r>
        <w:lastRenderedPageBreak/>
        <w:t>van de soortgroep(en) die afwijken van de ongestoorde watertype specifieke referentie, en en het identifice</w:t>
      </w:r>
      <w:r>
        <w:t xml:space="preserve">ren van drukfactoren die afwijken. De resultaten van de toepassing van de sleutelfactor Toxiciteit, via zowel het Chemie- als het Toxicologie-spoor, kunnen in de diagnose worden opgenomen. De toepassing van het schema geeft de waterbeheerder inzicht in de </w:t>
      </w:r>
      <w:r>
        <w:t>drukfactoren die mogelijk bijdragen aan verminderde waterkwaliteit. In het volgende hoofdstuk wordt uiteengezet hoe deze diagnose verder uitgewerkt is in het kader van een watersysteemverkenning, zoals de KRW veronderstelt, specifiek met het oog op samenva</w:t>
      </w:r>
      <w:r>
        <w:t>tting en communicatie van resultaten ten behoeve van het afleiden van maatregelen..</w:t>
      </w:r>
    </w:p>
    <w:p w:rsidR="00DE6391" w:rsidRDefault="00DE6391"/>
    <w:p w:rsidR="00DE6391" w:rsidRDefault="00022B29">
      <w:pPr>
        <w:pStyle w:val="Heading1"/>
        <w:numPr>
          <w:ilvl w:val="0"/>
          <w:numId w:val="2"/>
        </w:numPr>
        <w:rPr>
          <w:sz w:val="22"/>
          <w:szCs w:val="22"/>
        </w:rPr>
      </w:pPr>
      <w:bookmarkStart w:id="45" w:name="_Toc65147582"/>
      <w:r>
        <w:lastRenderedPageBreak/>
        <w:t>Communicatie bij een complete watersysteemanalyse</w:t>
      </w:r>
      <w:bookmarkEnd w:id="45"/>
    </w:p>
    <w:p w:rsidR="00DE6391" w:rsidRDefault="00022B29">
      <w:pPr>
        <w:pStyle w:val="Heading2"/>
        <w:numPr>
          <w:ilvl w:val="1"/>
          <w:numId w:val="2"/>
        </w:numPr>
        <w:rPr>
          <w:sz w:val="22"/>
          <w:szCs w:val="22"/>
        </w:rPr>
      </w:pPr>
      <w:bookmarkStart w:id="46" w:name="_Toc65147583"/>
      <w:r>
        <w:t>Motieven voor goede communicatie</w:t>
      </w:r>
      <w:bookmarkEnd w:id="46"/>
    </w:p>
    <w:p w:rsidR="00DE6391" w:rsidRDefault="00022B29">
      <w:r>
        <w:t>De waterkwaliteit verbetert alleen als er effectieve maatregelen worden genomen. Omdat w</w:t>
      </w:r>
      <w:r>
        <w:t xml:space="preserve">ater stroomt, en drukfactoren zich dus in het watersysteemverband kunnen verplaatsen, is het belangrijk om de diagnose-resultaten </w:t>
      </w:r>
      <w:r>
        <w:rPr>
          <w:i/>
          <w:iCs/>
        </w:rPr>
        <w:t>weer te geven in het kader van het hydrologische systeem</w:t>
      </w:r>
      <w:r>
        <w:t xml:space="preserve">. Verder is het wenselijk om ook het </w:t>
      </w:r>
      <w:r>
        <w:rPr>
          <w:i/>
          <w:iCs/>
        </w:rPr>
        <w:t xml:space="preserve">DPSIR-causale denkmodel van de </w:t>
      </w:r>
      <w:r>
        <w:rPr>
          <w:i/>
          <w:iCs/>
        </w:rPr>
        <w:t>KRW in de samenvatting van de gegevens te verwerken</w:t>
      </w:r>
      <w:r>
        <w:t xml:space="preserve">. Een goede presentatie van de gegevens voor een watersysteem moet leiden tot een goed </w:t>
      </w:r>
      <w:r>
        <w:rPr>
          <w:i/>
          <w:iCs/>
        </w:rPr>
        <w:t>begrip bij alle belanghebbenden</w:t>
      </w:r>
      <w:r>
        <w:t xml:space="preserve"> (bestuurders, industrie, landbouwers, burgers, etc.), zodat er ook in samenwerking tus</w:t>
      </w:r>
      <w:r>
        <w:t xml:space="preserve">sen allerlei belanghebbenden </w:t>
      </w:r>
      <w:r>
        <w:rPr>
          <w:i/>
          <w:iCs/>
        </w:rPr>
        <w:t>goede maatregelen kunnen worden afgeleid</w:t>
      </w:r>
      <w:r>
        <w:t xml:space="preserve">, met een breed draagvlak. Die samenwerking is onlangs benadrukt, vanuit het onderzoek aan </w:t>
      </w:r>
      <w:r>
        <w:rPr>
          <w:i/>
          <w:iCs/>
        </w:rPr>
        <w:t>water governance</w:t>
      </w:r>
      <w:r>
        <w:t xml:space="preserve"> vraagstukken door Susanne Wuijts </w:t>
      </w:r>
      <w:r>
        <w:fldChar w:fldCharType="begin"/>
      </w:r>
      <w:r>
        <w:instrText>ADDIN EN.CITE &lt;EndNote&gt;&lt;Cite&gt;&lt;Author&gt;Wuijts&lt;/A</w:instrText>
      </w:r>
      <w:r>
        <w:instrText>uthor&gt;&lt;Year&gt;2018&lt;/Year&gt;&lt;RecNum&gt;9437&lt;/RecNum&gt;&lt;DisplayText&gt;(Wuijts, 2020; Wuijts et al., 2018)&lt;/DisplayText&gt;&lt;record&gt;&lt;rec-number&gt;9437&lt;/rec-number&gt;&lt;foreign-keys&gt;&lt;key app="EN" db-id="9vew0e5rcppvxrezet3vref0tpxfwzzf9f0s" timestamp="1522218764"&gt;9437&lt;/key&gt;&lt;/forei</w:instrText>
      </w:r>
      <w:r>
        <w:instrText>gn-keys&gt;&lt;ref-type name="Journal Article"&gt;17&lt;/ref-type&gt;&lt;contributors&gt;&lt;authors&gt;&lt;author&gt;Wuijts, Susanne&lt;/author&gt;&lt;author&gt;Driessen, Peter&lt;/author&gt;&lt;author&gt;Van Rijswick, Helena&lt;/author&gt;&lt;/authors&gt;&lt;/contributors&gt;&lt;titles&gt;&lt;title&gt;Towards More Effective Water Quality G</w:instrText>
      </w:r>
      <w:r>
        <w:instrText>overnance: A Review of Social-Economic, Legal and Ecological Perspectives and Their Interactions&lt;/title&gt;&lt;secondary-title&gt;Sustainability&lt;/secondary-title&gt;&lt;/titles&gt;&lt;periodical&gt;&lt;full-title&gt;Sustainability&lt;/full-title&gt;&lt;/periodical&gt;&lt;pages&gt;914&lt;/pages&gt;&lt;volume&gt;10&lt;/</w:instrText>
      </w:r>
      <w:r>
        <w:instrText>volume&gt;&lt;number&gt;4&lt;/number&gt;&lt;dates&gt;&lt;year&gt;2018&lt;/year&gt;&lt;/dates&gt;&lt;isbn&gt;2071-1050&lt;/isbn&gt;&lt;accession-num&gt;doi:10.3390/su10040914&lt;/accession-num&gt;&lt;urls&gt;&lt;related-urls&gt;&lt;url&gt;http://www.mdpi.com/2071-1050/10/4/914&lt;/url&gt;&lt;/related-urls&gt;&lt;/urls&gt;&lt;/record&gt;&lt;/Cite&gt;&lt;Cite&gt;&lt;Author&gt;Wui</w:instrText>
      </w:r>
      <w:r>
        <w:instrText>jts&lt;/Author&gt;&lt;Year&gt;2020&lt;/Year&gt;&lt;RecNum&gt;11267&lt;/RecNum&gt;&lt;record&gt;&lt;rec-number&gt;11267&lt;/rec-number&gt;&lt;foreign-keys&gt;&lt;key app="EN" db-id="9vew0e5rcppvxrezet3vref0tpxfwzzf9f0s" timestamp="1614242547"&gt;11267&lt;/key&gt;&lt;/foreign-keys&gt;&lt;ref-type name="Thesis"&gt;32&lt;/ref-type&gt;&lt;contrib</w:instrText>
      </w:r>
      <w:r>
        <w:instrText>utors&gt;&lt;authors&gt;&lt;author&gt;Wuijts, S.&lt;/author&gt;&lt;/authors&gt;&lt;/contributors&gt;&lt;titles&gt;&lt;title&gt;Towards more effective water quality governance. Improving the alignment of social-economic, legal and ecological perspectives to achieve water quality ambitions in practice&lt;</w:instrText>
      </w:r>
      <w:r>
        <w:instrText>/title&gt;&lt;/titles&gt;&lt;dates&gt;&lt;year&gt;2020&lt;/year&gt;&lt;/dates&gt;&lt;publisher&gt;Thesis, Universiteit Utrecht&lt;/publisher&gt;&lt;urls&gt;&lt;/urls&gt;&lt;/record&gt;&lt;/Cite&gt;&lt;/EndNote&gt;</w:instrText>
      </w:r>
      <w:r>
        <w:fldChar w:fldCharType="separate"/>
      </w:r>
      <w:r>
        <w:t>(Wuijts, 2020</w:t>
      </w:r>
      <w:r>
        <w:fldChar w:fldCharType="end"/>
      </w:r>
      <w:r>
        <w:t>; Wuijts et al., 2018).</w:t>
      </w:r>
    </w:p>
    <w:p w:rsidR="00DE6391" w:rsidRDefault="00022B29">
      <w:pPr>
        <w:pStyle w:val="Heading2"/>
        <w:numPr>
          <w:ilvl w:val="1"/>
          <w:numId w:val="2"/>
        </w:numPr>
        <w:rPr>
          <w:sz w:val="22"/>
          <w:szCs w:val="22"/>
        </w:rPr>
      </w:pPr>
      <w:bookmarkStart w:id="47" w:name="_Toc65147584"/>
      <w:r>
        <w:t>Presenteren van DPSIR-gegevens in relatie tot een diagnose</w:t>
      </w:r>
      <w:bookmarkEnd w:id="47"/>
      <w:r>
        <w:t xml:space="preserve"> </w:t>
      </w:r>
    </w:p>
    <w:p w:rsidR="00DE6391" w:rsidRDefault="00022B29">
      <w:r>
        <w:t xml:space="preserve">Het toepassen van </w:t>
      </w:r>
      <w:r>
        <w:t>een DPSIR-analyse is een belangrijke aanpak binnen de KRW, en ook een belangrijk, centraal onderde</w:t>
      </w:r>
      <w:r>
        <w:t xml:space="preserve">el van de sleutel factor Toxiciteit. Het DPSIR-model wordt getoond in </w:t>
      </w:r>
      <w:r>
        <w:fldChar w:fldCharType="begin"/>
      </w:r>
      <w:r>
        <w:instrText>REF _Ref65082940 \h</w:instrText>
      </w:r>
      <w:r>
        <w:fldChar w:fldCharType="separate"/>
      </w:r>
      <w:r>
        <w:t>Figuur 10</w:t>
      </w:r>
      <w:r>
        <w:fldChar w:fldCharType="end"/>
      </w:r>
      <w:r>
        <w:t xml:space="preserve"> en voor de sleutelfactor Toxiciteit uitgelegd in (@@@referentie KIWK-Tox/DPSIR). Zoals in bijvoorbeeld </w:t>
      </w:r>
      <w:r>
        <w:fldChar w:fldCharType="begin"/>
      </w:r>
      <w:r>
        <w:instrText>REF _Ref62033098 \h</w:instrText>
      </w:r>
      <w:r>
        <w:fldChar w:fldCharType="separate"/>
      </w:r>
      <w:r>
        <w:t>Figuur 4</w:t>
      </w:r>
      <w:r>
        <w:fldChar w:fldCharType="end"/>
      </w:r>
      <w:r>
        <w:t xml:space="preserve"> getoond wordt beslaat de intuïtieve diagnose tot</w:t>
      </w:r>
      <w:r>
        <w:t xml:space="preserve"> hier aan toe alleen de onderdelen S en I (Status en Impact), en niet de onderdelen D en P (</w:t>
      </w:r>
      <w:r>
        <w:rPr>
          <w:i/>
          <w:iCs/>
        </w:rPr>
        <w:t>Drivers</w:t>
      </w:r>
      <w:r>
        <w:t xml:space="preserve"> en </w:t>
      </w:r>
      <w:r>
        <w:rPr>
          <w:i/>
          <w:iCs/>
        </w:rPr>
        <w:t>Pressures</w:t>
      </w:r>
      <w:r>
        <w:t>, de economische activiteiten en de emissies van stoffen die zij veroorzaken), en het kern-onderdeel R (</w:t>
      </w:r>
      <w:r>
        <w:rPr>
          <w:i/>
          <w:iCs/>
        </w:rPr>
        <w:t>Response</w:t>
      </w:r>
      <w:r>
        <w:t>, maatregelen)..</w:t>
      </w:r>
    </w:p>
    <w:p w:rsidR="00DE6391" w:rsidRDefault="00DE6391"/>
    <w:p w:rsidR="00DE6391" w:rsidRDefault="00022B29">
      <w:r>
        <w:rPr>
          <w:noProof/>
          <w:lang w:eastAsia="nl-NL"/>
        </w:rPr>
        <w:drawing>
          <wp:inline distT="0" distB="0" distL="0" distR="0">
            <wp:extent cx="3460750" cy="208280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36"/>
                    <a:stretch>
                      <a:fillRect/>
                    </a:stretch>
                  </pic:blipFill>
                  <pic:spPr bwMode="auto">
                    <a:xfrm>
                      <a:off x="0" y="0"/>
                      <a:ext cx="3460750" cy="2082800"/>
                    </a:xfrm>
                    <a:prstGeom prst="rect">
                      <a:avLst/>
                    </a:prstGeom>
                  </pic:spPr>
                </pic:pic>
              </a:graphicData>
            </a:graphic>
          </wp:inline>
        </w:drawing>
      </w:r>
    </w:p>
    <w:p w:rsidR="00DE6391" w:rsidRDefault="00DE6391"/>
    <w:p w:rsidR="00DE6391" w:rsidRDefault="00022B29">
      <w:pPr>
        <w:pStyle w:val="Caption"/>
        <w:rPr>
          <w:sz w:val="22"/>
          <w:szCs w:val="22"/>
        </w:rPr>
      </w:pPr>
      <w:bookmarkStart w:id="48" w:name="_Ref65082940"/>
      <w:r>
        <w:t xml:space="preserve">Figuur </w:t>
      </w:r>
      <w:r>
        <w:fldChar w:fldCharType="begin"/>
      </w:r>
      <w:r>
        <w:instrText xml:space="preserve">SEQ </w:instrText>
      </w:r>
      <w:r>
        <w:instrText>Figuur \* ARABIC</w:instrText>
      </w:r>
      <w:r>
        <w:fldChar w:fldCharType="separate"/>
      </w:r>
      <w:r>
        <w:t>10</w:t>
      </w:r>
      <w:r>
        <w:fldChar w:fldCharType="end"/>
      </w:r>
      <w:bookmarkEnd w:id="48"/>
      <w:r>
        <w:t>. Het DSPIR-model dat in de KRW gebruikt wordt voor het analyseren van de rol van drukfactoren ten opzichte van de waterkwaliteit, met een centrale positie voor de maatregelen (R).</w:t>
      </w:r>
    </w:p>
    <w:p w:rsidR="00DE6391" w:rsidRDefault="00022B29">
      <w:pPr>
        <w:pStyle w:val="Caption"/>
        <w:rPr>
          <w:sz w:val="22"/>
          <w:szCs w:val="22"/>
        </w:rPr>
      </w:pPr>
      <w:r>
        <w:t xml:space="preserve"> </w:t>
      </w:r>
    </w:p>
    <w:p w:rsidR="00DE6391" w:rsidRDefault="00022B29">
      <w:r>
        <w:t>In een rapport over de resultaten watersysteemanalys</w:t>
      </w:r>
      <w:r>
        <w:t xml:space="preserve">e volgens de KRW uit het Verenigd Koninkrijk </w:t>
      </w:r>
      <w:r>
        <w:fldChar w:fldCharType="begin"/>
      </w:r>
      <w:r>
        <w:instrText>ADDIN EN.CITE &lt;EndNote&gt;&lt;Cite&gt;&lt;Author&gt;Westcountry Rivers Trust &lt;/Author&gt;&lt;Year&gt;2015&lt;/Year&gt;&lt;RecNum&gt;10672&lt;/RecNum&gt;&lt;DisplayText&gt;(Westcountry Rivers Trust 2015)&lt;/DisplayText&gt;&lt;record&gt;&lt;rec-number&gt;10672&lt;/rec-number&gt;&lt;fore</w:instrText>
      </w:r>
      <w:r>
        <w:instrText>ign-keys&gt;&lt;key app="EN" db-id="9vew0e5rcppvxrezet3vref0tpxfwzzf9f0s" timestamp="1585585694"&gt;10672&lt;/key&gt;&lt;/foreign-keys&gt;&lt;ref-type name="Report"&gt;27&lt;/ref-type&gt;&lt;contributors&gt;&lt;authors&gt;&lt;author&gt;Westcountry Rivers Trust ,&lt;/author&gt;&lt;/authors&gt;&lt;/contributors&gt;&lt;titles&gt;&lt;ti</w:instrText>
      </w:r>
      <w:r>
        <w:instrText>tle&gt;Dart &amp;amp; Teign Catchment Restoration Fund Report &lt;/title&gt;&lt;/titles&gt;&lt;dates&gt;&lt;year&gt;2015&lt;/year&gt;&lt;/dates&gt;&lt;pub-location&gt;Callington, Cornwall, United Kingdom&lt;/pub-location&gt;&lt;urls&gt;&lt;/urls&gt;&lt;/record&gt;&lt;/Cite&gt;&lt;/EndNote&gt;</w:instrText>
      </w:r>
      <w:r>
        <w:fldChar w:fldCharType="separate"/>
      </w:r>
      <w:r>
        <w:t>(Westcountry Rivers Trust 2015</w:t>
      </w:r>
      <w:r>
        <w:fldChar w:fldCharType="end"/>
      </w:r>
      <w:r>
        <w:t>) is de basis g</w:t>
      </w:r>
      <w:r>
        <w:t xml:space="preserve">elegd voor de communicatie van diagnose-resultaten, waarbij de presentatie alle onderdelen van de DPSIR-keten omvat. </w:t>
      </w:r>
    </w:p>
    <w:p w:rsidR="00DE6391" w:rsidRDefault="00DE6391"/>
    <w:p w:rsidR="00DE6391" w:rsidRDefault="00022B29">
      <w:r>
        <w:t xml:space="preserve">Het principe is, na aanpassing, getoond in </w:t>
      </w:r>
      <w:r>
        <w:fldChar w:fldCharType="begin"/>
      </w:r>
      <w:r>
        <w:instrText>REF _Ref65139107 \h</w:instrText>
      </w:r>
      <w:r>
        <w:fldChar w:fldCharType="separate"/>
      </w:r>
      <w:r>
        <w:t>Figuur 11</w:t>
      </w:r>
      <w:r>
        <w:fldChar w:fldCharType="end"/>
      </w:r>
      <w:r>
        <w:t xml:space="preserve"> (principe) en  </w:t>
      </w:r>
      <w:r>
        <w:fldChar w:fldCharType="begin"/>
      </w:r>
      <w:r>
        <w:instrText>REF _Ref30773223 \h</w:instrText>
      </w:r>
      <w:r>
        <w:fldChar w:fldCharType="separate"/>
      </w:r>
      <w:r>
        <w:t>Fout: Bron van verwijzing niet gevonden</w:t>
      </w:r>
      <w:r>
        <w:fldChar w:fldCharType="end"/>
      </w:r>
      <w:r>
        <w:t xml:space="preserve"> (het kaartbeeld van het Engelse rapport), en omvat de onderdelen:</w:t>
      </w:r>
    </w:p>
    <w:p w:rsidR="00DE6391" w:rsidRDefault="00022B29">
      <w:pPr>
        <w:numPr>
          <w:ilvl w:val="0"/>
          <w:numId w:val="4"/>
        </w:numPr>
      </w:pPr>
      <w:r>
        <w:rPr>
          <w:b/>
        </w:rPr>
        <w:t>wit, links</w:t>
      </w:r>
      <w:r>
        <w:t>: hier vat de waterbeheerder de result</w:t>
      </w:r>
      <w:r>
        <w:t xml:space="preserve">aten van de </w:t>
      </w:r>
      <w:r>
        <w:rPr>
          <w:i/>
        </w:rPr>
        <w:t>Driver</w:t>
      </w:r>
      <w:r>
        <w:t xml:space="preserve"> en </w:t>
      </w:r>
      <w:r>
        <w:rPr>
          <w:i/>
        </w:rPr>
        <w:t xml:space="preserve">Pressure </w:t>
      </w:r>
      <w:r>
        <w:t xml:space="preserve">analyse samen: welke economische activiteiten zijn er die, via emissies van stoffen, de waterkwaliteit kunnen </w:t>
      </w:r>
      <w:r>
        <w:lastRenderedPageBreak/>
        <w:t>beïnvloeden? De sleutelfactor toxiciteit assisteert bij deze diagnose-stap met het voorzien in stoffenlijsten die b</w:t>
      </w:r>
      <w:r>
        <w:t>ij belangrijke economische activiteiten (kunnen) horen.</w:t>
      </w:r>
    </w:p>
    <w:p w:rsidR="00DE6391" w:rsidRDefault="00022B29">
      <w:pPr>
        <w:numPr>
          <w:ilvl w:val="0"/>
          <w:numId w:val="4"/>
        </w:numPr>
      </w:pPr>
      <w:r>
        <w:rPr>
          <w:b/>
        </w:rPr>
        <w:t>kleuren, midden</w:t>
      </w:r>
      <w:r>
        <w:t>: de diagnostische aanpak van de monitoringresultaten, zoals uiteengezet in de voorgaande hoofdstukken; bij voorkeur uitgewerkt door kwantitatieve analyses (“hogere druk = grotere schad</w:t>
      </w:r>
      <w:r>
        <w:t>e”), of als (vijf) KRW-klassen, voor zowel de ecologische toestand als de omvang van de drukfactoren (inclusief toxiciteit)</w:t>
      </w:r>
    </w:p>
    <w:p w:rsidR="00DE6391" w:rsidRDefault="00022B29">
      <w:pPr>
        <w:numPr>
          <w:ilvl w:val="0"/>
          <w:numId w:val="4"/>
        </w:numPr>
      </w:pPr>
      <w:r>
        <w:rPr>
          <w:b/>
        </w:rPr>
        <w:t>wit, rechts</w:t>
      </w:r>
      <w:r>
        <w:t>: de inventarisatie van mogelijke maatregelen, of later: de gekozen maatregelen. De sleutelfactor toxiciteit assisteert b</w:t>
      </w:r>
      <w:r>
        <w:t>ij de verkenning van denkbare maatregelen door middel van de diagnose, maar ook door die te tonen in de holistische context van de economische activiteiten en de samenhang tussen de waterlichamen in het hydrologische systeem.</w:t>
      </w:r>
    </w:p>
    <w:p w:rsidR="00DE6391" w:rsidRDefault="00022B29">
      <w:pPr>
        <w:pStyle w:val="ListParagraph"/>
        <w:rPr>
          <w:sz w:val="22"/>
          <w:szCs w:val="22"/>
        </w:rPr>
      </w:pPr>
      <w:r>
        <w:rPr>
          <w:noProof/>
          <w:sz w:val="22"/>
          <w:szCs w:val="22"/>
          <w:lang w:eastAsia="nl-NL"/>
        </w:rPr>
        <w:drawing>
          <wp:anchor distT="0" distB="0" distL="0" distR="0" simplePos="0" relativeHeight="251658240" behindDoc="0" locked="0" layoutInCell="1" allowOverlap="1">
            <wp:simplePos x="0" y="0"/>
            <wp:positionH relativeFrom="column">
              <wp:align>center</wp:align>
            </wp:positionH>
            <wp:positionV relativeFrom="paragraph">
              <wp:posOffset>318770</wp:posOffset>
            </wp:positionV>
            <wp:extent cx="5622925" cy="3396615"/>
            <wp:effectExtent l="0" t="0" r="0" b="0"/>
            <wp:wrapTopAndBottom/>
            <wp:docPr id="3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
                    <pic:cNvPicPr>
                      <a:picLocks noChangeAspect="1" noChangeArrowheads="1"/>
                    </pic:cNvPicPr>
                  </pic:nvPicPr>
                  <pic:blipFill>
                    <a:blip r:embed="rId37"/>
                    <a:srcRect l="39249" t="20447" r="16963" b="16844"/>
                    <a:stretch>
                      <a:fillRect/>
                    </a:stretch>
                  </pic:blipFill>
                  <pic:spPr bwMode="auto">
                    <a:xfrm>
                      <a:off x="0" y="0"/>
                      <a:ext cx="5622925" cy="3396615"/>
                    </a:xfrm>
                    <a:prstGeom prst="rect">
                      <a:avLst/>
                    </a:prstGeom>
                  </pic:spPr>
                </pic:pic>
              </a:graphicData>
            </a:graphic>
          </wp:anchor>
        </w:drawing>
      </w:r>
    </w:p>
    <w:p w:rsidR="00DE6391" w:rsidRDefault="00022B29">
      <w:pPr>
        <w:pStyle w:val="Caption"/>
        <w:rPr>
          <w:sz w:val="22"/>
          <w:szCs w:val="22"/>
        </w:rPr>
      </w:pPr>
      <w:bookmarkStart w:id="49" w:name="_Ref65139107"/>
      <w:r>
        <w:t xml:space="preserve">Figuur </w:t>
      </w:r>
      <w:r>
        <w:fldChar w:fldCharType="begin"/>
      </w:r>
      <w:r>
        <w:instrText>SEQ Figuur \* ARABIC</w:instrText>
      </w:r>
      <w:r>
        <w:fldChar w:fldCharType="separate"/>
      </w:r>
      <w:r>
        <w:t>11</w:t>
      </w:r>
      <w:r>
        <w:fldChar w:fldCharType="end"/>
      </w:r>
      <w:bookmarkEnd w:id="49"/>
      <w:r>
        <w:t>. Schematisch overzicht van de opzet van de communicatie voor een watersysteemanalyse van de rol van drukfactoren in relatie tot de ecologische toestand, volgens de KRW gebaseerd op de DPSIR-causale analysestappen en op de classificatie (weergegeven a</w:t>
      </w:r>
      <w:r>
        <w:t>ls ‘geneste’ blokken).</w:t>
      </w:r>
    </w:p>
    <w:p w:rsidR="00DE6391" w:rsidRDefault="00DE6391"/>
    <w:p w:rsidR="00DE6391" w:rsidRDefault="00022B29">
      <w:r>
        <w:rPr>
          <w:noProof/>
          <w:lang w:eastAsia="nl-NL"/>
        </w:rPr>
        <w:lastRenderedPageBreak/>
        <w:drawing>
          <wp:anchor distT="0" distB="0" distL="0" distR="0" simplePos="0" relativeHeight="251656192" behindDoc="0" locked="0" layoutInCell="1" allowOverlap="1">
            <wp:simplePos x="0" y="0"/>
            <wp:positionH relativeFrom="column">
              <wp:posOffset>-51435</wp:posOffset>
            </wp:positionH>
            <wp:positionV relativeFrom="paragraph">
              <wp:posOffset>553720</wp:posOffset>
            </wp:positionV>
            <wp:extent cx="4759325" cy="5791200"/>
            <wp:effectExtent l="0" t="0" r="0" b="0"/>
            <wp:wrapTopAndBottom/>
            <wp:docPr id="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6"/>
                    <pic:cNvPicPr>
                      <a:picLocks noChangeAspect="1" noChangeArrowheads="1"/>
                    </pic:cNvPicPr>
                  </pic:nvPicPr>
                  <pic:blipFill>
                    <a:blip r:embed="rId38"/>
                    <a:stretch>
                      <a:fillRect/>
                    </a:stretch>
                  </pic:blipFill>
                  <pic:spPr bwMode="auto">
                    <a:xfrm>
                      <a:off x="0" y="0"/>
                      <a:ext cx="4759325" cy="5791200"/>
                    </a:xfrm>
                    <a:prstGeom prst="rect">
                      <a:avLst/>
                    </a:prstGeom>
                  </pic:spPr>
                </pic:pic>
              </a:graphicData>
            </a:graphic>
          </wp:anchor>
        </w:drawing>
      </w:r>
      <w:r>
        <w:t xml:space="preserve">Na samenvatting van alle resultaten in een watersysteem-analyse wordt daarna samenhangend inzicht gegeven, zoals (zij het niet goed leesbaar) zoals in  </w:t>
      </w:r>
      <w:r>
        <w:fldChar w:fldCharType="begin"/>
      </w:r>
      <w:r>
        <w:instrText>REF _Ref30773223 \h</w:instrText>
      </w:r>
      <w:r>
        <w:fldChar w:fldCharType="separate"/>
      </w:r>
      <w:r>
        <w:t>Fout: Bron van verwijzing niet gevonden</w:t>
      </w:r>
      <w:r>
        <w:fldChar w:fldCharType="end"/>
      </w:r>
      <w:r>
        <w:t xml:space="preserve">. </w:t>
      </w:r>
    </w:p>
    <w:p w:rsidR="00DE6391" w:rsidRDefault="00DE6391"/>
    <w:p w:rsidR="00DE6391" w:rsidRDefault="00022B29">
      <w:pPr>
        <w:pStyle w:val="Caption"/>
        <w:rPr>
          <w:sz w:val="22"/>
          <w:szCs w:val="22"/>
        </w:rPr>
      </w:pPr>
      <w:r>
        <w:t xml:space="preserve">Figuur </w:t>
      </w:r>
      <w:r>
        <w:fldChar w:fldCharType="begin"/>
      </w:r>
      <w:r>
        <w:instrText>SEQ Figuur \* ARABIC</w:instrText>
      </w:r>
      <w:r>
        <w:fldChar w:fldCharType="separate"/>
      </w:r>
      <w:r>
        <w:t>12</w:t>
      </w:r>
      <w:r>
        <w:fldChar w:fldCharType="end"/>
      </w:r>
      <w:r>
        <w:t>. Voorbeeld van de communicatieve kracht van een samenhangende presentatie van diagnose-resultaten. De sleutelfactor Toxiciteit suggereert om voor elke locatie een DPSIR-resul</w:t>
      </w:r>
      <w:r>
        <w:t xml:space="preserve">taat samen te vatten zoals in </w:t>
      </w:r>
      <w:r>
        <w:fldChar w:fldCharType="begin"/>
      </w:r>
      <w:r>
        <w:instrText>REF _Ref65139107 \h</w:instrText>
      </w:r>
      <w:r>
        <w:fldChar w:fldCharType="separate"/>
      </w:r>
      <w:r>
        <w:t>Figuur 11</w:t>
      </w:r>
      <w:r>
        <w:fldChar w:fldCharType="end"/>
      </w:r>
      <w:r>
        <w:t xml:space="preserve">. De getoonde kaart functioneert als impressie, en is afkomstig van </w:t>
      </w:r>
      <w:r>
        <w:fldChar w:fldCharType="begin"/>
      </w:r>
      <w:r>
        <w:instrText>ADDIN EN.CITE &lt;EndNote&gt;&lt;Cite AuthorYear="1"&gt;&lt;Author&gt;Westcountry</w:instrText>
      </w:r>
      <w:r>
        <w:instrText xml:space="preserve"> Rivers Trust &lt;/Author&gt;&lt;Year&gt;2015&lt;/Year&gt;&lt;RecNum&gt;10672&lt;/RecNum&gt;&lt;DisplayText&gt;Westcountry Rivers Trust (2015)&lt;/DisplayText&gt;&lt;record&gt;&lt;rec-number&gt;10672&lt;/rec-number&gt;&lt;foreign-keys&gt;&lt;key app="EN" db-id="9vew0e5rcppvxrezet3vref0tpxfwzzf9f0s" timestamp="1585585694"&gt;10</w:instrText>
      </w:r>
      <w:r>
        <w:instrText>672&lt;/key&gt;&lt;/foreign-keys&gt;&lt;ref-type name="Report"&gt;27&lt;/ref-type&gt;&lt;contributors&gt;&lt;authors&gt;&lt;author&gt;Westcountry Rivers Trust ,&lt;/author&gt;&lt;/authors&gt;&lt;/contributors&gt;&lt;titles&gt;&lt;title&gt;Dart &amp;amp; Teign Catchment Restoration Fund Report &lt;/title&gt;&lt;/titles&gt;&lt;dates&gt;&lt;year&gt;2015&lt;/ye</w:instrText>
      </w:r>
      <w:r>
        <w:instrText>ar&gt;&lt;/dates&gt;&lt;pub-location&gt;Callington, Cornwall, United Kingdom&lt;/pub-location&gt;&lt;urls&gt;&lt;/urls&gt;&lt;/record&gt;&lt;/Cite&gt;&lt;/EndNote&gt;</w:instrText>
      </w:r>
      <w:hyperlink w:anchor="_ENREF_36" w:tgtFrame="Westcountry Rivers Trust , 2015 #10672">
        <w:r>
          <w:instrText>Westcountry Rivers Trust (2015)</w:instrText>
        </w:r>
      </w:hyperlink>
      <w:r>
        <w:fldChar w:fldCharType="end"/>
      </w:r>
      <w:r>
        <w:t xml:space="preserve">. </w:t>
      </w:r>
    </w:p>
    <w:p w:rsidR="00DE6391" w:rsidRDefault="00DE6391"/>
    <w:p w:rsidR="00DE6391" w:rsidRDefault="00022B29">
      <w:r>
        <w:t>Het weergeven van diagnose-r</w:t>
      </w:r>
      <w:r>
        <w:t>esultaten als kaartbeeld is cruciaal, omdat dan duidelijk wordt dat waterkwaliteitsproblemen hydrologische samenhang vertonen: bovenstroomse bronnen kunnen leiden tot benedenstroomse druk en belemmeringen van de ecologische toestand, ook als er geen lokale</w:t>
      </w:r>
      <w:r>
        <w:t xml:space="preserve"> emissies zijn. Recente onderzoeksresultaten helpen hierbij, door kaartbeelden beschikbaar te maken die tonen hoe chemische verontreinigingen zich door het watersysteem verplaatsen. Een compleet beeld van toxiciteit en de verplaatsingen ervan wordt gegeven</w:t>
      </w:r>
      <w:r>
        <w:t xml:space="preserve"> door drie kaarten: een lokale kaart, een kaart van het relatieve belang van bovenstroomse bronnen van toxiciteit, en een kaart van het </w:t>
      </w:r>
      <w:r>
        <w:lastRenderedPageBreak/>
        <w:t>benedenstrooms verplaatsen van toxiciteit. Alle drie typen kaarten zijn van belang voor het nemen van maatregelen, en he</w:t>
      </w:r>
      <w:r>
        <w:t>t overleg daarover. De concepten voor deze kaarten zijn uitgewerkt in het EU-project SOLUTIONS, maar momenteel is het nog niet mogelijk om alle kaarten specifiek voor Nederland te maken. Daar wordt wel aan gewerkt, door verbeteringen aan het nationale hydr</w:t>
      </w:r>
      <w:r>
        <w:t xml:space="preserve">ologische instrumentarium, gecombineerd met de voortgang die onder de kennis impuls kon worden geboekt. De drie voorbeeldkaarten worden getoond in </w:t>
      </w:r>
      <w:r>
        <w:fldChar w:fldCharType="begin"/>
      </w:r>
      <w:r>
        <w:instrText>REF _Ref65143174 \h</w:instrText>
      </w:r>
      <w:r>
        <w:fldChar w:fldCharType="separate"/>
      </w:r>
      <w:r>
        <w:t>Figuur 13</w:t>
      </w:r>
      <w:r>
        <w:fldChar w:fldCharType="end"/>
      </w:r>
      <w:r>
        <w:t>. De lokale tox</w:t>
      </w:r>
      <w:r>
        <w:t>ische druk bepaalt de mate van belemmering in het lokale systeem. Ten aanzien van maatregelen is het van belang te weten voor het waterbeheer of maatregelen gericht moeten zijn op bovenstroomse bronnen (en welke dan), en/of op lokale bronnen. Verder is het</w:t>
      </w:r>
      <w:r>
        <w:t xml:space="preserve"> belangrijk, om na te gaan of water dat een beheergebied verlaat benedenstrooms toxiciteit oplevert. De meest effectieve maatregelen kunnen afgeleid worden, en zo nodig in samenwerking boven-, lokaal- en benedenstroomse beheerders worden afgeleid, als inzi</w:t>
      </w:r>
      <w:r>
        <w:t xml:space="preserve">cht verkregen kan worden in alle typen informatie. </w:t>
      </w:r>
    </w:p>
    <w:p w:rsidR="00DE6391" w:rsidRDefault="00DE6391"/>
    <w:p w:rsidR="00DE6391" w:rsidRDefault="00022B29">
      <w:r>
        <w:rPr>
          <w:noProof/>
          <w:lang w:eastAsia="nl-NL"/>
        </w:rPr>
        <w:drawing>
          <wp:inline distT="0" distB="0" distL="0" distR="0">
            <wp:extent cx="5759450" cy="459549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noChangeArrowheads="1"/>
                    </pic:cNvPicPr>
                  </pic:nvPicPr>
                  <pic:blipFill>
                    <a:blip r:embed="rId39"/>
                    <a:stretch>
                      <a:fillRect/>
                    </a:stretch>
                  </pic:blipFill>
                  <pic:spPr bwMode="auto">
                    <a:xfrm>
                      <a:off x="0" y="0"/>
                      <a:ext cx="5759450" cy="4595495"/>
                    </a:xfrm>
                    <a:prstGeom prst="rect">
                      <a:avLst/>
                    </a:prstGeom>
                  </pic:spPr>
                </pic:pic>
              </a:graphicData>
            </a:graphic>
          </wp:inline>
        </w:drawing>
      </w:r>
    </w:p>
    <w:p w:rsidR="00DE6391" w:rsidRDefault="00022B29">
      <w:pPr>
        <w:pStyle w:val="Caption"/>
        <w:rPr>
          <w:sz w:val="22"/>
          <w:szCs w:val="22"/>
        </w:rPr>
      </w:pPr>
      <w:bookmarkStart w:id="50" w:name="_Ref65143174"/>
      <w:r>
        <w:t xml:space="preserve">Figuur </w:t>
      </w:r>
      <w:r>
        <w:fldChar w:fldCharType="begin"/>
      </w:r>
      <w:r>
        <w:instrText>SEQ Figuur \* ARABIC</w:instrText>
      </w:r>
      <w:r>
        <w:fldChar w:fldCharType="separate"/>
      </w:r>
      <w:r>
        <w:t>13</w:t>
      </w:r>
      <w:r>
        <w:fldChar w:fldCharType="end"/>
      </w:r>
      <w:bookmarkEnd w:id="50"/>
      <w:r>
        <w:t>. Een complete diagnose omvat ook de ruimtelijke dynamiek van chemische verontreiniging in het watersysteem. A: waterbeheerders moeten qua verontreinigingen en maatregel</w:t>
      </w:r>
      <w:r>
        <w:t>en rekening houden met bovenstrooms bronnen en lokale bronnen en afvoer naar benedenstrooms (conceptuele weergave); B: door hydrologische modellering is het mogelijk om de bijdrage van alle bovenstroomse bronnen aan lokale toxische druk te duiden (hoe donk</w:t>
      </w:r>
      <w:r>
        <w:t>erder de kleur, hoe meer een bovenstrooms gebied bijdraagt aan de toxiciteit van Rijnwater bij Lobith (grote figuur) en Basel (kleine figuur). C: de lokale toxische druk, afgeleid van monitoring-gegevens, varieert ruimtelijk en belemmert de lokale ecologis</w:t>
      </w:r>
      <w:r>
        <w:t>che toestand, en D: door hydrologische modellering is het mogelijk om (thans op hoofdlijnen) het aandeel Rijnwater (met de daarin aanwezige verontreiniging) te bepalen in hydrologisch verbonden benedenstroomse wateren.</w:t>
      </w:r>
    </w:p>
    <w:p w:rsidR="00DE6391" w:rsidRDefault="00DE6391"/>
    <w:p w:rsidR="00DE6391" w:rsidRDefault="00022B29">
      <w:pPr>
        <w:pStyle w:val="Heading2"/>
        <w:numPr>
          <w:ilvl w:val="1"/>
          <w:numId w:val="2"/>
        </w:numPr>
        <w:rPr>
          <w:sz w:val="22"/>
          <w:szCs w:val="22"/>
        </w:rPr>
      </w:pPr>
      <w:bookmarkStart w:id="51" w:name="_Toc65147585"/>
      <w:r>
        <w:t>Presenteren van resultaten met logo’</w:t>
      </w:r>
      <w:r>
        <w:t>s en stijl van de sleutelfactoren</w:t>
      </w:r>
      <w:bookmarkEnd w:id="51"/>
      <w:r>
        <w:t xml:space="preserve"> </w:t>
      </w:r>
    </w:p>
    <w:p w:rsidR="00DE6391" w:rsidRDefault="00022B29">
      <w:r>
        <w:t xml:space="preserve">Een schets-voorbeeld van drie resultaten bij een bekende figuur uit de ESF-systematiek en de logo’s van die systematiek wordt getoond in </w:t>
      </w:r>
      <w:r>
        <w:fldChar w:fldCharType="begin"/>
      </w:r>
      <w:r>
        <w:instrText>REF _Ref65143488 \h</w:instrText>
      </w:r>
      <w:r>
        <w:fldChar w:fldCharType="separate"/>
      </w:r>
      <w:r>
        <w:t>Figuur 14</w:t>
      </w:r>
      <w:r>
        <w:fldChar w:fldCharType="end"/>
      </w:r>
    </w:p>
    <w:p w:rsidR="00DE6391" w:rsidRDefault="00022B29">
      <w:r>
        <w:t xml:space="preserve">. </w:t>
      </w:r>
    </w:p>
    <w:p w:rsidR="00DE6391" w:rsidRDefault="00022B29">
      <w:r>
        <w:rPr>
          <w:noProof/>
          <w:lang w:eastAsia="nl-NL"/>
        </w:rPr>
        <w:drawing>
          <wp:anchor distT="0" distB="0" distL="0" distR="0" simplePos="0" relativeHeight="251662336" behindDoc="0" locked="0" layoutInCell="1" allowOverlap="1">
            <wp:simplePos x="0" y="0"/>
            <wp:positionH relativeFrom="column">
              <wp:posOffset>-67945</wp:posOffset>
            </wp:positionH>
            <wp:positionV relativeFrom="paragraph">
              <wp:posOffset>292100</wp:posOffset>
            </wp:positionV>
            <wp:extent cx="5912485" cy="4736465"/>
            <wp:effectExtent l="0" t="0" r="0" b="0"/>
            <wp:wrapTopAndBottom/>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0"/>
                    <a:stretch>
                      <a:fillRect/>
                    </a:stretch>
                  </pic:blipFill>
                  <pic:spPr bwMode="auto">
                    <a:xfrm>
                      <a:off x="0" y="0"/>
                      <a:ext cx="5912485" cy="4736465"/>
                    </a:xfrm>
                    <a:prstGeom prst="rect">
                      <a:avLst/>
                    </a:prstGeom>
                  </pic:spPr>
                </pic:pic>
              </a:graphicData>
            </a:graphic>
          </wp:anchor>
        </w:drawing>
      </w:r>
      <w:r>
        <w:t xml:space="preserve"> </w:t>
      </w:r>
    </w:p>
    <w:p w:rsidR="00DE6391" w:rsidRDefault="00DE6391">
      <w:pPr>
        <w:pStyle w:val="Caption"/>
        <w:rPr>
          <w:sz w:val="22"/>
          <w:szCs w:val="22"/>
        </w:rPr>
      </w:pPr>
      <w:bookmarkStart w:id="52" w:name="_Ref36486351"/>
    </w:p>
    <w:p w:rsidR="00DE6391" w:rsidRDefault="00DE6391">
      <w:pPr>
        <w:pStyle w:val="Caption"/>
        <w:rPr>
          <w:sz w:val="22"/>
          <w:szCs w:val="22"/>
        </w:rPr>
      </w:pPr>
    </w:p>
    <w:p w:rsidR="00DE6391" w:rsidRDefault="00022B29">
      <w:pPr>
        <w:pStyle w:val="Caption"/>
        <w:rPr>
          <w:sz w:val="22"/>
          <w:szCs w:val="22"/>
        </w:rPr>
      </w:pPr>
      <w:bookmarkStart w:id="53" w:name="_Ref65143488"/>
      <w:r>
        <w:t xml:space="preserve">Figuur </w:t>
      </w:r>
      <w:r>
        <w:fldChar w:fldCharType="begin"/>
      </w:r>
      <w:r>
        <w:instrText>SEQ Figuur \* ARABIC</w:instrText>
      </w:r>
      <w:r>
        <w:fldChar w:fldCharType="separate"/>
      </w:r>
      <w:r>
        <w:t>14</w:t>
      </w:r>
      <w:r>
        <w:fldChar w:fldCharType="end"/>
      </w:r>
      <w:bookmarkEnd w:id="52"/>
      <w:bookmarkEnd w:id="53"/>
      <w:r>
        <w:t xml:space="preserve">. Voorbeeld van drie samenhangende diagnose-resultaten volgens de complete DPSIR-presentatie. Bij A levert een dorp enige emissies, door afspoeling van de straat, bij B en C (groter getoond) zijn er </w:t>
      </w:r>
      <w:r>
        <w:t>specifieke emissies van een RWZI en van landbouw. De diagnose bij C “ziet” de stoffen van beide bronnen, die immers op die locatie “gemengd” zijn..</w:t>
      </w:r>
    </w:p>
    <w:p w:rsidR="00DE6391" w:rsidRDefault="00DE6391"/>
    <w:p w:rsidR="00DE6391" w:rsidRDefault="00022B29">
      <w:r>
        <w:t>Indien de resultaten op deze manieren worden samengevat en in de onderlinge samenhang van een kaartbeeld wo</w:t>
      </w:r>
      <w:r>
        <w:t>rden gepresenteerd, wordt voldaan aan de principes waar de KRW op gebaseerd is:</w:t>
      </w:r>
    </w:p>
    <w:p w:rsidR="00DE6391" w:rsidRDefault="00022B29">
      <w:pPr>
        <w:numPr>
          <w:ilvl w:val="0"/>
          <w:numId w:val="4"/>
        </w:numPr>
      </w:pPr>
      <w:r>
        <w:t xml:space="preserve">Het volledig gebruiken van de DPSIR-analyse-stappen, en het tonen van een kaartbeeld met de </w:t>
      </w:r>
      <w:r>
        <w:rPr>
          <w:i/>
        </w:rPr>
        <w:t>Drivers</w:t>
      </w:r>
      <w:r>
        <w:t xml:space="preserve"> (de economische activiteiten die tot mogelijke schade leiden)</w:t>
      </w:r>
    </w:p>
    <w:p w:rsidR="00DE6391" w:rsidRDefault="00022B29">
      <w:pPr>
        <w:numPr>
          <w:ilvl w:val="0"/>
          <w:numId w:val="4"/>
        </w:numPr>
      </w:pPr>
      <w:r>
        <w:t xml:space="preserve">Het daaruit </w:t>
      </w:r>
      <w:r>
        <w:t>afleiden van een concrete diagnose, door combinatie van typen DPSI-gegevens</w:t>
      </w:r>
    </w:p>
    <w:p w:rsidR="00DE6391" w:rsidRDefault="00022B29">
      <w:pPr>
        <w:numPr>
          <w:ilvl w:val="0"/>
          <w:numId w:val="4"/>
        </w:numPr>
      </w:pPr>
      <w:r>
        <w:lastRenderedPageBreak/>
        <w:t xml:space="preserve">De focus op de signalering </w:t>
      </w:r>
      <w:r>
        <w:rPr>
          <w:i/>
        </w:rPr>
        <w:t>dat</w:t>
      </w:r>
      <w:r>
        <w:t xml:space="preserve"> maatregelen nodig zijn (via de KRW-classificatie), en </w:t>
      </w:r>
      <w:r>
        <w:rPr>
          <w:i/>
        </w:rPr>
        <w:t>waar en hoezeer</w:t>
      </w:r>
      <w:r>
        <w:t xml:space="preserve"> maatregelen nodig zijn en</w:t>
      </w:r>
      <w:r>
        <w:rPr>
          <w:i/>
        </w:rPr>
        <w:t xml:space="preserve"> waartegen</w:t>
      </w:r>
      <w:r>
        <w:t xml:space="preserve"> (via de diagnose-presentatie), en ook welke</w:t>
      </w:r>
      <w:r>
        <w:t xml:space="preserve"> maatregelen dan (het R-blokje)Het gebruikmaken van het watersysteem als uitgangspunt om betekenisvolle analyses te kunnen doen</w:t>
      </w:r>
    </w:p>
    <w:p w:rsidR="00DE6391" w:rsidRDefault="00022B29">
      <w:r>
        <w:t>Dit is een concrete invulling van de verplichtingen van de waterbeheerder om vast te stellen of en zo ja welke factoren de kwali</w:t>
      </w:r>
      <w:r>
        <w:t>teitstoestand van het water benadelen (KRW-Bijlage II).</w:t>
      </w:r>
    </w:p>
    <w:p w:rsidR="00DE6391" w:rsidRDefault="00DE6391"/>
    <w:p w:rsidR="00DE6391" w:rsidRDefault="00022B29">
      <w:pPr>
        <w:pStyle w:val="Heading1"/>
        <w:numPr>
          <w:ilvl w:val="0"/>
          <w:numId w:val="2"/>
        </w:numPr>
        <w:rPr>
          <w:sz w:val="22"/>
          <w:szCs w:val="22"/>
        </w:rPr>
      </w:pPr>
      <w:bookmarkStart w:id="54" w:name="_Toc65147586"/>
      <w:r>
        <w:lastRenderedPageBreak/>
        <w:t>Randvoorwaarden</w:t>
      </w:r>
      <w:bookmarkEnd w:id="54"/>
    </w:p>
    <w:p w:rsidR="00DE6391" w:rsidRDefault="00022B29">
      <w:r>
        <w:t>Een betekenisvolle diagnose kan het best worden afgeleid in samenwerking tussen alle waterbeheerders, omdat dit (ook) direct leidt tot samenhang in de maatregelenpakketten.</w:t>
      </w:r>
    </w:p>
    <w:p w:rsidR="00DE6391" w:rsidRDefault="00DE6391"/>
    <w:p w:rsidR="00DE6391" w:rsidRDefault="00022B29">
      <w:r>
        <w:t>Randvoorw</w:t>
      </w:r>
      <w:r>
        <w:t xml:space="preserve">aarde voor het afleiden van een goede diagnose is het zo goed mogelijk toepassen van een DPSIR-causale analyse. De stappen die daarvoor kunnen worden gemaakt zijn elders samengevat </w:t>
      </w:r>
      <w:r>
        <w:fldChar w:fldCharType="begin"/>
      </w:r>
      <w:r>
        <w:instrText>ADDIN EN.CITE &lt;EndNote&gt;&lt;Cite&gt;&lt;Author&gt;KIWK-Tox WP2&lt;/Author&gt;&lt;Year&gt;2020&lt;/Year&gt;</w:instrText>
      </w:r>
      <w:r>
        <w:instrText>&lt;RecNum&gt;10662&lt;/RecNum&gt;&lt;DisplayText&gt;(KIWK-Tox WP2, 2020e)&lt;/DisplayText&gt;&lt;record&gt;&lt;rec-number&gt;10662&lt;/rec-number&gt;&lt;foreign-keys&gt;&lt;key app="EN" db-id="9vew0e5rcppvxrezet3vref0tpxfwzzf9f0s" timestamp="1584980023"&gt;10662&lt;/key&gt;&lt;/foreign-keys&gt;&lt;ref-type name="Report"&gt;27</w:instrText>
      </w:r>
      <w:r>
        <w:instrText>&lt;/ref-type&gt;&lt;contributors&gt;&lt;authors&gt;&lt;author&gt;KIWK-Tox WP2,&lt;/author&gt;&lt;/authors&gt;&lt;/contributors&gt;&lt;titles&gt;&lt;title&gt;Notitie Kennis Impuls WaterKwaliteit - Toxiciteit:&amp;quot; Over DPSIR@@@&lt;/title&gt;&lt;/titles&gt;&lt;dates&gt;&lt;year&gt;2020&lt;/year&gt;&lt;/dates&gt;&lt;publisher&gt;STOWA, Amsersfoort&lt;/pu</w:instrText>
      </w:r>
      <w:r>
        <w:instrText>blisher&gt;&lt;urls&gt;&lt;/urls&gt;&lt;/record&gt;&lt;/Cite&gt;&lt;/EndNote&gt;</w:instrText>
      </w:r>
      <w:r>
        <w:fldChar w:fldCharType="separate"/>
      </w:r>
      <w:r>
        <w:t>(KIWK-Tox WP2, 2020e</w:t>
      </w:r>
      <w:r>
        <w:fldChar w:fldCharType="end"/>
      </w:r>
      <w:r>
        <w:t>).</w:t>
      </w:r>
    </w:p>
    <w:p w:rsidR="00DE6391" w:rsidRDefault="00DE6391"/>
    <w:p w:rsidR="00DE6391" w:rsidRDefault="00022B29">
      <w:r>
        <w:t xml:space="preserve">De KRW stelt, dat de waterbeheerders relatief vrij zijn in de wijzen waarop zij vaststellen dat er sprake is van de diagnose van een drukfactor: zij moeten aannemelijk maken dat één </w:t>
      </w:r>
      <w:r>
        <w:t>of meer factoren de waterkwaliteit benadelen. Zij hoeven dit niet te bewijzen, zoals bij een beoordeling door de rechter.</w:t>
      </w:r>
    </w:p>
    <w:p w:rsidR="00DE6391" w:rsidRDefault="00DE6391"/>
    <w:p w:rsidR="00DE6391" w:rsidRDefault="00022B29">
      <w:pPr>
        <w:pStyle w:val="Heading1"/>
        <w:numPr>
          <w:ilvl w:val="0"/>
          <w:numId w:val="2"/>
        </w:numPr>
        <w:rPr>
          <w:sz w:val="22"/>
          <w:szCs w:val="22"/>
        </w:rPr>
      </w:pPr>
      <w:bookmarkStart w:id="55" w:name="_Toc65147587"/>
      <w:r>
        <w:lastRenderedPageBreak/>
        <w:t>Kosten en baten</w:t>
      </w:r>
      <w:bookmarkEnd w:id="55"/>
    </w:p>
    <w:p w:rsidR="00DE6391" w:rsidRDefault="00022B29">
      <w:r>
        <w:t>Een goede diagnose, in het verband van de watersysteemanalyse, optimaliseert de maatregelenpakketten en kan gepaard g</w:t>
      </w:r>
      <w:r>
        <w:t xml:space="preserve">aan met lagere kosten en met sterkere verbetering van de waterkwaliteit. </w:t>
      </w:r>
    </w:p>
    <w:p w:rsidR="00DE6391" w:rsidRDefault="00DE6391"/>
    <w:p w:rsidR="00DE6391" w:rsidRDefault="00022B29">
      <w:r>
        <w:t xml:space="preserve">Momenteel wordt er nadruk gelegd op ca. 145 stoffen (in Nederland, ecologische aspecten van waterkwaliteit), wat ca. 0.2% van de stoffen dekt die in de handel zijn in Europa. Er is </w:t>
      </w:r>
      <w:r>
        <w:t xml:space="preserve">daarnaast aandacht voor ‘opkomende stoffen’, waardoor gaandeweg de stoffen in beeld komen die een belemmering (kunnen gaan) vormen voor de waterkwaliteit </w:t>
      </w:r>
      <w:r>
        <w:fldChar w:fldCharType="begin"/>
      </w:r>
      <w:r>
        <w:instrText>ADDIN EN.CITE &lt;EndNote&gt;&lt;Cite&gt;&lt;Author&gt;Osté&lt;/Author&gt;&lt;Year&gt;2017&lt;/Year&gt;&lt;RecNum&gt;11261&lt;/RecNum&gt;&lt;DisplayText&gt;</w:instrText>
      </w:r>
      <w:r>
        <w:instrText>(Osté et al., 2017)&lt;/DisplayText&gt;&lt;record&gt;&lt;rec-number&gt;11261&lt;/rec-number&gt;&lt;foreign-keys&gt;&lt;key app="EN" db-id="9vew0e5rcppvxrezet3vref0tpxfwzzf9f0s" timestamp="1614077340"&gt;11261&lt;/key&gt;&lt;/foreign-keys&gt;&lt;ref-type name="Report"&gt;27&lt;/ref-type&gt;&lt;contributors&gt;&lt;authors&gt;&lt;au</w:instrText>
      </w:r>
      <w:r>
        <w:instrText>thor&gt;Osté, L.&lt;/author&gt;&lt;author&gt;Derksen, A.&lt;/author&gt;&lt;author&gt;Smit, C.E.&lt;/author&gt;&lt;author&gt;Berbee, R.&lt;/author&gt;&lt;author&gt;Ter Laak, T.&lt;/author&gt;&lt;author&gt;Van Duijnhoven, N.&lt;/author&gt;&lt;author&gt;Ten Hulscher, D.&lt;/author&gt;&lt;/authors&gt;&lt;/contributors&gt;&lt;titles&gt;&lt;title&gt;Naar een strate</w:instrText>
      </w:r>
      <w:r>
        <w:instrText>gie voor opkomende stoffen&amp;#xD;&lt;/title&gt;&lt;/titles&gt;&lt;number&gt;Deltares-rapport 1230099-007&lt;/number&gt;&lt;dates&gt;&lt;year&gt;2017&lt;/year&gt;&lt;/dates&gt;&lt;pub-location&gt;Delft, the Netherlands&lt;/pub-location&gt;&lt;publisher&gt;Deltares&lt;/publisher&gt;&lt;urls&gt;&lt;/urls&gt;&lt;/record&gt;&lt;/Cite&gt;&lt;/EndNote&gt;</w:instrText>
      </w:r>
      <w:r>
        <w:fldChar w:fldCharType="separate"/>
      </w:r>
      <w:r>
        <w:t>(Osté et a</w:t>
      </w:r>
      <w:r>
        <w:t>l., 2017</w:t>
      </w:r>
      <w:r>
        <w:fldChar w:fldCharType="end"/>
      </w:r>
      <w:r>
        <w:t>). Desondanks is er een grote kans op ‘vals negatieven’ (geen signaal van risico of effect voor 99,8% van de stoffen, en geen signaal voor mengseleffecten). Dergelijke ‘vals negatieven’ betekenen dat investeringen in maatregelen niet het beoogde</w:t>
      </w:r>
      <w:r>
        <w:t xml:space="preserve"> effect op de waterkwaliteit hebben: herstel naar de ‘goede toestand’ kan lokaal belemmerd worden door elke ‘specifieke stof’</w:t>
      </w:r>
      <w:r>
        <w:rPr>
          <w:rStyle w:val="Voetnootanker"/>
        </w:rPr>
        <w:footnoteReference w:id="9"/>
      </w:r>
      <w:r>
        <w:t xml:space="preserve"> die op die schaal vóórkomt, en door het gezamenlijke effect van alle lokale stoffen. belemmerd wordt. </w:t>
      </w:r>
    </w:p>
    <w:p w:rsidR="00DE6391" w:rsidRDefault="00DE6391"/>
    <w:p w:rsidR="00DE6391" w:rsidRDefault="00022B29">
      <w:r>
        <w:t>Door de bestaande werkwij</w:t>
      </w:r>
      <w:r>
        <w:t>zen voor de beoordeling van stoffen is er momenteel ook sprake van onvoldoende prioritering voor locaties en stoffen die het meest bijdragen aan effecten. Immers, elke normoverschrijding leidt tot het signaal dat de waterkwaliteit chemisch niet goed is, en</w:t>
      </w:r>
      <w:r>
        <w:t xml:space="preserve"> elk waterlichaam waarin tenminste één stof boven de norm wordt aangetroffen is daarmee ‘even urgent’ om aan te pakken. Ook dit is niet kosteneffectief en optimaal wat betreft het afleiden van maatregelen.</w:t>
      </w:r>
    </w:p>
    <w:p w:rsidR="00DE6391" w:rsidRDefault="00DE6391"/>
    <w:p w:rsidR="00DE6391" w:rsidRDefault="00022B29">
      <w:r>
        <w:t>In totaal zijn de kosten van  de monitoring van d</w:t>
      </w:r>
      <w:r>
        <w:t>eze stoffen geschat momenteel niet bekend. Een ruwe schatting, op basis van enkele ken-getallen, toont dat er jaarlijkse op 6000 locaties een stoffen-meting wordt gedaan. Als daar gemiddeld 100 stoffen worden gemeten, en die zouden bijvoorbeeld gemiddeld 1</w:t>
      </w:r>
      <w:r>
        <w:t>00 Euro per stof kosten (inclusief alle kosten, zoals planning, reistijd, opwerking, analyse, rapportage, enz.) dan vertegenwoordigt dat al een waarde van (6000*100*100=) 60 miljoen Euro</w:t>
      </w:r>
      <w:r>
        <w:rPr>
          <w:rStyle w:val="Voetnootanker"/>
        </w:rPr>
        <w:footnoteReference w:id="10"/>
      </w:r>
      <w:r>
        <w:t>. Het is onduidelijk welke maatregelen er op basis van deze investeri</w:t>
      </w:r>
      <w:r>
        <w:t>ng genomen worden. De komende tijd is er onder het kabinet Rutte-III een bedrag van ca. 60 miljoen Euro geoormerkt voor de verbetering van rioolwaterzuiveringen, los van de jaarlijkse extra kosten van bijvoorbeeld een actief-koolinstallatie (kosten ca. 1 m</w:t>
      </w:r>
      <w:r>
        <w:t xml:space="preserve">iljoen Euro per jaar per installatie, terwijl er in Nederland enkele honderden zuiveringen zijn). </w:t>
      </w:r>
    </w:p>
    <w:p w:rsidR="00DE6391" w:rsidRDefault="00DE6391"/>
    <w:p w:rsidR="00DE6391" w:rsidRDefault="00022B29">
      <w:r>
        <w:t>De bedragen voor monitoring en maatregelen zijn op dit moment niet om te zetten in een duidelijke kosten-baten afweging; wat wel duidelijk is dat monitoring</w:t>
      </w:r>
      <w:r>
        <w:t xml:space="preserve"> en </w:t>
      </w:r>
      <w:r>
        <w:rPr>
          <w:i/>
          <w:iCs/>
        </w:rPr>
        <w:t>governance</w:t>
      </w:r>
      <w:r>
        <w:t xml:space="preserve"> van de waterkwaliteit gepaard gaat met substantiële bedragen. Het is vanuit de grove inschatting van de omvang van de budgetten van groot belang om de dure maatregelen te grondvesten op een grondige diagnose, en een goede evaluatie van de vr</w:t>
      </w:r>
      <w:r>
        <w:t xml:space="preserve">aag of de maatregelen helpen. Op dit moment loopt daar een KIWK-Tox case studie over. </w:t>
      </w:r>
    </w:p>
    <w:p w:rsidR="00DE6391" w:rsidRDefault="00DE6391"/>
    <w:p w:rsidR="00DE6391" w:rsidRDefault="00022B29">
      <w:r>
        <w:t xml:space="preserve">De Ecologische Sleutel Factor Toxiciteit beoogt om de waterbeheerders te assisteren bij deze diagnose. Daardoor ligt het voor de hand dat de kosten-baten balans in de toekomst verbetert, omdat </w:t>
      </w:r>
      <w:r>
        <w:lastRenderedPageBreak/>
        <w:t>een goede diagnose dure maar onnodige maatregelen helpt te voor</w:t>
      </w:r>
      <w:r>
        <w:t xml:space="preserve">kómen en ook helpt om de aandacht te richten op de chemische verontreinigingen die ‘er het meest toe doen’.  </w:t>
      </w:r>
    </w:p>
    <w:p w:rsidR="00DE6391" w:rsidRDefault="00DE6391"/>
    <w:p w:rsidR="00DE6391" w:rsidRDefault="00022B29">
      <w:pPr>
        <w:pStyle w:val="Heading1"/>
        <w:numPr>
          <w:ilvl w:val="0"/>
          <w:numId w:val="2"/>
        </w:numPr>
        <w:rPr>
          <w:sz w:val="22"/>
          <w:szCs w:val="22"/>
        </w:rPr>
      </w:pPr>
      <w:bookmarkStart w:id="56" w:name="_Toc65147588"/>
      <w:r>
        <w:lastRenderedPageBreak/>
        <w:t>Governance: toepassing van normen en sleutel</w:t>
      </w:r>
      <w:r>
        <w:t>factor</w:t>
      </w:r>
      <w:bookmarkEnd w:id="56"/>
    </w:p>
    <w:p w:rsidR="00DE6391" w:rsidRDefault="00022B29">
      <w:r>
        <w:t xml:space="preserve">De waterbeheerder moet – volgens de KRW – de waterkwaliteit beschermen of verbeteren. Op dit </w:t>
      </w:r>
      <w:r>
        <w:t xml:space="preserve">moment wordt daarbij veel gebruik gemaakt van de classificatie van de waterkwaliteit aan de hand van twee chemische toestandsklassen en vijf ecologische toestandsklassen. </w:t>
      </w:r>
    </w:p>
    <w:p w:rsidR="00DE6391" w:rsidRDefault="00DE6391"/>
    <w:p w:rsidR="00DE6391" w:rsidRDefault="00022B29">
      <w:r>
        <w:t>De waterbeheerder moet enerzijds, voor zover het chemische stoffen betreft, maatreg</w:t>
      </w:r>
      <w:r>
        <w:t xml:space="preserve">elen afleiden als er één of meer stoffen in een waterlichaam aanwezig zijn in een concentratie hoger dan de beschermende milieukwaliteitsnorm. Overschrijdingen betekenen immers, dat er een kans bestaat dat er effecten zijn op mens en/of milieu, voor resp. </w:t>
      </w:r>
      <w:r>
        <w:t xml:space="preserve">de 45 prioritaire stoffen of de </w:t>
      </w:r>
      <w:r>
        <w:rPr>
          <w:rFonts w:ascii="Symbol" w:eastAsia="Symbol" w:hAnsi="Symbol" w:cs="Symbol"/>
        </w:rPr>
        <w:t></w:t>
      </w:r>
      <w:r>
        <w:t xml:space="preserve"> 100 NL-specifieke stoffen (waardoor resp. de chemische en de ecologische toestandsklasse lager wordt dan ‘goed’). Ervaringen leren, dat deze beoordelingswijze monsters met hoge gevoeligheid classificeert als ‘voldoet niet’</w:t>
      </w:r>
      <w:r>
        <w:t xml:space="preserve"> voor chemische verontreiniging maar tegelijkertijd heel ongevoelig is voor opgetreden herstel. Dit belemmert het afleiden (prioriteren) van maatregelen en het volhouden van investeringen in (op zich) effectieve maatregelen, en daardoor het (kosten)effecti</w:t>
      </w:r>
      <w:r>
        <w:t>eve waterbeheer (de governance); het huidige beoordelingssysteem voor chemische verontreiniging is bijzonder effectief voor bescherming, maar minder voor prioriteren van herstel.</w:t>
      </w:r>
    </w:p>
    <w:p w:rsidR="00DE6391" w:rsidRDefault="00DE6391"/>
    <w:p w:rsidR="00DE6391" w:rsidRDefault="00022B29">
      <w:r>
        <w:t xml:space="preserve">Als de waterbeheerder </w:t>
      </w:r>
      <w:r>
        <w:rPr>
          <w:i/>
          <w:u w:val="single"/>
        </w:rPr>
        <w:t>alle</w:t>
      </w:r>
      <w:r>
        <w:t xml:space="preserve"> stoffen en hun mengsels beschouwt met de Ecologis</w:t>
      </w:r>
      <w:r>
        <w:t>che Sleutel Factor Toxiciteit en daarbij vooral let op effecten, dan wordt duidelijk waar, wanneer en door welke stoffen (mengsels) er effecten optreden en hoe groot die zijn. Dit helpt de waterbeheerder de aandacht te richten op de belangrijkste bedreigin</w:t>
      </w:r>
      <w:r>
        <w:t>gen (eerst locatie, dan stofgroepen en stoffen). De waterbeheerder mag deze bronnen van informatie (toestandklassen en mengsel-toxische druk) combineren bij de diagnose-stap (Bijlage 2 van de KRW). De ‘governance’ van de waterkwaliteit (beschermend of hers</w:t>
      </w:r>
      <w:r>
        <w:t>tellend) wordt hiermee bevorderd binnen de randvoorwaarden van de KRW. Indien de governance uitsluitend gebaseerd zou zijn op de toestandsklassen wordt – onverhoopt – slechts aandacht besteed aan 0.2% van de stoffen die in de handel zijn. Deze vorm van gov</w:t>
      </w:r>
      <w:r>
        <w:t>ernance dekt het probleem dus niet, en kan gezien worden als ‘incompleet’.</w:t>
      </w:r>
    </w:p>
    <w:p w:rsidR="00DE6391" w:rsidRDefault="00DE6391"/>
    <w:p w:rsidR="00DE6391" w:rsidRDefault="00022B29">
      <w:pPr>
        <w:pStyle w:val="Heading1"/>
        <w:numPr>
          <w:ilvl w:val="0"/>
          <w:numId w:val="2"/>
        </w:numPr>
        <w:rPr>
          <w:sz w:val="22"/>
          <w:szCs w:val="22"/>
        </w:rPr>
      </w:pPr>
      <w:bookmarkStart w:id="57" w:name="_Toc65147589"/>
      <w:r>
        <w:lastRenderedPageBreak/>
        <w:t>Praktijkervaringen en lopende onderzoeken</w:t>
      </w:r>
      <w:bookmarkEnd w:id="57"/>
    </w:p>
    <w:p w:rsidR="00DE6391" w:rsidRDefault="00022B29">
      <w:r>
        <w:t xml:space="preserve">Er zijn praktijkervaringen opgedaan met de toepassing van de </w:t>
      </w:r>
      <w:r>
        <w:rPr>
          <w:i/>
        </w:rPr>
        <w:t xml:space="preserve">Component- </w:t>
      </w:r>
      <w:r>
        <w:t>en de</w:t>
      </w:r>
      <w:r>
        <w:rPr>
          <w:i/>
        </w:rPr>
        <w:t xml:space="preserve"> Effect Based Methods</w:t>
      </w:r>
      <w:r>
        <w:t>, door gebruikmaking van de werkwijzen v</w:t>
      </w:r>
      <w:r>
        <w:t>an de Ecologische Sleutel Factor Toxiciteit (ESFT, versie 1.0 uit 2016). Hoewel er momenteel meer dan 40 case studies bekend zijn (resultaat van recent inventarisatie-onderzoek) zijn er nog beperkte praktijkervaringen met de hier beschreven werkwijzen voor</w:t>
      </w:r>
      <w:r>
        <w:t xml:space="preserve"> diagnose en communicatie.</w:t>
      </w:r>
    </w:p>
    <w:p w:rsidR="00DE6391" w:rsidRDefault="00DE6391"/>
    <w:p w:rsidR="00DE6391" w:rsidRDefault="00022B29">
      <w:pPr>
        <w:pStyle w:val="Heading1"/>
        <w:numPr>
          <w:ilvl w:val="0"/>
          <w:numId w:val="2"/>
        </w:numPr>
        <w:rPr>
          <w:sz w:val="22"/>
          <w:szCs w:val="22"/>
        </w:rPr>
      </w:pPr>
      <w:bookmarkStart w:id="58" w:name="_Toc65147590"/>
      <w:r>
        <w:lastRenderedPageBreak/>
        <w:t>Kennisleemten</w:t>
      </w:r>
      <w:bookmarkEnd w:id="58"/>
    </w:p>
    <w:p w:rsidR="00DE6391" w:rsidRDefault="00022B29">
      <w:r>
        <w:t>Er is eigenlijk geen sprake van een kennisleemte wat betreft het principe van de diagnose: alle basisprincipes zijn ruim voorhanden in de toegepaste ecologie en ecotoxicologie, hoewel ze – naar de aard van het comp</w:t>
      </w:r>
      <w:r>
        <w:t xml:space="preserve">lexe probleem van verminderde waterkwaliteit – nog altijd verbeterd kunnen worden (zoals in het project KIWK-Ecologie). De KRW-classificatie-methodiek kan echter momenteel al eenvoudigweg worden “omgedraaid” om tot een vrij eenvoudige, intuïtieve diagnose </w:t>
      </w:r>
      <w:r>
        <w:t xml:space="preserve">te komen. Die is gebaseerd op de wetenschappelijke principes waar de KRW zelf ook op gebaseerd is, waardoor waterbeheerders de getoonde diagnose- en communicatiemethodiek onverkort kunnen toepassen. Dit Deltafact beschrijft hoe de toegepaste wetenschappen </w:t>
      </w:r>
      <w:r>
        <w:t xml:space="preserve">in de KRW-systematieken aanwezig zijn, en ‘ontdekt’ kunnen worden. </w:t>
      </w:r>
    </w:p>
    <w:p w:rsidR="00DE6391" w:rsidRDefault="00DE6391"/>
    <w:p w:rsidR="00DE6391" w:rsidRDefault="00022B29">
      <w:r>
        <w:t>De ESF-Tox richt zich qua diagnose en communicatie nu vooral op de resultaten van het Chemie-spoor, omdat die het ruimst voorhanden zijn. Er is een implementatie- en interpretatie-achters</w:t>
      </w:r>
      <w:r>
        <w:t>tand voor de resultaten van het Toxicologie-spoor, maar er worden thans data verzameld om deze achterstand in te lopen.</w:t>
      </w:r>
    </w:p>
    <w:p w:rsidR="00DE6391" w:rsidRDefault="00DE6391"/>
    <w:p w:rsidR="00DE6391" w:rsidRDefault="00022B29">
      <w:r>
        <w:t>Verder is er een kennisleemte wat betreft de vertaling van ESF-Toxiciteit resultaten naar de zuiveringsopgave, in het bijzonder wat bet</w:t>
      </w:r>
      <w:r>
        <w:t>reft het aspect ‘verwijderbaarheid’ in relatie tot de stofeigenschappen in een bepaalde zuiveringstechniek. Dit wordt momenteel in case studies onderzocht.</w:t>
      </w:r>
    </w:p>
    <w:p w:rsidR="00DE6391" w:rsidRDefault="00DE6391"/>
    <w:p w:rsidR="00DE6391" w:rsidRDefault="00022B29">
      <w:pPr>
        <w:pStyle w:val="Heading1"/>
        <w:numPr>
          <w:ilvl w:val="0"/>
          <w:numId w:val="2"/>
        </w:numPr>
        <w:rPr>
          <w:sz w:val="22"/>
          <w:szCs w:val="22"/>
        </w:rPr>
      </w:pPr>
      <w:bookmarkStart w:id="59" w:name="_Toc65147591"/>
      <w:r>
        <w:lastRenderedPageBreak/>
        <w:t>Lopende initiatieven</w:t>
      </w:r>
      <w:bookmarkEnd w:id="59"/>
    </w:p>
    <w:p w:rsidR="00DE6391" w:rsidRDefault="00022B29">
      <w:r>
        <w:t>De diagnose- en communicatie werkwijzen zullen worden getoetst in case studies</w:t>
      </w:r>
      <w:r>
        <w:t xml:space="preserve"> van het project KIWK-Toxiciteit.</w:t>
      </w:r>
    </w:p>
    <w:p w:rsidR="00DE6391" w:rsidRDefault="00DE6391"/>
    <w:p w:rsidR="00DE6391" w:rsidRDefault="00DE6391"/>
    <w:p w:rsidR="00DE6391" w:rsidRDefault="00022B29">
      <w:pPr>
        <w:pStyle w:val="Heading1"/>
        <w:numPr>
          <w:ilvl w:val="0"/>
          <w:numId w:val="2"/>
        </w:numPr>
        <w:rPr>
          <w:sz w:val="22"/>
          <w:szCs w:val="22"/>
        </w:rPr>
      </w:pPr>
      <w:bookmarkStart w:id="60" w:name="_Toc65147592"/>
      <w:r>
        <w:lastRenderedPageBreak/>
        <w:t>Verantwoording</w:t>
      </w:r>
      <w:bookmarkEnd w:id="60"/>
    </w:p>
    <w:p w:rsidR="00DE6391" w:rsidRDefault="00022B29">
      <w:r>
        <w:t>Deze Notitie is opgesteld in het kader van het Kennis Impuls Water Kwaliteit project “Toxiciteit” door Leo Posthuma, Jappe Beekman, en Inge van Driezum (RIVM). De Notitie is voorgelegd aan Piet Verdonschot</w:t>
      </w:r>
      <w:r>
        <w:t xml:space="preserve"> voor suggesties, en (in een Engels extract) aan Sebastiaan Birk (idem), om de aansluiting bij de kennistoepassing uit het vakgebied van de toegepaste ecologie te versterken. De Notitie wordt – waar mogelijk – gedurende het verdere verloop van het KIWK-Tox</w:t>
      </w:r>
      <w:r>
        <w:t xml:space="preserve">iciteit project geactualiseerd op basis van nieuw verworven kennis uit het project en uit nieuwe (inter)nationale publicaties, alsmede op basis van suggesties van waterbeheerders. </w:t>
      </w:r>
    </w:p>
    <w:p w:rsidR="00DE6391" w:rsidRDefault="00DE6391"/>
    <w:p w:rsidR="00DE6391" w:rsidRDefault="00022B29">
      <w:pPr>
        <w:pStyle w:val="Heading1"/>
        <w:numPr>
          <w:ilvl w:val="0"/>
          <w:numId w:val="2"/>
        </w:numPr>
        <w:rPr>
          <w:sz w:val="22"/>
          <w:szCs w:val="22"/>
        </w:rPr>
      </w:pPr>
      <w:bookmarkStart w:id="61" w:name="_Toc65147593"/>
      <w:r>
        <w:lastRenderedPageBreak/>
        <w:t>Disclaimer</w:t>
      </w:r>
      <w:bookmarkEnd w:id="61"/>
    </w:p>
    <w:p w:rsidR="00DE6391" w:rsidRDefault="00022B29">
      <w:r>
        <w:t>De in deze Deltafact gepresenteerde kennis is gebaseerd op de m</w:t>
      </w:r>
      <w:r>
        <w:t>eest recente inzichten in het vakgebied. Desalniettemin moeten bij toepassing ervan de resultaten te allen tijde kritisch worden beschouwd. De auteur(s) en STOWA kunnen niet aansprakelijk worden gesteld voor eventuele schade die ontstaat door toepassing va</w:t>
      </w:r>
      <w:r>
        <w:t xml:space="preserve">n het gedachtegoed uit deze publicatie. </w:t>
      </w:r>
      <w:r>
        <w:tab/>
      </w:r>
    </w:p>
    <w:p w:rsidR="00DE6391" w:rsidRDefault="00DE6391"/>
    <w:p w:rsidR="00DE6391" w:rsidRDefault="00022B29">
      <w:pPr>
        <w:pStyle w:val="Title"/>
        <w:rPr>
          <w:sz w:val="22"/>
          <w:szCs w:val="22"/>
        </w:rPr>
      </w:pPr>
      <w:bookmarkStart w:id="62" w:name="_Toc65147594"/>
      <w:r>
        <w:t>Referenties</w:t>
      </w:r>
      <w:bookmarkEnd w:id="62"/>
    </w:p>
    <w:p w:rsidR="00DE6391" w:rsidRDefault="00022B29">
      <w:pPr>
        <w:pStyle w:val="EndNoteBibliography"/>
        <w:ind w:left="1120" w:hanging="1120"/>
        <w:rPr>
          <w:sz w:val="22"/>
        </w:rPr>
      </w:pPr>
      <w:r>
        <w:fldChar w:fldCharType="begin"/>
      </w:r>
      <w:r w:rsidRPr="00F37F3B">
        <w:rPr>
          <w:lang w:val="nl-NL"/>
        </w:rPr>
        <w:instrText>ADDIN EN.REFLIST</w:instrText>
      </w:r>
      <w:r>
        <w:fldChar w:fldCharType="separate"/>
      </w:r>
      <w:bookmarkStart w:id="63" w:name="_ENREF_1"/>
      <w:r>
        <w:rPr>
          <w:lang w:val="nl-NL"/>
        </w:rPr>
        <w:t xml:space="preserve">Birk, S., Bonne, W., Borja, A., Brucet, S., Courrat, A., Poikane, S., Solimini, A., van de Bund, W., Zampoukas, N. and Hering, D.  </w:t>
      </w:r>
      <w:r>
        <w:t xml:space="preserve">2012.  Three hundred ways to assess Europe's surface </w:t>
      </w:r>
      <w:r>
        <w:t>waters: An almost complete overview of biological methods to implement the Water Framework Directive. Ecological Indicators 18, 31-41.</w:t>
      </w:r>
    </w:p>
    <w:p w:rsidR="00DE6391" w:rsidRDefault="00022B29">
      <w:pPr>
        <w:pStyle w:val="EndNoteBibliography"/>
        <w:ind w:left="1120" w:hanging="1120"/>
        <w:rPr>
          <w:sz w:val="22"/>
        </w:rPr>
      </w:pPr>
      <w:bookmarkStart w:id="64" w:name="_ENREF_2"/>
      <w:r>
        <w:t>Birk, S., Chapman, D., Carvalho, L., Spears, B.M., Andersen, H.E., Argillier, C., Auer, S., Baattrup-Pedersen, A., Banin,</w:t>
      </w:r>
      <w:r>
        <w:t xml:space="preserve"> L., Beklioğlu, M., Bondar-Kunze, E., Borja, A., Branco, P., Bucak, T., Buijse, A.D., Cardoso, A.C., Couture, R.-M., Cremona, F., de Zwart, D., Feld, C.K., Ferreira, M.T., Feuchtmayr, H., Gessner, M.O., Gieswein, A., Globevnik, L., Graeber, D., Graf, W., G</w:t>
      </w:r>
      <w:r>
        <w:t>utiérrez-Cánovas, C., Hanganu, J., Işkın, U., Järvinen, M., Jeppesen, E., Kotamäki, N., Kuijper, M., Lemm, J.U., Lu, S., Solheim, A.L., Mischke, U., Moe, S.J., Nõges, P., Nõges, T., Ormerod, S.J., Panagopoulos, Y., Phillips, G., Posthuma, L., Pouso, S., Pr</w:t>
      </w:r>
      <w:r>
        <w:t xml:space="preserve">udhomme, C., Rankinen, K., Rasmussen, J.J., Richardson, J., Sagouis, A., Santos, J.M., Schäfer, R.B., Schinegger, R., Schmutz, S., Schneider, S.C., Schülting, L., Segurado, P., Stefanidis, K., Sures, B., Thackeray, S.J., Turunen, J., Uyarra, M.C., Venohr, </w:t>
      </w:r>
      <w:r>
        <w:t>M., von der Ohe, P.C., Willby, N. and Hering, D.  2020.  Impacts of multiple stressors on freshwater biota across spatial scales and ecosystems. Nature Ecology and Evolution.</w:t>
      </w:r>
    </w:p>
    <w:p w:rsidR="00DE6391" w:rsidRDefault="00022B29">
      <w:pPr>
        <w:pStyle w:val="EndNoteBibliography"/>
        <w:ind w:left="1120" w:hanging="1120"/>
        <w:rPr>
          <w:sz w:val="22"/>
        </w:rPr>
      </w:pPr>
      <w:bookmarkStart w:id="65" w:name="_ENREF_3"/>
      <w:r>
        <w:t xml:space="preserve">de Vries, J., Kraak, M.H.S., Verdonschot, R.C.M. and Verdonschot, P.F.M.  2019.  </w:t>
      </w:r>
      <w:r>
        <w:t>Quantifying cumulative stress acting on macroinvertebrate assemblages in lowland streams. Science of The Total Environment 694, 133630.</w:t>
      </w:r>
    </w:p>
    <w:p w:rsidR="00DE6391" w:rsidRDefault="00022B29">
      <w:pPr>
        <w:pStyle w:val="EndNoteBibliography"/>
        <w:ind w:left="1120" w:hanging="1120"/>
        <w:rPr>
          <w:sz w:val="22"/>
        </w:rPr>
      </w:pPr>
      <w:bookmarkStart w:id="66" w:name="_ENREF_4"/>
      <w:r>
        <w:t>De Zwart, D., Dyer, S.D., Posthuma, L. and Hawkins, C.P.  2006.  Predictive models attribute effects on fish assemblages</w:t>
      </w:r>
      <w:r>
        <w:t xml:space="preserve"> to toxicity and habitat alteration. Ecological Applications 16(4), 1295-1310.</w:t>
      </w:r>
    </w:p>
    <w:p w:rsidR="00DE6391" w:rsidRDefault="00022B29">
      <w:pPr>
        <w:pStyle w:val="EndNoteBibliography"/>
        <w:ind w:left="1120" w:hanging="1120"/>
        <w:rPr>
          <w:sz w:val="22"/>
        </w:rPr>
      </w:pPr>
      <w:bookmarkStart w:id="67" w:name="_ENREF_5"/>
      <w:r>
        <w:t>EC 2003  Common Implementation Strategy for the Water Framework Directive (2000/60/EC).  Guidance Document No. 3. Analysis of Pressures and Impacts., EC, CIS-Working Group 2.1 -</w:t>
      </w:r>
      <w:r>
        <w:t xml:space="preserve"> IMPRESS, Brussels, Belgium.</w:t>
      </w:r>
    </w:p>
    <w:p w:rsidR="00DE6391" w:rsidRDefault="00022B29">
      <w:pPr>
        <w:pStyle w:val="EndNoteBibliography"/>
        <w:ind w:left="1120" w:hanging="1120"/>
        <w:rPr>
          <w:sz w:val="22"/>
        </w:rPr>
      </w:pPr>
      <w:bookmarkStart w:id="68" w:name="_ENREF_6"/>
      <w:r>
        <w:t xml:space="preserve">EC 2019  Fitness check of the Water Framework Directive, Groundwater Directive, Environmental Quality Standards Directive and Floods Directive </w:t>
      </w:r>
      <w:hyperlink r:id="rId41">
        <w:r>
          <w:rPr>
            <w:rStyle w:val="Internetkoppeling"/>
          </w:rPr>
          <w:t>https://ec.europa.eu/environment/water/fitness_check_of_the_eu_water_legislation/documents/Water%20Fitness%20Check%20-%20SWD(2019)439%20-%20web.pdf</w:t>
        </w:r>
      </w:hyperlink>
      <w:r>
        <w:t>, pp. 1-176.</w:t>
      </w:r>
    </w:p>
    <w:p w:rsidR="00DE6391" w:rsidRDefault="00022B29">
      <w:pPr>
        <w:pStyle w:val="EndNoteBibliography"/>
        <w:ind w:left="1120" w:hanging="1120"/>
        <w:rPr>
          <w:sz w:val="22"/>
        </w:rPr>
      </w:pPr>
      <w:bookmarkStart w:id="69" w:name="_ENREF_7"/>
      <w:r>
        <w:t>EEA 2012  European waters</w:t>
      </w:r>
      <w:r>
        <w:t xml:space="preserve"> — assessment of status and pressures, EEA Report No 8/2012 EEA, Copenhagen, Denmark.</w:t>
      </w:r>
    </w:p>
    <w:p w:rsidR="00DE6391" w:rsidRDefault="00022B29">
      <w:pPr>
        <w:pStyle w:val="EndNoteBibliography"/>
        <w:ind w:left="1120" w:hanging="1120"/>
        <w:rPr>
          <w:sz w:val="22"/>
        </w:rPr>
      </w:pPr>
      <w:bookmarkStart w:id="70" w:name="_ENREF_8"/>
      <w:r>
        <w:t xml:space="preserve">EEA 2018  European waters — assessment of status and pressures </w:t>
      </w:r>
      <w:hyperlink r:id="rId42">
        <w:r>
          <w:rPr>
            <w:rStyle w:val="Internetkoppeling"/>
          </w:rPr>
          <w:t>https://www.eea.europa.eu/publicat</w:t>
        </w:r>
        <w:r>
          <w:rPr>
            <w:rStyle w:val="Internetkoppeling"/>
          </w:rPr>
          <w:t>ions/state-of-water</w:t>
        </w:r>
      </w:hyperlink>
      <w:r>
        <w:t>.</w:t>
      </w:r>
    </w:p>
    <w:p w:rsidR="00DE6391" w:rsidRDefault="00022B29">
      <w:pPr>
        <w:pStyle w:val="EndNoteBibliography"/>
        <w:ind w:left="1120" w:hanging="1120"/>
        <w:rPr>
          <w:sz w:val="22"/>
        </w:rPr>
      </w:pPr>
      <w:bookmarkStart w:id="71" w:name="_ENREF_9"/>
      <w:r>
        <w:t>Elosegi, A., Gessner, M.O. and Young, R.G.  2017.  River doctors: Learning from medicine to improve ecosystem management. Science of the Total Environment 595, 294–302.</w:t>
      </w:r>
    </w:p>
    <w:p w:rsidR="00DE6391" w:rsidRDefault="00022B29">
      <w:pPr>
        <w:pStyle w:val="EndNoteBibliography"/>
        <w:ind w:left="1120" w:hanging="1120"/>
        <w:rPr>
          <w:sz w:val="22"/>
        </w:rPr>
      </w:pPr>
      <w:bookmarkStart w:id="72" w:name="_ENREF_10"/>
      <w:r>
        <w:t>Feld, C.K., de Bello, F. and Dolédec, S.  2014.  Biodiversity of t</w:t>
      </w:r>
      <w:r>
        <w:t>raits and species both show weak responses to hydromorphological alteration in lowland river macroinvertebrates. Freshwater Biology 59(2), 233-248.</w:t>
      </w:r>
    </w:p>
    <w:p w:rsidR="00DE6391" w:rsidRDefault="00022B29">
      <w:pPr>
        <w:pStyle w:val="EndNoteBibliography"/>
        <w:ind w:left="1120" w:hanging="1120"/>
        <w:rPr>
          <w:sz w:val="22"/>
        </w:rPr>
      </w:pPr>
      <w:bookmarkStart w:id="73" w:name="_ENREF_11"/>
      <w:r>
        <w:t>Feld, C.K., Saeedghalati, M. and Hering, D.  2020.  A framework to diagnose the causes of river ecosystem de</w:t>
      </w:r>
      <w:r>
        <w:t>terioration using biological symptoms. Journal of Applied Ecology 57(11), 2271-2284.</w:t>
      </w:r>
    </w:p>
    <w:p w:rsidR="00DE6391" w:rsidRDefault="00022B29">
      <w:pPr>
        <w:pStyle w:val="EndNoteBibliography"/>
        <w:ind w:left="1120" w:hanging="1120"/>
        <w:rPr>
          <w:sz w:val="22"/>
        </w:rPr>
      </w:pPr>
      <w:bookmarkStart w:id="74" w:name="_ENREF_12"/>
      <w:r>
        <w:t>Grizzetti, B., Pistocchi, A., Liquete, C., Udias, A., Bouraoui, F. and Van De Bund, W.  2017.  Human pressures and ecological status of European rivers. Scientific Reports</w:t>
      </w:r>
      <w:r>
        <w:t xml:space="preserve"> 7: 205(1).</w:t>
      </w:r>
    </w:p>
    <w:p w:rsidR="00DE6391" w:rsidRDefault="00022B29">
      <w:pPr>
        <w:pStyle w:val="EndNoteBibliography"/>
        <w:ind w:left="1120" w:hanging="1120"/>
        <w:rPr>
          <w:sz w:val="22"/>
        </w:rPr>
      </w:pPr>
      <w:bookmarkStart w:id="75" w:name="_ENREF_13"/>
      <w:r>
        <w:t>Kapo, K.E. and Burton Jr, G.A.  2006.  A geographic information systems-based, weights-of-evidence approach for diagnosing aquatic ecosystem impairment. Environmental Toxicology and Chemistry 25(8), 2237-2249.</w:t>
      </w:r>
    </w:p>
    <w:p w:rsidR="00DE6391" w:rsidRDefault="00022B29">
      <w:pPr>
        <w:pStyle w:val="EndNoteBibliography"/>
        <w:ind w:left="1120" w:hanging="1120"/>
        <w:rPr>
          <w:lang w:val="nl-NL"/>
        </w:rPr>
      </w:pPr>
      <w:bookmarkStart w:id="76" w:name="_ENREF_14"/>
      <w:r>
        <w:lastRenderedPageBreak/>
        <w:t>Kapo, K.E., Holmes, C.M., Dyer, S.</w:t>
      </w:r>
      <w:r>
        <w:t xml:space="preserve">D., De Zwart, D. and Posthuma, L.  2014.  Developing a foundation for eco-epidemiological assessment of aquatic ecological status over large geographic regions utilizing existing data resources and models. </w:t>
      </w:r>
      <w:r>
        <w:rPr>
          <w:lang w:val="nl-NL"/>
        </w:rPr>
        <w:t>Environmental Toxicology and Chemistry 33(7), 1665</w:t>
      </w:r>
      <w:r>
        <w:rPr>
          <w:lang w:val="nl-NL"/>
        </w:rPr>
        <w:t>-1677.</w:t>
      </w:r>
    </w:p>
    <w:p w:rsidR="00DE6391" w:rsidRDefault="00022B29">
      <w:pPr>
        <w:pStyle w:val="EndNoteBibliography"/>
        <w:ind w:left="1120" w:hanging="1120"/>
        <w:rPr>
          <w:lang w:val="nl-NL"/>
        </w:rPr>
      </w:pPr>
      <w:bookmarkStart w:id="77" w:name="_ENREF_15"/>
      <w:r>
        <w:rPr>
          <w:lang w:val="nl-NL"/>
        </w:rPr>
        <w:t>KIWK-Tox WP2 2020a  Chemische verontreiniging en effecten op ecologie en de zuiveringsinspanning. Achtergronddocument beschikbare kennis bij de sleutelfactor toxiciteit., STOWA, Amsersfoort.</w:t>
      </w:r>
    </w:p>
    <w:p w:rsidR="00DE6391" w:rsidRDefault="00022B29">
      <w:pPr>
        <w:pStyle w:val="EndNoteBibliography"/>
        <w:ind w:left="1120" w:hanging="1120"/>
        <w:rPr>
          <w:lang w:val="nl-NL"/>
        </w:rPr>
      </w:pPr>
      <w:bookmarkStart w:id="78" w:name="_ENREF_16"/>
      <w:r>
        <w:rPr>
          <w:lang w:val="nl-NL"/>
        </w:rPr>
        <w:t>KIWK-Tox WP2 2020b  ESFT2_Opzoektabel - langebruikscenario</w:t>
      </w:r>
      <w:r>
        <w:rPr>
          <w:lang w:val="nl-NL"/>
        </w:rPr>
        <w:t>'s en bijbehorende lijst stoffen die waarschijnlijk geemitteerd worden, STOWA, Amsersfoort.</w:t>
      </w:r>
    </w:p>
    <w:p w:rsidR="00DE6391" w:rsidRDefault="00022B29">
      <w:pPr>
        <w:pStyle w:val="EndNoteBibliography"/>
        <w:ind w:left="1120" w:hanging="1120"/>
        <w:rPr>
          <w:lang w:val="nl-NL"/>
        </w:rPr>
      </w:pPr>
      <w:bookmarkStart w:id="79" w:name="_ENREF_17"/>
      <w:r>
        <w:rPr>
          <w:lang w:val="nl-NL"/>
        </w:rPr>
        <w:t>KIWK-Tox WP2 2020c  Notitie Kennis Impuls WaterKwaliteit - Toxiciteit: " Diagnose en communicatie van ESFT-resultaten", STOWA, Amsersfoort.</w:t>
      </w:r>
    </w:p>
    <w:p w:rsidR="00DE6391" w:rsidRDefault="00022B29">
      <w:pPr>
        <w:pStyle w:val="EndNoteBibliography"/>
        <w:ind w:left="1120" w:hanging="1120"/>
        <w:rPr>
          <w:lang w:val="nl-NL"/>
        </w:rPr>
      </w:pPr>
      <w:bookmarkStart w:id="80" w:name="_ENREF_18"/>
      <w:r>
        <w:rPr>
          <w:lang w:val="nl-NL"/>
        </w:rPr>
        <w:t>KIWK-Tox WP2 2020d  Noti</w:t>
      </w:r>
      <w:r>
        <w:rPr>
          <w:lang w:val="nl-NL"/>
        </w:rPr>
        <w:t>tie Kennis Impuls WaterKwaliteit - Toxiciteit: "Startmodule - strategie voor het afleiden van maatregelen", STOWA, Amsersfoort.</w:t>
      </w:r>
    </w:p>
    <w:p w:rsidR="00DE6391" w:rsidRDefault="00022B29">
      <w:pPr>
        <w:pStyle w:val="EndNoteBibliography"/>
        <w:ind w:left="1120" w:hanging="1120"/>
        <w:rPr>
          <w:lang w:val="nl-NL"/>
        </w:rPr>
      </w:pPr>
      <w:bookmarkStart w:id="81" w:name="_ENREF_19"/>
      <w:r>
        <w:rPr>
          <w:lang w:val="nl-NL"/>
        </w:rPr>
        <w:t>KIWK-Tox WP2 2020e  Notitie Kennis Impuls WaterKwaliteit - Toxiciteit:" Over DPSIR@@@, STOWA, Amsersfoort.</w:t>
      </w:r>
    </w:p>
    <w:p w:rsidR="00DE6391" w:rsidRDefault="00022B29">
      <w:pPr>
        <w:pStyle w:val="EndNoteBibliography"/>
        <w:ind w:left="1120" w:hanging="1120"/>
        <w:rPr>
          <w:lang w:val="nl-NL"/>
        </w:rPr>
      </w:pPr>
      <w:bookmarkStart w:id="82" w:name="_ENREF_20"/>
      <w:r>
        <w:rPr>
          <w:lang w:val="nl-NL"/>
        </w:rPr>
        <w:t>KIWK-Tox WP3 2020  No</w:t>
      </w:r>
      <w:r>
        <w:rPr>
          <w:lang w:val="nl-NL"/>
        </w:rPr>
        <w:t>titie Kennis Impuls WaterKwaliteit - Toxiciteit:"Chemie-spoor" ESFT2, STOWA, Amsersfoort.</w:t>
      </w:r>
    </w:p>
    <w:p w:rsidR="00DE6391" w:rsidRDefault="00022B29">
      <w:pPr>
        <w:pStyle w:val="EndNoteBibliography"/>
        <w:ind w:left="1120" w:hanging="1120"/>
        <w:rPr>
          <w:lang w:val="nl-NL"/>
        </w:rPr>
      </w:pPr>
      <w:bookmarkStart w:id="83" w:name="_ENREF_21"/>
      <w:r>
        <w:rPr>
          <w:lang w:val="nl-NL"/>
        </w:rPr>
        <w:t>KIWK-Tox WP4 2020  Notitie Kennis Impuls WaterKwaliteit - Toxiciteit: "Toxicologie-spoor" ESFT2, STOWA, Amsersfoort.</w:t>
      </w:r>
    </w:p>
    <w:p w:rsidR="00DE6391" w:rsidRDefault="00022B29">
      <w:pPr>
        <w:pStyle w:val="EndNoteBibliography"/>
        <w:ind w:left="1120" w:hanging="1120"/>
        <w:rPr>
          <w:lang w:val="nl-NL"/>
        </w:rPr>
      </w:pPr>
      <w:bookmarkStart w:id="84" w:name="_ENREF_22"/>
      <w:r>
        <w:rPr>
          <w:lang w:val="nl-NL"/>
        </w:rPr>
        <w:t xml:space="preserve">KIWK-Tox WP5 2020  Notitie Notitie Kennis Impuls </w:t>
      </w:r>
      <w:r>
        <w:rPr>
          <w:lang w:val="nl-NL"/>
        </w:rPr>
        <w:t>WaterKwaliteit - Toxiciteit: "Calibratie en interpretatie"WP5@@@, STOWA, Amsersfoort.</w:t>
      </w:r>
    </w:p>
    <w:p w:rsidR="00DE6391" w:rsidRDefault="00022B29">
      <w:pPr>
        <w:pStyle w:val="EndNoteBibliography"/>
        <w:ind w:left="1120" w:hanging="1120"/>
        <w:rPr>
          <w:sz w:val="22"/>
        </w:rPr>
      </w:pPr>
      <w:bookmarkStart w:id="85" w:name="_ENREF_23"/>
      <w:r>
        <w:rPr>
          <w:lang w:val="nl-NL"/>
        </w:rPr>
        <w:t xml:space="preserve">Lee, G.H.v.d., Baat, M.L.d., Wieringa, N., Kraak, M.H.S., Verdonschot, R.C.M. and Verdonschot, P.F.M.  </w:t>
      </w:r>
      <w:r>
        <w:t>2020.  Structural and functional assessment of multi-stressed lowla</w:t>
      </w:r>
      <w:r>
        <w:t>nd waters. Freshwater Science 39(4), 621-634.</w:t>
      </w:r>
    </w:p>
    <w:p w:rsidR="00DE6391" w:rsidRDefault="00022B29">
      <w:pPr>
        <w:pStyle w:val="EndNoteBibliography"/>
        <w:ind w:left="1120" w:hanging="1120"/>
        <w:rPr>
          <w:lang w:val="nl-NL"/>
        </w:rPr>
      </w:pPr>
      <w:bookmarkStart w:id="86" w:name="_ENREF_24"/>
      <w:r>
        <w:t xml:space="preserve">Lemm, J.U., Venohr, M., Globevnik, L., Stefanidis, K., Panagopoulos, Y., van Gils, J., Posthuma, L., Kristensen, P., Feld, C.K., Mahnkopf, J., Hering, D. and Birk, S.  2020.  Multiple stressors determine river </w:t>
      </w:r>
      <w:r>
        <w:t xml:space="preserve">ecological status at the European scale: Towards an integrated understanding of river status deterioration. </w:t>
      </w:r>
      <w:r>
        <w:rPr>
          <w:lang w:val="nl-NL"/>
        </w:rPr>
        <w:t>Glob Chang Biol.</w:t>
      </w:r>
    </w:p>
    <w:p w:rsidR="00DE6391" w:rsidRDefault="00022B29">
      <w:pPr>
        <w:pStyle w:val="EndNoteBibliography"/>
        <w:ind w:left="1120" w:hanging="1120"/>
        <w:rPr>
          <w:lang w:val="nl-NL"/>
        </w:rPr>
      </w:pPr>
      <w:bookmarkStart w:id="87" w:name="_ENREF_25"/>
      <w:r>
        <w:rPr>
          <w:lang w:val="nl-NL"/>
        </w:rPr>
        <w:t xml:space="preserve">Osté, L., Derksen, A., Smit, C.E., Berbee, R., Ter Laak, T., Van Duijnhoven, N. and Ten Hulscher, D. 2017  Naar een strategie voor </w:t>
      </w:r>
      <w:r>
        <w:rPr>
          <w:lang w:val="nl-NL"/>
        </w:rPr>
        <w:t>opkomende stoffen</w:t>
      </w:r>
    </w:p>
    <w:p w:rsidR="00DE6391" w:rsidRDefault="00022B29">
      <w:pPr>
        <w:pStyle w:val="EndNoteBibliography"/>
        <w:ind w:left="0" w:firstLine="0"/>
        <w:rPr>
          <w:sz w:val="22"/>
        </w:rPr>
      </w:pPr>
      <w:r>
        <w:t>Deltares, Delft, the Netherlands.</w:t>
      </w:r>
    </w:p>
    <w:p w:rsidR="00DE6391" w:rsidRDefault="00022B29">
      <w:pPr>
        <w:pStyle w:val="EndNoteBibliography"/>
        <w:ind w:left="1120" w:hanging="1120"/>
        <w:rPr>
          <w:sz w:val="22"/>
        </w:rPr>
      </w:pPr>
      <w:bookmarkStart w:id="88" w:name="_ENREF_26"/>
      <w:r>
        <w:t xml:space="preserve">Peralta-Maraver, I., Galloway, J., Posselt, M., Arnon, S., Reiss, J., Lewandowski, J. and Robertson, A.L.  2018.  Environmental filtering and community delineation in the streambed ecotone. Scientific </w:t>
      </w:r>
      <w:r>
        <w:t>Reports 8(1), 15871.</w:t>
      </w:r>
    </w:p>
    <w:p w:rsidR="00DE6391" w:rsidRDefault="00022B29">
      <w:pPr>
        <w:pStyle w:val="EndNoteBibliography"/>
        <w:ind w:left="1120" w:hanging="1120"/>
        <w:rPr>
          <w:sz w:val="22"/>
        </w:rPr>
      </w:pPr>
      <w:bookmarkStart w:id="89" w:name="_ENREF_27"/>
      <w:r>
        <w:t>Poff, N.L.  1997.  Landscape Filters and Species Traits: Towards Mechanistic Understanding and Prediction in Stream Ecology. Journal of the North American Benthological Society 16(2), 391-409.</w:t>
      </w:r>
    </w:p>
    <w:p w:rsidR="00DE6391" w:rsidRDefault="00022B29">
      <w:pPr>
        <w:pStyle w:val="EndNoteBibliography"/>
        <w:ind w:left="1120" w:hanging="1120"/>
        <w:rPr>
          <w:sz w:val="22"/>
        </w:rPr>
      </w:pPr>
      <w:bookmarkStart w:id="90" w:name="_ENREF_28"/>
      <w:r>
        <w:t xml:space="preserve">Posthuma, L., Zijp, M.C., De Zwart, D., </w:t>
      </w:r>
      <w:r>
        <w:t>Van de Meent, D., Globevnik, L., Koprivsek, M., Focks, A., Van Gils, J. and Birk, S.  2020.  Chemical pollution imposes limitations to the ecological status of European surface waters. Scientific Reports 10(1), 14825.</w:t>
      </w:r>
    </w:p>
    <w:p w:rsidR="00DE6391" w:rsidRDefault="00022B29">
      <w:pPr>
        <w:pStyle w:val="EndNoteBibliography"/>
        <w:ind w:left="1120" w:hanging="1120"/>
        <w:rPr>
          <w:sz w:val="22"/>
        </w:rPr>
      </w:pPr>
      <w:bookmarkStart w:id="91" w:name="_ENREF_29"/>
      <w:r>
        <w:t>Pronk, T.E., Vries, D., Kools, S.A.E.,</w:t>
      </w:r>
      <w:r>
        <w:t xml:space="preserve"> Hofman-Caris, R. and Stroomberg, G.J. 2020  Removal requirement and purification treatment effort for Dutch Rhine water from 2000-2018, RIWZ-Rijn report </w:t>
      </w:r>
    </w:p>
    <w:p w:rsidR="00DE6391" w:rsidRDefault="00022B29">
      <w:pPr>
        <w:pStyle w:val="EndNoteBibliography"/>
        <w:ind w:left="1120" w:hanging="1120"/>
        <w:rPr>
          <w:sz w:val="22"/>
        </w:rPr>
      </w:pPr>
      <w:bookmarkStart w:id="92" w:name="_ENREF_30"/>
      <w:r>
        <w:t>Rapport, D. and Friend, A. 1979  Towards a comprehensive framework for environmental statistics. A st</w:t>
      </w:r>
      <w:r>
        <w:t xml:space="preserve">ress-response approach </w:t>
      </w:r>
      <w:hyperlink r:id="rId43">
        <w:r>
          <w:rPr>
            <w:rStyle w:val="Internetkoppeling"/>
          </w:rPr>
          <w:t>https://www.worldcat.org/title/towards-a-comprehensive-framework-for-environmen</w:t>
        </w:r>
        <w:r>
          <w:rPr>
            <w:rStyle w:val="Internetkoppeling"/>
          </w:rPr>
          <w:t>tal-statistics-a-stress-response-approach/oclc/21772350</w:t>
        </w:r>
      </w:hyperlink>
      <w:r>
        <w:t>.</w:t>
      </w:r>
    </w:p>
    <w:p w:rsidR="00DE6391" w:rsidRDefault="00022B29">
      <w:pPr>
        <w:pStyle w:val="EndNoteBibliography"/>
        <w:ind w:left="1120" w:hanging="1120"/>
        <w:rPr>
          <w:sz w:val="22"/>
        </w:rPr>
      </w:pPr>
      <w:bookmarkStart w:id="93" w:name="_ENREF_31"/>
      <w:r>
        <w:t>Shelford, V.E. (1929) Laboratory and field ecology: the responses of animals as indicators of correct working methods, Williams &amp; Wilkins, Baltimore.</w:t>
      </w:r>
    </w:p>
    <w:p w:rsidR="00DE6391" w:rsidRDefault="00022B29">
      <w:pPr>
        <w:pStyle w:val="EndNoteBibliography"/>
        <w:ind w:left="1120" w:hanging="1120"/>
        <w:rPr>
          <w:sz w:val="22"/>
        </w:rPr>
      </w:pPr>
      <w:bookmarkStart w:id="94" w:name="_ENREF_32"/>
      <w:r>
        <w:t>STOWA 2018  Handreiking KRW-doelen, STOWA, Amersf</w:t>
      </w:r>
      <w:r>
        <w:t>oort, the Netherlands.</w:t>
      </w:r>
    </w:p>
    <w:p w:rsidR="00DE6391" w:rsidRDefault="00022B29">
      <w:pPr>
        <w:pStyle w:val="EndNoteBibliography"/>
        <w:ind w:left="1120" w:hanging="1120"/>
        <w:rPr>
          <w:sz w:val="22"/>
        </w:rPr>
      </w:pPr>
      <w:bookmarkStart w:id="95" w:name="_ENREF_33"/>
      <w:r>
        <w:t>Thomas, R.e. 1995  A general strategy for integrated environmental assessment  the European Environment Agency, RIVM, Bilthoven, the Netherlands.</w:t>
      </w:r>
    </w:p>
    <w:p w:rsidR="00DE6391" w:rsidRDefault="00022B29">
      <w:pPr>
        <w:pStyle w:val="EndNoteBibliography"/>
        <w:ind w:left="1120" w:hanging="1120"/>
        <w:rPr>
          <w:sz w:val="22"/>
        </w:rPr>
      </w:pPr>
      <w:bookmarkStart w:id="96" w:name="_ENREF_34"/>
      <w:r>
        <w:t>Tonn, W.M.  1990.  Climate Change and Fish Communities: A Conceptual Framework. Transac</w:t>
      </w:r>
      <w:r>
        <w:t>tions of the American Fisheries Society 119(2), 337-352.</w:t>
      </w:r>
    </w:p>
    <w:p w:rsidR="00DE6391" w:rsidRDefault="00022B29">
      <w:pPr>
        <w:pStyle w:val="EndNoteBibliography"/>
        <w:ind w:left="1120" w:hanging="1120"/>
        <w:rPr>
          <w:sz w:val="22"/>
        </w:rPr>
      </w:pPr>
      <w:bookmarkStart w:id="97" w:name="_ENREF_35"/>
      <w:r>
        <w:t>Tonn, W.M., Magnuson, J.J., Rask, M. and Toivonen, J.  1990.  Intercontinental Comparison of Small-Lake Fish Assemblages: The Balance between Local and Regional Processes. The American Naturalist 136</w:t>
      </w:r>
      <w:r>
        <w:t>(3), 345-375.</w:t>
      </w:r>
    </w:p>
    <w:p w:rsidR="00DE6391" w:rsidRDefault="00022B29">
      <w:pPr>
        <w:pStyle w:val="EndNoteBibliography"/>
        <w:ind w:left="1120" w:hanging="1120"/>
        <w:rPr>
          <w:sz w:val="22"/>
        </w:rPr>
      </w:pPr>
      <w:bookmarkStart w:id="98" w:name="_ENREF_36"/>
      <w:r>
        <w:t>Westcountry Rivers Trust 2015  Dart &amp; Teign Catchment Restoration Fund Report Callington, Cornwall, United Kingdom.</w:t>
      </w:r>
    </w:p>
    <w:p w:rsidR="00DE6391" w:rsidRDefault="00022B29">
      <w:pPr>
        <w:pStyle w:val="EndNoteBibliography"/>
        <w:ind w:left="1120" w:hanging="1120"/>
        <w:rPr>
          <w:sz w:val="22"/>
        </w:rPr>
      </w:pPr>
      <w:bookmarkStart w:id="99" w:name="_ENREF_37"/>
      <w:r>
        <w:lastRenderedPageBreak/>
        <w:t>Wuijts, S. (2020) Towards more effective water quality governance. Improving the alignment of social-economic, legal and ecolo</w:t>
      </w:r>
      <w:r>
        <w:t>gical perspectives to achieve water quality ambitions in practice, Thesis, Universiteit Utrecht.</w:t>
      </w:r>
    </w:p>
    <w:p w:rsidR="00DE6391" w:rsidRDefault="00022B29">
      <w:pPr>
        <w:pStyle w:val="EndNoteBibliography"/>
        <w:ind w:left="1120" w:hanging="1120"/>
        <w:rPr>
          <w:sz w:val="22"/>
        </w:rPr>
      </w:pPr>
      <w:bookmarkStart w:id="100" w:name="_ENREF_38"/>
      <w:r>
        <w:rPr>
          <w:lang w:val="nl-NL"/>
        </w:rPr>
        <w:t xml:space="preserve">Wuijts, S., Driessen, P. and Van Rijswick, H.  </w:t>
      </w:r>
      <w:r>
        <w:t>2018.  Towards More Effective Water Quality Governance: A Review of Social-Economic, Legal and Ecological Perspe</w:t>
      </w:r>
      <w:r>
        <w:t>ctives and Their Interactions. Sustainability 10(4), 914.</w:t>
      </w:r>
      <w:hyperlink r:id="rId44"/>
      <w:r>
        <w:fldChar w:fldCharType="end"/>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sectPr w:rsidR="00DE6391" w:rsidSect="00F37F3B">
      <w:headerReference w:type="default" r:id="rId45"/>
      <w:footerReference w:type="default" r:id="rId46"/>
      <w:pgSz w:w="11906" w:h="16838"/>
      <w:pgMar w:top="1418" w:right="1418" w:bottom="1418" w:left="1418" w:header="709" w:footer="0" w:gutter="0"/>
      <w:lnNumType w:countBy="1" w:restart="continuous"/>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B29" w:rsidRDefault="00022B29">
      <w:r>
        <w:separator/>
      </w:r>
    </w:p>
  </w:endnote>
  <w:endnote w:type="continuationSeparator" w:id="0">
    <w:p w:rsidR="00022B29" w:rsidRDefault="00022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1</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Sleutel factor Toxiciteit (versie 2)</w:t>
    </w:r>
    <w:r>
      <w:rPr>
        <w:noProof/>
        <w:lang w:eastAsia="nl-NL"/>
      </w:rPr>
      <w:drawing>
        <wp:inline distT="0" distB="0" distL="0" distR="0">
          <wp:extent cx="724535" cy="521335"/>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2</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w:t>
    </w:r>
    <w:r>
      <w:rPr>
        <w:b/>
        <w:i/>
        <w:color w:val="009FE3"/>
      </w:rPr>
      <w:t>leutel factor Toxiciteit (versie 2)</w:t>
    </w:r>
    <w:r>
      <w:rPr>
        <w:noProof/>
        <w:lang w:eastAsia="nl-NL"/>
      </w:rPr>
      <w:drawing>
        <wp:inline distT="0" distB="0" distL="0" distR="0">
          <wp:extent cx="724535" cy="521335"/>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3</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Sleutel factor Toxiciteit (versie 2)</w:t>
    </w:r>
    <w:r>
      <w:rPr>
        <w:noProof/>
        <w:lang w:eastAsia="nl-NL"/>
      </w:rPr>
      <w:drawing>
        <wp:inline distT="0" distB="0" distL="0" distR="0">
          <wp:extent cx="724535" cy="521335"/>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4</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Sleutel factor Toxiciteit (versie 2)</w:t>
    </w:r>
    <w:r>
      <w:rPr>
        <w:noProof/>
        <w:lang w:eastAsia="nl-NL"/>
      </w:rPr>
      <w:drawing>
        <wp:inline distT="0" distB="0" distL="0" distR="0">
          <wp:extent cx="724535" cy="521335"/>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7</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Sleutel factor Toxiciteit (versie 2)</w:t>
    </w:r>
    <w:r>
      <w:rPr>
        <w:noProof/>
        <w:lang w:eastAsia="nl-NL"/>
      </w:rPr>
      <w:drawing>
        <wp:inline distT="0" distB="0" distL="0" distR="0">
          <wp:extent cx="724535" cy="521335"/>
          <wp:effectExtent l="0" t="0" r="0" b="0"/>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8</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Sleutel factor Toxiciteit (versie 2)</w:t>
    </w:r>
    <w:r>
      <w:rPr>
        <w:noProof/>
        <w:lang w:eastAsia="nl-NL"/>
      </w:rPr>
      <w:drawing>
        <wp:inline distT="0" distB="0" distL="0" distR="0">
          <wp:extent cx="724535" cy="521335"/>
          <wp:effectExtent l="0" t="0" r="0" b="0"/>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9</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Sleutel factor Toxiciteit (versie 2)</w:t>
    </w:r>
    <w:r>
      <w:rPr>
        <w:noProof/>
        <w:lang w:eastAsia="nl-NL"/>
      </w:rPr>
      <w:drawing>
        <wp:inline distT="0" distB="0" distL="0" distR="0">
          <wp:extent cx="724535" cy="521335"/>
          <wp:effectExtent l="0" t="0" r="0" b="0"/>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DE6391">
    <w:pPr>
      <w:pStyle w:val="Footer"/>
    </w:pPr>
  </w:p>
  <w:p w:rsidR="00DE6391" w:rsidRDefault="00DE6391">
    <w:pPr>
      <w:pStyle w:val="Footer"/>
    </w:pPr>
  </w:p>
  <w:p w:rsidR="00DE6391" w:rsidRDefault="00022B29">
    <w:pPr>
      <w:pStyle w:val="Footer"/>
    </w:pPr>
    <w:r>
      <w:t xml:space="preserve">Pagina </w:t>
    </w:r>
    <w:r>
      <w:fldChar w:fldCharType="begin"/>
    </w:r>
    <w:r>
      <w:instrText>PAGE</w:instrText>
    </w:r>
    <w:r>
      <w:fldChar w:fldCharType="separate"/>
    </w:r>
    <w:r w:rsidR="00F37F3B">
      <w:rPr>
        <w:noProof/>
      </w:rPr>
      <w:t>16</w:t>
    </w:r>
    <w:r>
      <w:fldChar w:fldCharType="end"/>
    </w:r>
    <w:r>
      <w:t xml:space="preserve"> van </w:t>
    </w:r>
    <w:r>
      <w:fldChar w:fldCharType="begin"/>
    </w:r>
    <w:r>
      <w:instrText>NUMPAGES</w:instrText>
    </w:r>
    <w:r>
      <w:fldChar w:fldCharType="separate"/>
    </w:r>
    <w:r w:rsidR="00F37F3B">
      <w:rPr>
        <w:noProof/>
      </w:rPr>
      <w:t>46</w:t>
    </w:r>
    <w:r>
      <w:fldChar w:fldCharType="end"/>
    </w:r>
    <w:r>
      <w:tab/>
    </w:r>
    <w:r>
      <w:tab/>
    </w:r>
    <w:r>
      <w:rPr>
        <w:b/>
        <w:i/>
        <w:color w:val="009FE3"/>
      </w:rPr>
      <w:t>S</w:t>
    </w:r>
    <w:r>
      <w:rPr>
        <w:b/>
        <w:i/>
        <w:color w:val="009FE3"/>
      </w:rPr>
      <w:t>leutel factor Toxiciteit (versie 2)</w:t>
    </w:r>
    <w:r>
      <w:rPr>
        <w:noProof/>
        <w:lang w:eastAsia="nl-NL"/>
      </w:rPr>
      <w:drawing>
        <wp:inline distT="0" distB="0" distL="0" distR="0">
          <wp:extent cx="724535" cy="521335"/>
          <wp:effectExtent l="0" t="0" r="0" b="0"/>
          <wp:docPr id="38"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
                  <pic:cNvPicPr>
                    <a:picLocks noChangeAspect="1" noChangeArrowheads="1"/>
                  </pic:cNvPicPr>
                </pic:nvPicPr>
                <pic:blipFill>
                  <a:blip r:embed="rId1"/>
                  <a:stretch>
                    <a:fillRect/>
                  </a:stretch>
                </pic:blipFill>
                <pic:spPr bwMode="auto">
                  <a:xfrm>
                    <a:off x="0" y="0"/>
                    <a:ext cx="724535" cy="521335"/>
                  </a:xfrm>
                  <a:prstGeom prst="rect">
                    <a:avLst/>
                  </a:prstGeom>
                </pic:spPr>
              </pic:pic>
            </a:graphicData>
          </a:graphic>
        </wp:inline>
      </w:drawing>
    </w:r>
  </w:p>
  <w:p w:rsidR="00DE6391" w:rsidRDefault="00DE6391">
    <w:pPr>
      <w:pStyle w:val="Footer"/>
    </w:pPr>
  </w:p>
  <w:p w:rsidR="00DE6391" w:rsidRDefault="00DE6391">
    <w:pPr>
      <w:pStyle w:val="Footer"/>
    </w:pPr>
  </w:p>
  <w:p w:rsidR="00DE6391" w:rsidRDefault="00DE6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B29" w:rsidRDefault="00022B29">
      <w:pPr>
        <w:rPr>
          <w:sz w:val="12"/>
        </w:rPr>
      </w:pPr>
      <w:r>
        <w:separator/>
      </w:r>
    </w:p>
  </w:footnote>
  <w:footnote w:type="continuationSeparator" w:id="0">
    <w:p w:rsidR="00022B29" w:rsidRDefault="00022B29">
      <w:pPr>
        <w:rPr>
          <w:sz w:val="12"/>
        </w:rPr>
      </w:pPr>
      <w:r>
        <w:continuationSeparator/>
      </w:r>
    </w:p>
  </w:footnote>
  <w:footnote w:id="1">
    <w:p w:rsidR="00DE6391" w:rsidRDefault="00022B29">
      <w:pPr>
        <w:pStyle w:val="FootnoteText"/>
      </w:pPr>
      <w:r>
        <w:rPr>
          <w:rStyle w:val="Voetnoottekens"/>
        </w:rPr>
        <w:footnoteRef/>
      </w:r>
      <w:r>
        <w:t xml:space="preserve"> De product-code is afkomstig uit de offerte-2020. Versie A is goedgekeurd door het projectteam. Versie B wordt gemaakt na suggesties vanuit de gebruikersgroep en de mee-lees gro</w:t>
      </w:r>
      <w:r>
        <w:t>ep van eindgebruikers (zomer 2021). Versie C is de eindversie (december 2021).</w:t>
      </w:r>
    </w:p>
  </w:footnote>
  <w:footnote w:id="2">
    <w:p w:rsidR="00DE6391" w:rsidRDefault="00022B29">
      <w:pPr>
        <w:pStyle w:val="FootnoteText"/>
      </w:pPr>
      <w:r>
        <w:rPr>
          <w:rStyle w:val="Voetnoottekens"/>
        </w:rPr>
        <w:footnoteRef/>
      </w:r>
      <w:r>
        <w:t xml:space="preserve"> Het project Toxiciteit van de Kennis Impuls WaterKwaliteit loopt tot einde 2021. Dit document wordt gebruikt bij praktijkevaluaties, en kan daarom geactualiseerd worden. Sugge</w:t>
      </w:r>
      <w:r>
        <w:t xml:space="preserve">sties voor verbetering kunnen gezonden worden aan </w:t>
      </w:r>
      <w:hyperlink r:id="rId1">
        <w:r>
          <w:rPr>
            <w:rStyle w:val="Internetkoppeling"/>
            <w:rFonts w:ascii="Times New Roman" w:hAnsi="Times New Roman" w:cs="Times New Roman"/>
          </w:rPr>
          <w:t>Harald.dik@rivm.nl</w:t>
        </w:r>
      </w:hyperlink>
      <w:r>
        <w:t xml:space="preserve">. </w:t>
      </w:r>
    </w:p>
  </w:footnote>
  <w:footnote w:id="3">
    <w:p w:rsidR="00DE6391" w:rsidRDefault="00022B29">
      <w:pPr>
        <w:pStyle w:val="FootnoteText"/>
      </w:pPr>
      <w:r>
        <w:rPr>
          <w:rStyle w:val="Voetnoottekens"/>
        </w:rPr>
        <w:footnoteRef/>
      </w:r>
      <w:r>
        <w:t xml:space="preserve"> </w:t>
      </w:r>
      <w:hyperlink r:id="rId2">
        <w:r>
          <w:rPr>
            <w:rStyle w:val="Internetkoppeling"/>
          </w:rPr>
          <w:t>https://www.helpdeskwater.nl/onderwerpen/wetgeving-beleid/kaderrichtlijn-water/uitvoering/rijn-west/we/krw/dpsir/</w:t>
        </w:r>
      </w:hyperlink>
      <w:r>
        <w:t xml:space="preserve"> </w:t>
      </w:r>
    </w:p>
  </w:footnote>
  <w:footnote w:id="4">
    <w:p w:rsidR="00DE6391" w:rsidRDefault="00022B29">
      <w:pPr>
        <w:pStyle w:val="CommentText"/>
      </w:pPr>
      <w:r>
        <w:rPr>
          <w:rStyle w:val="Voetnoottekens"/>
        </w:rPr>
        <w:footnoteRef/>
      </w:r>
      <w:hyperlink r:id="rId3" w:anchor="page=89&amp;zoom=100" w:history="1">
        <w:r>
          <w:rPr>
            <w:rStyle w:val="Internetkoppeling"/>
          </w:rPr>
          <w:t>https://eur-lex.e</w:t>
        </w:r>
        <w:r>
          <w:rPr>
            <w:rStyle w:val="Internetkoppeling"/>
          </w:rPr>
          <w:t>uropa.eu/legal-content/NL/TXT/PDF/?uri=CELEX%3A02000L0060-20141120&amp;rid=1#page=89&amp;zoom=100</w:t>
        </w:r>
      </w:hyperlink>
      <w:r>
        <w:t xml:space="preserve"> </w:t>
      </w:r>
    </w:p>
  </w:footnote>
  <w:footnote w:id="5">
    <w:p w:rsidR="00DE6391" w:rsidRDefault="00022B29">
      <w:pPr>
        <w:pStyle w:val="CommentText"/>
      </w:pPr>
      <w:r>
        <w:rPr>
          <w:rStyle w:val="Voetnoottekens"/>
        </w:rPr>
        <w:footnoteRef/>
      </w:r>
      <w:r>
        <w:t xml:space="preserve"> </w:t>
      </w:r>
      <w:hyperlink r:id="rId4" w:anchor="Bijlage" w:history="1">
        <w:r>
          <w:rPr>
            <w:rStyle w:val="Internetkoppeling"/>
          </w:rPr>
          <w:t>https://wetten.overheid.nl/BWBR0027502/2015-11-19#Bijlage</w:t>
        </w:r>
      </w:hyperlink>
    </w:p>
  </w:footnote>
  <w:footnote w:id="6">
    <w:p w:rsidR="00DE6391" w:rsidRDefault="00022B29">
      <w:pPr>
        <w:pStyle w:val="FootnoteText"/>
      </w:pPr>
      <w:r>
        <w:rPr>
          <w:rStyle w:val="Voetnoottekens"/>
        </w:rPr>
        <w:footnoteRef/>
      </w:r>
      <w:r>
        <w:t xml:space="preserve"> In de literatuur over d</w:t>
      </w:r>
      <w:r>
        <w:t>e KRW worden allerlei voor- en nadelen van het “</w:t>
      </w:r>
      <w:r>
        <w:rPr>
          <w:i/>
          <w:iCs/>
        </w:rPr>
        <w:t>one out , all out</w:t>
      </w:r>
      <w:r>
        <w:t>”-principe besproken. Op dit moment wordt het toegepast bij de classificatie conform de KRW, en wordt het daardoor ook bij de sleutelfactor Toxiciteit gebruikt.</w:t>
      </w:r>
    </w:p>
  </w:footnote>
  <w:footnote w:id="7">
    <w:p w:rsidR="00DE6391" w:rsidRDefault="00022B29">
      <w:pPr>
        <w:pStyle w:val="FootnoteText"/>
      </w:pPr>
      <w:r>
        <w:rPr>
          <w:rStyle w:val="Voetnoottekens"/>
        </w:rPr>
        <w:footnoteRef/>
      </w:r>
      <w:r>
        <w:t xml:space="preserve"> Opkomende stoffen zijn nieuw</w:t>
      </w:r>
      <w:r>
        <w:t>e relatief nog onbekende stoffen die nog niet genormeerd zijn en stoffen waarvoor nieuwe informatie uitwijst dat er toch reden tot zorg is (Osté et al., 2017).</w:t>
      </w:r>
    </w:p>
  </w:footnote>
  <w:footnote w:id="8">
    <w:p w:rsidR="00DE6391" w:rsidRDefault="00022B29">
      <w:pPr>
        <w:pStyle w:val="FootnoteText"/>
      </w:pPr>
      <w:r>
        <w:rPr>
          <w:rStyle w:val="Voetnoottekens"/>
        </w:rPr>
        <w:footnoteRef/>
      </w:r>
      <w:r>
        <w:t xml:space="preserve"> </w:t>
      </w:r>
      <w:r>
        <w:rPr>
          <w:rFonts w:ascii="Times New Roman" w:hAnsi="Times New Roman" w:cs="Times New Roman"/>
          <w:sz w:val="16"/>
        </w:rPr>
        <w:t xml:space="preserve">KRW-Artikel 2 lid 31 definieert wat een </w:t>
      </w:r>
      <w:r>
        <w:rPr>
          <w:rFonts w:ascii="Times New Roman" w:hAnsi="Times New Roman" w:cs="Times New Roman"/>
          <w:i/>
          <w:sz w:val="16"/>
        </w:rPr>
        <w:t>verontreinigende stof</w:t>
      </w:r>
      <w:r>
        <w:rPr>
          <w:rFonts w:ascii="Times New Roman" w:hAnsi="Times New Roman" w:cs="Times New Roman"/>
          <w:sz w:val="16"/>
        </w:rPr>
        <w:t xml:space="preserve"> is (“verontreinigende stof”: ied</w:t>
      </w:r>
      <w:r>
        <w:rPr>
          <w:rFonts w:ascii="Times New Roman" w:hAnsi="Times New Roman" w:cs="Times New Roman"/>
          <w:sz w:val="16"/>
        </w:rPr>
        <w:t xml:space="preserve">ere stof die tot verontreiniging kan leiden, met name de in bijlage VIII genoemde stoffen”), en artikel 2 lid 33 definieert </w:t>
      </w:r>
      <w:r>
        <w:rPr>
          <w:rFonts w:ascii="Times New Roman" w:hAnsi="Times New Roman" w:cs="Times New Roman"/>
          <w:i/>
          <w:sz w:val="16"/>
        </w:rPr>
        <w:t>verontreiniging</w:t>
      </w:r>
      <w:r>
        <w:rPr>
          <w:rFonts w:ascii="Times New Roman" w:hAnsi="Times New Roman" w:cs="Times New Roman"/>
          <w:sz w:val="16"/>
        </w:rPr>
        <w:t>: “verontreiniging: de directe of indirecte inbreng door menselijke activiteiten van stoffen of warmte in lucht, wate</w:t>
      </w:r>
      <w:r>
        <w:rPr>
          <w:rFonts w:ascii="Times New Roman" w:hAnsi="Times New Roman" w:cs="Times New Roman"/>
          <w:sz w:val="16"/>
        </w:rPr>
        <w:t>r of bodem die de gezondheid van de mens of de kwaliteit van aquatische ecosystemen of van rechtstreeks van aquatische ecosystemen afhankelijke terrestrische ecosystemen kunnen aantasten, schade berokkenen aan materiële goederen, dan wel de belevingswaarde</w:t>
      </w:r>
      <w:r>
        <w:rPr>
          <w:rFonts w:ascii="Times New Roman" w:hAnsi="Times New Roman" w:cs="Times New Roman"/>
          <w:sz w:val="16"/>
        </w:rPr>
        <w:t xml:space="preserve"> van het milieu of ander rechtmatig milieugebruik aantasten of daaraan in de weg staan”.</w:t>
      </w:r>
    </w:p>
  </w:footnote>
  <w:footnote w:id="9">
    <w:p w:rsidR="00DE6391" w:rsidRDefault="00022B29">
      <w:pPr>
        <w:pStyle w:val="FootnoteText"/>
      </w:pPr>
      <w:r>
        <w:rPr>
          <w:rStyle w:val="Voetnoottekens"/>
        </w:rPr>
        <w:footnoteRef/>
      </w:r>
      <w:r>
        <w:t xml:space="preserve"> Een ‘specifieke stof’ is in de KRW gedefinieerd als elke stof die een bedreiging vormt, en waarvoor (dus) maatregelen gevraagd worden. Er zijn specifieke stoffen op </w:t>
      </w:r>
      <w:r>
        <w:t>verschillende beheers-niveaus, zoals prioritaire stoffen (EU-breed vóórkomen), stroomgebied-specifieke stoffen (typerend voor bv.het Rijn-stroomgebied), en elk daaronder liggende hydrologische schaal.</w:t>
      </w:r>
    </w:p>
  </w:footnote>
  <w:footnote w:id="10">
    <w:p w:rsidR="00DE6391" w:rsidRDefault="00022B29">
      <w:pPr>
        <w:pStyle w:val="FootnoteText"/>
      </w:pPr>
      <w:r>
        <w:rPr>
          <w:rStyle w:val="Voetnoottekens"/>
        </w:rPr>
        <w:footnoteRef/>
      </w:r>
      <w:r>
        <w:t xml:space="preserve"> Dit lijkt een zeer conservatieve schatting van de kos</w:t>
      </w:r>
      <w:r>
        <w:t>ten van de monitoring van de Nederlandse watersystemen.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mc:AlternateContent>
        <mc:Choice Requires="wps">
          <w:drawing>
            <wp:anchor distT="0" distB="0" distL="0" distR="0" simplePos="0" relativeHeight="251658752" behindDoc="1" locked="0" layoutInCell="1" allowOverlap="1">
              <wp:simplePos x="0" y="0"/>
              <wp:positionH relativeFrom="column">
                <wp:posOffset>-427355</wp:posOffset>
              </wp:positionH>
              <wp:positionV relativeFrom="paragraph">
                <wp:posOffset>649605</wp:posOffset>
              </wp:positionV>
              <wp:extent cx="6852285" cy="21590"/>
              <wp:effectExtent l="0" t="0" r="0" b="0"/>
              <wp:wrapNone/>
              <wp:docPr id="2" name="Image1"/>
              <wp:cNvGraphicFramePr/>
              <a:graphic xmlns:a="http://schemas.openxmlformats.org/drawingml/2006/main">
                <a:graphicData uri="http://schemas.microsoft.com/office/word/2010/wordprocessingShape">
                  <wps:wsp>
                    <wps:cNvSpPr/>
                    <wps:spPr>
                      <a:xfrm flipV="1">
                        <a:off x="0" y="0"/>
                        <a:ext cx="6851520" cy="2088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DFB7BF5" id="Image1" o:spid="_x0000_s1026" style="position:absolute;margin-left:-33.65pt;margin-top:51.15pt;width:539.55pt;height:1.7pt;flip:y;z-index:-25165772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" path="m,l21600,21600e" filled="f" strokecolor="#2c2276" strokeweight=".44mm">
              <v:path arrowok="t"/>
            </v:shape>
          </w:pict>
        </mc:Fallback>
      </mc:AlternateContent>
    </w:r>
    <w:r>
      <w:rPr>
        <w:noProof/>
        <w:lang w:eastAsia="nl-NL"/>
      </w:rPr>
      <w:drawing>
        <wp:inline distT="0" distB="0" distL="0" distR="0">
          <wp:extent cx="2413635" cy="775335"/>
          <wp:effectExtent l="0" t="0" r="0" b="0"/>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mc:AlternateContent>
        <mc:Choice Requires="wps">
          <w:drawing>
            <wp:anchor distT="0" distB="0" distL="0" distR="0" simplePos="0" relativeHeight="251653632" behindDoc="1" locked="0" layoutInCell="1" allowOverlap="1">
              <wp:simplePos x="0" y="0"/>
              <wp:positionH relativeFrom="column">
                <wp:posOffset>-427355</wp:posOffset>
              </wp:positionH>
              <wp:positionV relativeFrom="paragraph">
                <wp:posOffset>649605</wp:posOffset>
              </wp:positionV>
              <wp:extent cx="6852285" cy="21590"/>
              <wp:effectExtent l="0" t="0" r="0" b="0"/>
              <wp:wrapNone/>
              <wp:docPr id="5" name="Image4"/>
              <wp:cNvGraphicFramePr/>
              <a:graphic xmlns:a="http://schemas.openxmlformats.org/drawingml/2006/main">
                <a:graphicData uri="http://schemas.microsoft.com/office/word/2010/wordprocessingShape">
                  <wps:wsp>
                    <wps:cNvSpPr/>
                    <wps:spPr>
                      <a:xfrm flipV="1">
                        <a:off x="0" y="0"/>
                        <a:ext cx="6851520" cy="2088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054F812" id="Image4" o:spid="_x0000_s1026" style="position:absolute;margin-left:-33.65pt;margin-top:51.15pt;width:539.55pt;height:1.7pt;flip:y;z-index:-25166284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" path="m,l21600,21600e" filled="f" strokecolor="#2c2276" strokeweight=".44mm">
              <v:path arrowok="t"/>
            </v:shape>
          </w:pict>
        </mc:Fallback>
      </mc:AlternateContent>
    </w:r>
    <w:r>
      <w:rPr>
        <w:noProof/>
        <w:lang w:eastAsia="nl-NL"/>
      </w:rPr>
      <w:drawing>
        <wp:inline distT="0" distB="0" distL="0" distR="0">
          <wp:extent cx="2413635" cy="775335"/>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mc:AlternateContent>
        <mc:Choice Requires="wps">
          <w:drawing>
            <wp:anchor distT="0" distB="0" distL="0" distR="0" simplePos="0" relativeHeight="251660800" behindDoc="1" locked="0" layoutInCell="1" allowOverlap="1">
              <wp:simplePos x="0" y="0"/>
              <wp:positionH relativeFrom="column">
                <wp:posOffset>-427355</wp:posOffset>
              </wp:positionH>
              <wp:positionV relativeFrom="paragraph">
                <wp:posOffset>649605</wp:posOffset>
              </wp:positionV>
              <wp:extent cx="6852285" cy="21590"/>
              <wp:effectExtent l="0" t="0" r="0" b="0"/>
              <wp:wrapNone/>
              <wp:docPr id="9" name="Image8"/>
              <wp:cNvGraphicFramePr/>
              <a:graphic xmlns:a="http://schemas.openxmlformats.org/drawingml/2006/main">
                <a:graphicData uri="http://schemas.microsoft.com/office/word/2010/wordprocessingShape">
                  <wps:wsp>
                    <wps:cNvSpPr/>
                    <wps:spPr>
                      <a:xfrm flipV="1">
                        <a:off x="0" y="0"/>
                        <a:ext cx="6851520" cy="2088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56AA342" id="Image8" o:spid="_x0000_s1026" style="position:absolute;margin-left:-33.65pt;margin-top:51.15pt;width:539.55pt;height:1.7pt;flip:y;z-index:-25165568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" path="m,l21600,21600e" filled="f" strokecolor="#2c2276" strokeweight=".44mm">
              <v:path arrowok="t"/>
            </v:shape>
          </w:pict>
        </mc:Fallback>
      </mc:AlternateContent>
    </w:r>
    <w:r>
      <w:rPr>
        <w:noProof/>
        <w:lang w:eastAsia="nl-NL"/>
      </w:rPr>
      <w:drawing>
        <wp:inline distT="0" distB="0" distL="0" distR="0">
          <wp:extent cx="2413635" cy="775335"/>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mc:AlternateContent>
        <mc:Choice Requires="wps">
          <w:drawing>
            <wp:anchor distT="0" distB="0" distL="0" distR="0" simplePos="0" relativeHeight="251662848" behindDoc="1" locked="0" layoutInCell="1" allowOverlap="1">
              <wp:simplePos x="0" y="0"/>
              <wp:positionH relativeFrom="column">
                <wp:posOffset>-427355</wp:posOffset>
              </wp:positionH>
              <wp:positionV relativeFrom="paragraph">
                <wp:posOffset>649605</wp:posOffset>
              </wp:positionV>
              <wp:extent cx="6852285" cy="21590"/>
              <wp:effectExtent l="0" t="0" r="0" b="0"/>
              <wp:wrapNone/>
              <wp:docPr id="12" name="Image11"/>
              <wp:cNvGraphicFramePr/>
              <a:graphic xmlns:a="http://schemas.openxmlformats.org/drawingml/2006/main">
                <a:graphicData uri="http://schemas.microsoft.com/office/word/2010/wordprocessingShape">
                  <wps:wsp>
                    <wps:cNvSpPr/>
                    <wps:spPr>
                      <a:xfrm flipV="1">
                        <a:off x="0" y="0"/>
                        <a:ext cx="6851520" cy="2088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9C81B45" id="Image11" o:spid="_x0000_s1026" style="position:absolute;margin-left:-33.65pt;margin-top:51.15pt;width:539.55pt;height:1.7pt;flip:y;z-index:-25165363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" path="m,l21600,21600e" filled="f" strokecolor="#2c2276" strokeweight=".44mm">
              <v:path arrowok="t"/>
            </v:shape>
          </w:pict>
        </mc:Fallback>
      </mc:AlternateContent>
    </w:r>
    <w:r>
      <w:rPr>
        <w:noProof/>
        <w:lang w:eastAsia="nl-NL"/>
      </w:rPr>
      <w:drawing>
        <wp:inline distT="0" distB="0" distL="0" distR="0">
          <wp:extent cx="2413635" cy="77533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mc:AlternateContent>
        <mc:Choice Requires="wps">
          <w:drawing>
            <wp:anchor distT="0" distB="0" distL="0" distR="0" simplePos="0" relativeHeight="251664896" behindDoc="1" locked="0" layoutInCell="1" allowOverlap="1">
              <wp:simplePos x="0" y="0"/>
              <wp:positionH relativeFrom="column">
                <wp:posOffset>-427355</wp:posOffset>
              </wp:positionH>
              <wp:positionV relativeFrom="paragraph">
                <wp:posOffset>649605</wp:posOffset>
              </wp:positionV>
              <wp:extent cx="6852285" cy="21590"/>
              <wp:effectExtent l="0" t="0" r="0" b="0"/>
              <wp:wrapNone/>
              <wp:docPr id="16" name="Image15"/>
              <wp:cNvGraphicFramePr/>
              <a:graphic xmlns:a="http://schemas.openxmlformats.org/drawingml/2006/main">
                <a:graphicData uri="http://schemas.microsoft.com/office/word/2010/wordprocessingShape">
                  <wps:wsp>
                    <wps:cNvSpPr/>
                    <wps:spPr>
                      <a:xfrm flipV="1">
                        <a:off x="0" y="0"/>
                        <a:ext cx="6851520" cy="2088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4D1E574" id="Image15" o:spid="_x0000_s1026" style="position:absolute;margin-left:-33.65pt;margin-top:51.15pt;width:539.55pt;height:1.7pt;flip:y;z-index:-25165158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" path="m,l21600,21600e" filled="f" strokecolor="#2c2276" strokeweight=".44mm">
              <v:path arrowok="t"/>
            </v:shape>
          </w:pict>
        </mc:Fallback>
      </mc:AlternateContent>
    </w:r>
    <w:r>
      <w:rPr>
        <w:noProof/>
        <w:lang w:eastAsia="nl-NL"/>
      </w:rPr>
      <w:drawing>
        <wp:inline distT="0" distB="0" distL="0" distR="0">
          <wp:extent cx="2413635" cy="775335"/>
          <wp:effectExtent l="0" t="0" r="0" b="0"/>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w:drawing>
        <wp:inline distT="0" distB="0" distL="0" distR="0">
          <wp:extent cx="2413635" cy="775335"/>
          <wp:effectExtent l="0" t="0" r="0" b="0"/>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w:drawing>
        <wp:inline distT="0" distB="0" distL="0" distR="0">
          <wp:extent cx="2413635" cy="775335"/>
          <wp:effectExtent l="0" t="0" r="0" b="0"/>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391" w:rsidRDefault="00022B29">
    <w:pPr>
      <w:pStyle w:val="Header"/>
    </w:pPr>
    <w:r>
      <w:rPr>
        <w:noProof/>
        <w:lang w:eastAsia="nl-NL"/>
      </w:rPr>
      <w:drawing>
        <wp:inline distT="0" distB="0" distL="0" distR="0">
          <wp:extent cx="2413635" cy="775335"/>
          <wp:effectExtent l="0" t="0" r="0" b="0"/>
          <wp:docPr id="3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pic:cNvPicPr>
                    <a:picLocks noChangeAspect="1" noChangeArrowheads="1"/>
                  </pic:cNvPicPr>
                </pic:nvPicPr>
                <pic:blipFill>
                  <a:blip r:embed="rId1"/>
                  <a:stretch>
                    <a:fillRect/>
                  </a:stretch>
                </pic:blipFill>
                <pic:spPr bwMode="auto">
                  <a:xfrm>
                    <a:off x="0" y="0"/>
                    <a:ext cx="2413635" cy="7753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06161"/>
    <w:multiLevelType w:val="multilevel"/>
    <w:tmpl w:val="33247622"/>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15:restartNumberingAfterBreak="0">
    <w:nsid w:val="39EC4FEC"/>
    <w:multiLevelType w:val="multilevel"/>
    <w:tmpl w:val="95A423B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CFA0474"/>
    <w:multiLevelType w:val="multilevel"/>
    <w:tmpl w:val="E9503B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8D3042C"/>
    <w:multiLevelType w:val="multilevel"/>
    <w:tmpl w:val="8A905B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9627B66"/>
    <w:multiLevelType w:val="multilevel"/>
    <w:tmpl w:val="9A0C2AF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5CC548C6"/>
    <w:multiLevelType w:val="multilevel"/>
    <w:tmpl w:val="2B3C2330"/>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391"/>
    <w:rsid w:val="00022B29"/>
    <w:rsid w:val="00DE6391"/>
    <w:rsid w:val="00F37F3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076D7-8E19-4002-AB30-2AB394EE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32B"/>
    <w:pPr>
      <w:jc w:val="both"/>
    </w:pPr>
    <w:rPr>
      <w:sz w:val="22"/>
      <w:szCs w:val="22"/>
      <w:lang w:eastAsia="en-US"/>
    </w:rPr>
  </w:style>
  <w:style w:type="paragraph" w:styleId="Heading1">
    <w:name w:val="heading 1"/>
    <w:basedOn w:val="Normal"/>
    <w:next w:val="Normal"/>
    <w:link w:val="Heading1Char"/>
    <w:uiPriority w:val="9"/>
    <w:qFormat/>
    <w:rsid w:val="00A321EE"/>
    <w:pPr>
      <w:keepNext/>
      <w:pageBreakBefore/>
      <w:numPr>
        <w:numId w:val="1"/>
      </w:numPr>
      <w:spacing w:before="240" w:after="60"/>
      <w:outlineLvl w:val="0"/>
    </w:pPr>
    <w:rPr>
      <w:rFonts w:cs="Arial"/>
      <w:b/>
      <w:bCs/>
      <w:color w:val="2C2276"/>
      <w:kern w:val="2"/>
      <w:sz w:val="32"/>
      <w:szCs w:val="32"/>
    </w:rPr>
  </w:style>
  <w:style w:type="paragraph" w:styleId="Heading2">
    <w:name w:val="heading 2"/>
    <w:basedOn w:val="Normal"/>
    <w:next w:val="Normal"/>
    <w:qFormat/>
    <w:rsid w:val="00A321EE"/>
    <w:pPr>
      <w:keepNext/>
      <w:numPr>
        <w:ilvl w:val="1"/>
        <w:numId w:val="1"/>
      </w:numPr>
      <w:spacing w:before="240" w:after="60"/>
      <w:outlineLvl w:val="1"/>
    </w:pPr>
    <w:rPr>
      <w:rFonts w:cs="Arial"/>
      <w:b/>
      <w:bCs/>
      <w:i/>
      <w:iCs/>
      <w:color w:val="009FE3"/>
      <w:sz w:val="28"/>
      <w:szCs w:val="28"/>
    </w:rPr>
  </w:style>
  <w:style w:type="paragraph" w:styleId="Heading3">
    <w:name w:val="heading 3"/>
    <w:basedOn w:val="Normal"/>
    <w:next w:val="Normal"/>
    <w:qFormat/>
    <w:rsid w:val="0042419A"/>
    <w:pPr>
      <w:keepNext/>
      <w:numPr>
        <w:ilvl w:val="2"/>
        <w:numId w:val="1"/>
      </w:numPr>
      <w:spacing w:before="240" w:after="60"/>
      <w:outlineLvl w:val="2"/>
    </w:pPr>
    <w:rPr>
      <w:rFonts w:cs="Arial"/>
      <w:bCs/>
      <w:i/>
      <w:color w:val="009FE3"/>
      <w:sz w:val="26"/>
      <w:szCs w:val="26"/>
    </w:rPr>
  </w:style>
  <w:style w:type="paragraph" w:styleId="Heading4">
    <w:name w:val="heading 4"/>
    <w:basedOn w:val="Normal"/>
    <w:next w:val="Normal"/>
    <w:qFormat/>
    <w:rsid w:val="00005B94"/>
    <w:pPr>
      <w:keepNext/>
      <w:numPr>
        <w:ilvl w:val="3"/>
        <w:numId w:val="1"/>
      </w:numPr>
      <w:spacing w:before="240" w:after="60"/>
      <w:outlineLvl w:val="3"/>
    </w:pPr>
    <w:rPr>
      <w:b/>
      <w:bCs/>
      <w:sz w:val="28"/>
      <w:szCs w:val="28"/>
    </w:rPr>
  </w:style>
  <w:style w:type="paragraph" w:styleId="Heading5">
    <w:name w:val="heading 5"/>
    <w:basedOn w:val="Normal"/>
    <w:next w:val="Normal"/>
    <w:qFormat/>
    <w:rsid w:val="00005B94"/>
    <w:pPr>
      <w:numPr>
        <w:ilvl w:val="4"/>
        <w:numId w:val="1"/>
      </w:numPr>
      <w:spacing w:before="240" w:after="60"/>
      <w:outlineLvl w:val="4"/>
    </w:pPr>
    <w:rPr>
      <w:b/>
      <w:bCs/>
      <w:i/>
      <w:iCs/>
      <w:sz w:val="26"/>
      <w:szCs w:val="26"/>
    </w:rPr>
  </w:style>
  <w:style w:type="paragraph" w:styleId="Heading6">
    <w:name w:val="heading 6"/>
    <w:basedOn w:val="Normal"/>
    <w:next w:val="Normal"/>
    <w:qFormat/>
    <w:rsid w:val="00005B94"/>
    <w:pPr>
      <w:numPr>
        <w:ilvl w:val="5"/>
        <w:numId w:val="1"/>
      </w:numPr>
      <w:spacing w:before="240" w:after="60"/>
      <w:outlineLvl w:val="5"/>
    </w:pPr>
    <w:rPr>
      <w:b/>
      <w:bCs/>
    </w:rPr>
  </w:style>
  <w:style w:type="paragraph" w:styleId="Heading7">
    <w:name w:val="heading 7"/>
    <w:basedOn w:val="Normal"/>
    <w:next w:val="Normal"/>
    <w:qFormat/>
    <w:rsid w:val="00005B94"/>
    <w:pPr>
      <w:numPr>
        <w:ilvl w:val="6"/>
        <w:numId w:val="1"/>
      </w:numPr>
      <w:spacing w:before="240" w:after="60"/>
      <w:outlineLvl w:val="6"/>
    </w:pPr>
    <w:rPr>
      <w:sz w:val="24"/>
      <w:szCs w:val="24"/>
    </w:rPr>
  </w:style>
  <w:style w:type="paragraph" w:styleId="Heading8">
    <w:name w:val="heading 8"/>
    <w:basedOn w:val="Normal"/>
    <w:next w:val="Normal"/>
    <w:qFormat/>
    <w:rsid w:val="00005B94"/>
    <w:pPr>
      <w:numPr>
        <w:ilvl w:val="7"/>
        <w:numId w:val="1"/>
      </w:numPr>
      <w:spacing w:before="240" w:after="60"/>
      <w:outlineLvl w:val="7"/>
    </w:pPr>
    <w:rPr>
      <w:i/>
      <w:iCs/>
      <w:sz w:val="24"/>
      <w:szCs w:val="24"/>
    </w:rPr>
  </w:style>
  <w:style w:type="paragraph" w:styleId="Heading9">
    <w:name w:val="heading 9"/>
    <w:basedOn w:val="Normal"/>
    <w:next w:val="Normal"/>
    <w:qFormat/>
    <w:rsid w:val="00005B9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A321EE"/>
    <w:rPr>
      <w:rFonts w:cs="Arial"/>
      <w:b/>
      <w:bCs/>
      <w:color w:val="2C2276"/>
      <w:kern w:val="2"/>
      <w:sz w:val="32"/>
      <w:szCs w:val="32"/>
      <w:lang w:eastAsia="en-US"/>
    </w:rPr>
  </w:style>
  <w:style w:type="character" w:customStyle="1" w:styleId="Internetkoppeling">
    <w:name w:val="Internetkoppeling"/>
    <w:uiPriority w:val="99"/>
    <w:unhideWhenUsed/>
    <w:rsid w:val="004E285F"/>
    <w:rPr>
      <w:color w:val="0563C1"/>
      <w:u w:val="single"/>
    </w:rPr>
  </w:style>
  <w:style w:type="character" w:styleId="CommentReference">
    <w:name w:val="annotation reference"/>
    <w:uiPriority w:val="99"/>
    <w:semiHidden/>
    <w:unhideWhenUsed/>
    <w:qFormat/>
    <w:rsid w:val="000B5DD0"/>
    <w:rPr>
      <w:sz w:val="16"/>
      <w:szCs w:val="16"/>
    </w:rPr>
  </w:style>
  <w:style w:type="character" w:customStyle="1" w:styleId="CommentTextChar">
    <w:name w:val="Comment Text Char"/>
    <w:basedOn w:val="DefaultParagraphFont"/>
    <w:link w:val="CommentText"/>
    <w:uiPriority w:val="99"/>
    <w:qFormat/>
    <w:rsid w:val="000B5DD0"/>
  </w:style>
  <w:style w:type="character" w:customStyle="1" w:styleId="CommentSubjectChar">
    <w:name w:val="Comment Subject Char"/>
    <w:link w:val="CommentSubject"/>
    <w:uiPriority w:val="99"/>
    <w:semiHidden/>
    <w:qFormat/>
    <w:rsid w:val="000B5DD0"/>
    <w:rPr>
      <w:b/>
      <w:bCs/>
    </w:rPr>
  </w:style>
  <w:style w:type="character" w:customStyle="1" w:styleId="BalloonTextChar">
    <w:name w:val="Balloon Text Char"/>
    <w:link w:val="BalloonText"/>
    <w:uiPriority w:val="99"/>
    <w:semiHidden/>
    <w:qFormat/>
    <w:rsid w:val="000B5DD0"/>
    <w:rPr>
      <w:rFonts w:ascii="Tahoma" w:hAnsi="Tahoma" w:cs="Tahoma"/>
      <w:sz w:val="16"/>
      <w:szCs w:val="16"/>
    </w:rPr>
  </w:style>
  <w:style w:type="character" w:customStyle="1" w:styleId="EndNoteBibliographyTitleChar">
    <w:name w:val="EndNote Bibliography Title Char"/>
    <w:link w:val="EndNoteBibliographyTitle"/>
    <w:qFormat/>
    <w:rsid w:val="008A23D2"/>
    <w:rPr>
      <w:szCs w:val="22"/>
      <w:lang w:eastAsia="en-US"/>
    </w:rPr>
  </w:style>
  <w:style w:type="character" w:customStyle="1" w:styleId="EndNoteBibliographyChar">
    <w:name w:val="EndNote Bibliography Char"/>
    <w:link w:val="EndNoteBibliography"/>
    <w:qFormat/>
    <w:rsid w:val="001E3A54"/>
    <w:rPr>
      <w:szCs w:val="22"/>
      <w:lang w:val="en-US" w:eastAsia="en-US"/>
    </w:rPr>
  </w:style>
  <w:style w:type="character" w:customStyle="1" w:styleId="TitleChar">
    <w:name w:val="Title Char"/>
    <w:link w:val="Title"/>
    <w:uiPriority w:val="10"/>
    <w:qFormat/>
    <w:rsid w:val="00CC659A"/>
    <w:rPr>
      <w:rFonts w:ascii="Cambria" w:hAnsi="Cambria"/>
      <w:b/>
      <w:bCs/>
      <w:color w:val="2C2276"/>
      <w:kern w:val="2"/>
      <w:sz w:val="28"/>
      <w:szCs w:val="28"/>
      <w:lang w:eastAsia="en-US"/>
    </w:rPr>
  </w:style>
  <w:style w:type="character" w:customStyle="1" w:styleId="HeaderChar">
    <w:name w:val="Header Char"/>
    <w:link w:val="Header"/>
    <w:uiPriority w:val="99"/>
    <w:qFormat/>
    <w:rsid w:val="003C6B21"/>
    <w:rPr>
      <w:sz w:val="22"/>
      <w:szCs w:val="22"/>
      <w:lang w:val="en-US" w:eastAsia="en-US"/>
    </w:rPr>
  </w:style>
  <w:style w:type="character" w:customStyle="1" w:styleId="FooterChar">
    <w:name w:val="Footer Char"/>
    <w:link w:val="Footer"/>
    <w:uiPriority w:val="99"/>
    <w:qFormat/>
    <w:rsid w:val="003C6B21"/>
    <w:rPr>
      <w:sz w:val="22"/>
      <w:szCs w:val="22"/>
      <w:lang w:val="en-US" w:eastAsia="en-US"/>
    </w:rPr>
  </w:style>
  <w:style w:type="character" w:customStyle="1" w:styleId="UnresolvedMention">
    <w:name w:val="Unresolved Mention"/>
    <w:uiPriority w:val="99"/>
    <w:semiHidden/>
    <w:unhideWhenUsed/>
    <w:qFormat/>
    <w:rsid w:val="004A609F"/>
    <w:rPr>
      <w:color w:val="605E5C"/>
      <w:shd w:val="clear" w:color="auto" w:fill="E1DFDD"/>
    </w:rPr>
  </w:style>
  <w:style w:type="character" w:customStyle="1" w:styleId="UnresolvedMention1">
    <w:name w:val="Unresolved Mention1"/>
    <w:uiPriority w:val="99"/>
    <w:qFormat/>
    <w:rsid w:val="004E285F"/>
    <w:rPr>
      <w:color w:val="605E5C"/>
      <w:shd w:val="clear" w:color="auto" w:fill="E1DFDD"/>
    </w:rPr>
  </w:style>
  <w:style w:type="character" w:customStyle="1" w:styleId="FootnoteTextChar">
    <w:name w:val="Footnote Text Char"/>
    <w:link w:val="FootnoteText"/>
    <w:uiPriority w:val="99"/>
    <w:qFormat/>
    <w:rsid w:val="004E285F"/>
    <w:rPr>
      <w:rFonts w:ascii="Calibri" w:eastAsia="Calibri" w:hAnsi="Calibri" w:cs="Calibri"/>
    </w:rPr>
  </w:style>
  <w:style w:type="character" w:customStyle="1" w:styleId="FootnoteCharacters">
    <w:name w:val="Footnote Characters"/>
    <w:uiPriority w:val="99"/>
    <w:semiHidden/>
    <w:unhideWhenUsed/>
    <w:qFormat/>
    <w:rsid w:val="00FF3715"/>
    <w:rPr>
      <w:vertAlign w:val="superscript"/>
    </w:rPr>
  </w:style>
  <w:style w:type="character" w:customStyle="1" w:styleId="FootnoteAnchor">
    <w:name w:val="Footnote Anchor"/>
    <w:qFormat/>
    <w:rsid w:val="004E285F"/>
    <w:rPr>
      <w:vertAlign w:val="superscript"/>
    </w:rPr>
  </w:style>
  <w:style w:type="character" w:customStyle="1" w:styleId="EndnoteAnchor">
    <w:name w:val="Endnote Anchor"/>
    <w:qFormat/>
    <w:rsid w:val="004E285F"/>
    <w:rPr>
      <w:vertAlign w:val="superscript"/>
    </w:rPr>
  </w:style>
  <w:style w:type="character" w:customStyle="1" w:styleId="EndnoteCharacters">
    <w:name w:val="Endnote Characters"/>
    <w:uiPriority w:val="99"/>
    <w:semiHidden/>
    <w:unhideWhenUsed/>
    <w:qFormat/>
    <w:rsid w:val="000B4109"/>
    <w:rPr>
      <w:vertAlign w:val="superscript"/>
    </w:rPr>
  </w:style>
  <w:style w:type="character" w:customStyle="1" w:styleId="BodyTextChar">
    <w:name w:val="Body Text Char"/>
    <w:link w:val="BodyText"/>
    <w:qFormat/>
    <w:rsid w:val="004E285F"/>
    <w:rPr>
      <w:rFonts w:ascii="Calibri" w:eastAsia="Calibri" w:hAnsi="Calibri" w:cs="Calibri"/>
      <w:sz w:val="24"/>
      <w:szCs w:val="24"/>
      <w:lang w:eastAsia="en-US"/>
    </w:rPr>
  </w:style>
  <w:style w:type="character" w:customStyle="1" w:styleId="FootnoteTextChar1">
    <w:name w:val="Footnote Text Char1"/>
    <w:uiPriority w:val="99"/>
    <w:semiHidden/>
    <w:qFormat/>
    <w:rsid w:val="004E285F"/>
    <w:rPr>
      <w:lang w:val="en-US" w:eastAsia="en-US"/>
    </w:rPr>
  </w:style>
  <w:style w:type="character" w:customStyle="1" w:styleId="EndnoteTextChar">
    <w:name w:val="Endnote Text Char"/>
    <w:link w:val="EndnoteText"/>
    <w:uiPriority w:val="99"/>
    <w:semiHidden/>
    <w:qFormat/>
    <w:rsid w:val="000B4109"/>
    <w:rPr>
      <w:lang w:eastAsia="en-US"/>
    </w:rPr>
  </w:style>
  <w:style w:type="character" w:customStyle="1" w:styleId="Bezochteinternetkoppeling">
    <w:name w:val="Bezochte internetkoppeling"/>
    <w:uiPriority w:val="99"/>
    <w:semiHidden/>
    <w:unhideWhenUsed/>
    <w:rsid w:val="007F5D07"/>
    <w:rPr>
      <w:color w:val="954F72"/>
      <w:u w:val="single"/>
    </w:rPr>
  </w:style>
  <w:style w:type="character" w:customStyle="1" w:styleId="Indexkoppeling">
    <w:name w:val="Indexkoppeling"/>
    <w:qFormat/>
  </w:style>
  <w:style w:type="character" w:customStyle="1" w:styleId="Voetnoottekens">
    <w:name w:val="Voetnoottekens"/>
    <w:qFormat/>
  </w:style>
  <w:style w:type="character" w:customStyle="1" w:styleId="Voetnootanker">
    <w:name w:val="Voetnootanker"/>
    <w:rPr>
      <w:vertAlign w:val="superscript"/>
    </w:rPr>
  </w:style>
  <w:style w:type="character" w:customStyle="1" w:styleId="Eindnootanker">
    <w:name w:val="Eindnootanker"/>
    <w:rPr>
      <w:vertAlign w:val="superscript"/>
    </w:rPr>
  </w:style>
  <w:style w:type="character" w:customStyle="1" w:styleId="Eindnoottekens">
    <w:name w:val="Eindnoottekens"/>
    <w:qFormat/>
  </w:style>
  <w:style w:type="paragraph" w:customStyle="1" w:styleId="Kop">
    <w:name w:val="Kop"/>
    <w:basedOn w:val="Normal"/>
    <w:next w:val="BodyText"/>
    <w:qFormat/>
    <w:rsid w:val="004E285F"/>
    <w:pPr>
      <w:keepNext/>
      <w:spacing w:before="240" w:after="120"/>
    </w:pPr>
    <w:rPr>
      <w:rFonts w:ascii="Carlito" w:eastAsia="Noto Sans SC Regular" w:hAnsi="Carlito" w:cs="Noto Sans Devanagari"/>
      <w:sz w:val="28"/>
      <w:szCs w:val="28"/>
    </w:rPr>
  </w:style>
  <w:style w:type="paragraph" w:styleId="BodyText">
    <w:name w:val="Body Text"/>
    <w:basedOn w:val="Normal"/>
    <w:link w:val="BodyTextChar"/>
    <w:rsid w:val="004E285F"/>
    <w:pPr>
      <w:spacing w:after="140" w:line="276" w:lineRule="auto"/>
    </w:pPr>
    <w:rPr>
      <w:rFonts w:ascii="Calibri" w:eastAsia="Calibri" w:hAnsi="Calibri" w:cs="Calibri"/>
      <w:sz w:val="24"/>
      <w:szCs w:val="24"/>
    </w:rPr>
  </w:style>
  <w:style w:type="paragraph" w:styleId="List">
    <w:name w:val="List"/>
    <w:basedOn w:val="BodyText"/>
    <w:rsid w:val="004E285F"/>
    <w:rPr>
      <w:rFonts w:cs="Noto Sans Devanagari"/>
    </w:rPr>
  </w:style>
  <w:style w:type="paragraph" w:styleId="Caption">
    <w:name w:val="caption"/>
    <w:basedOn w:val="Normal"/>
    <w:next w:val="Normal"/>
    <w:uiPriority w:val="35"/>
    <w:unhideWhenUsed/>
    <w:qFormat/>
    <w:rsid w:val="00D01E8C"/>
    <w:rPr>
      <w:b/>
      <w:bCs/>
      <w:sz w:val="20"/>
      <w:szCs w:val="20"/>
    </w:rPr>
  </w:style>
  <w:style w:type="paragraph" w:customStyle="1" w:styleId="Index">
    <w:name w:val="Index"/>
    <w:basedOn w:val="Normal"/>
    <w:qFormat/>
    <w:rsid w:val="004E285F"/>
    <w:pPr>
      <w:suppressLineNumbers/>
    </w:pPr>
    <w:rPr>
      <w:rFonts w:ascii="Calibri" w:eastAsia="Calibri" w:hAnsi="Calibri" w:cs="Noto Sans Devanagari"/>
      <w:sz w:val="24"/>
      <w:szCs w:val="24"/>
    </w:rPr>
  </w:style>
  <w:style w:type="paragraph" w:styleId="TOC2">
    <w:name w:val="toc 2"/>
    <w:basedOn w:val="Normal"/>
    <w:next w:val="Normal"/>
    <w:autoRedefine/>
    <w:uiPriority w:val="39"/>
    <w:rsid w:val="00005B94"/>
    <w:pPr>
      <w:ind w:left="220"/>
    </w:pPr>
  </w:style>
  <w:style w:type="paragraph" w:styleId="TOC1">
    <w:name w:val="toc 1"/>
    <w:basedOn w:val="Normal"/>
    <w:next w:val="Normal"/>
    <w:autoRedefine/>
    <w:uiPriority w:val="39"/>
    <w:rsid w:val="0001068A"/>
    <w:pPr>
      <w:tabs>
        <w:tab w:val="left" w:pos="440"/>
        <w:tab w:val="right" w:leader="dot" w:pos="8303"/>
      </w:tabs>
    </w:pPr>
  </w:style>
  <w:style w:type="paragraph" w:styleId="TOC3">
    <w:name w:val="toc 3"/>
    <w:basedOn w:val="Normal"/>
    <w:next w:val="Normal"/>
    <w:autoRedefine/>
    <w:uiPriority w:val="39"/>
    <w:rsid w:val="00005B94"/>
    <w:pPr>
      <w:ind w:left="440"/>
    </w:pPr>
  </w:style>
  <w:style w:type="paragraph" w:styleId="CommentText">
    <w:name w:val="annotation text"/>
    <w:basedOn w:val="Normal"/>
    <w:link w:val="CommentTextChar"/>
    <w:uiPriority w:val="99"/>
    <w:unhideWhenUsed/>
    <w:qFormat/>
    <w:rsid w:val="000B5DD0"/>
    <w:rPr>
      <w:sz w:val="20"/>
      <w:szCs w:val="20"/>
    </w:rPr>
  </w:style>
  <w:style w:type="paragraph" w:styleId="CommentSubject">
    <w:name w:val="annotation subject"/>
    <w:basedOn w:val="CommentText"/>
    <w:next w:val="CommentText"/>
    <w:link w:val="CommentSubjectChar"/>
    <w:uiPriority w:val="99"/>
    <w:semiHidden/>
    <w:unhideWhenUsed/>
    <w:qFormat/>
    <w:rsid w:val="000B5DD0"/>
    <w:rPr>
      <w:b/>
      <w:bCs/>
    </w:rPr>
  </w:style>
  <w:style w:type="paragraph" w:styleId="BalloonText">
    <w:name w:val="Balloon Text"/>
    <w:basedOn w:val="Normal"/>
    <w:link w:val="BalloonTextChar"/>
    <w:uiPriority w:val="99"/>
    <w:semiHidden/>
    <w:unhideWhenUsed/>
    <w:qFormat/>
    <w:rsid w:val="000B5DD0"/>
    <w:rPr>
      <w:rFonts w:ascii="Tahoma" w:hAnsi="Tahoma" w:cs="Tahoma"/>
      <w:sz w:val="16"/>
      <w:szCs w:val="16"/>
    </w:rPr>
  </w:style>
  <w:style w:type="paragraph" w:customStyle="1" w:styleId="EndNoteBibliographyTitle">
    <w:name w:val="EndNote Bibliography Title"/>
    <w:basedOn w:val="Normal"/>
    <w:link w:val="EndNoteBibliographyTitleChar"/>
    <w:qFormat/>
    <w:rsid w:val="008A23D2"/>
    <w:pPr>
      <w:jc w:val="center"/>
    </w:pPr>
    <w:rPr>
      <w:sz w:val="20"/>
    </w:rPr>
  </w:style>
  <w:style w:type="paragraph" w:customStyle="1" w:styleId="EndNoteBibliography">
    <w:name w:val="EndNote Bibliography"/>
    <w:basedOn w:val="Normal"/>
    <w:link w:val="EndNoteBibliographyChar"/>
    <w:qFormat/>
    <w:rsid w:val="001E3A54"/>
    <w:pPr>
      <w:ind w:left="567" w:hanging="567"/>
    </w:pPr>
    <w:rPr>
      <w:sz w:val="20"/>
      <w:lang w:val="en-US"/>
    </w:rPr>
  </w:style>
  <w:style w:type="paragraph" w:customStyle="1" w:styleId="Default">
    <w:name w:val="Default"/>
    <w:qFormat/>
    <w:rsid w:val="00A763A2"/>
    <w:rPr>
      <w:rFonts w:ascii="Verdana" w:hAnsi="Verdana" w:cs="Verdana"/>
      <w:color w:val="000000"/>
      <w:sz w:val="24"/>
      <w:szCs w:val="24"/>
      <w:lang w:val="en-US" w:eastAsia="en-US"/>
    </w:rPr>
  </w:style>
  <w:style w:type="paragraph" w:styleId="Title">
    <w:name w:val="Title"/>
    <w:basedOn w:val="Normal"/>
    <w:next w:val="Normal"/>
    <w:link w:val="TitleChar"/>
    <w:uiPriority w:val="10"/>
    <w:qFormat/>
    <w:rsid w:val="00CC659A"/>
    <w:pPr>
      <w:spacing w:before="240" w:after="60"/>
      <w:outlineLvl w:val="0"/>
    </w:pPr>
    <w:rPr>
      <w:rFonts w:ascii="Cambria" w:hAnsi="Cambria"/>
      <w:b/>
      <w:bCs/>
      <w:color w:val="2C2276"/>
      <w:kern w:val="2"/>
      <w:sz w:val="28"/>
      <w:szCs w:val="28"/>
    </w:rPr>
  </w:style>
  <w:style w:type="paragraph" w:customStyle="1" w:styleId="Kop-envoettekst">
    <w:name w:val="Kop- en voettekst"/>
    <w:basedOn w:val="Normal"/>
    <w:qFormat/>
  </w:style>
  <w:style w:type="paragraph" w:styleId="Header">
    <w:name w:val="header"/>
    <w:basedOn w:val="Normal"/>
    <w:link w:val="HeaderChar"/>
    <w:uiPriority w:val="99"/>
    <w:unhideWhenUsed/>
    <w:rsid w:val="003C6B21"/>
    <w:pPr>
      <w:tabs>
        <w:tab w:val="center" w:pos="4513"/>
        <w:tab w:val="right" w:pos="9026"/>
      </w:tabs>
    </w:pPr>
  </w:style>
  <w:style w:type="paragraph" w:styleId="Footer">
    <w:name w:val="footer"/>
    <w:basedOn w:val="Normal"/>
    <w:link w:val="FooterChar"/>
    <w:uiPriority w:val="99"/>
    <w:unhideWhenUsed/>
    <w:rsid w:val="003C6B21"/>
    <w:pPr>
      <w:tabs>
        <w:tab w:val="center" w:pos="4513"/>
        <w:tab w:val="right" w:pos="9026"/>
      </w:tabs>
    </w:pPr>
  </w:style>
  <w:style w:type="paragraph" w:styleId="FootnoteText">
    <w:name w:val="footnote text"/>
    <w:basedOn w:val="Normal"/>
    <w:link w:val="FootnoteTextChar"/>
    <w:uiPriority w:val="99"/>
    <w:unhideWhenUsed/>
    <w:rsid w:val="004E285F"/>
    <w:rPr>
      <w:rFonts w:ascii="Calibri" w:eastAsia="Calibri" w:hAnsi="Calibri" w:cs="Calibri"/>
      <w:sz w:val="20"/>
      <w:szCs w:val="20"/>
      <w:lang w:eastAsia="nl-NL"/>
    </w:rPr>
  </w:style>
  <w:style w:type="paragraph" w:styleId="ListParagraph">
    <w:name w:val="List Paragraph"/>
    <w:basedOn w:val="Normal"/>
    <w:uiPriority w:val="34"/>
    <w:qFormat/>
    <w:rsid w:val="004E285F"/>
    <w:pPr>
      <w:ind w:left="720"/>
      <w:contextualSpacing/>
    </w:pPr>
    <w:rPr>
      <w:rFonts w:ascii="Calibri" w:eastAsia="Calibri" w:hAnsi="Calibri" w:cs="Calibri"/>
      <w:sz w:val="24"/>
      <w:szCs w:val="24"/>
    </w:rPr>
  </w:style>
  <w:style w:type="paragraph" w:styleId="EndnoteText">
    <w:name w:val="endnote text"/>
    <w:basedOn w:val="Normal"/>
    <w:link w:val="EndnoteTextChar"/>
    <w:uiPriority w:val="99"/>
    <w:semiHidden/>
    <w:unhideWhenUsed/>
    <w:rsid w:val="000B4109"/>
    <w:rPr>
      <w:sz w:val="20"/>
      <w:szCs w:val="20"/>
    </w:rPr>
  </w:style>
  <w:style w:type="paragraph" w:customStyle="1" w:styleId="western">
    <w:name w:val="western"/>
    <w:basedOn w:val="Normal"/>
    <w:qFormat/>
    <w:rsid w:val="009C0A79"/>
    <w:pPr>
      <w:spacing w:beforeAutospacing="1" w:after="142" w:line="276" w:lineRule="auto"/>
    </w:pPr>
    <w:rPr>
      <w:rFonts w:ascii="Calibri" w:hAnsi="Calibri" w:cs="Calibri"/>
      <w:color w:val="000000"/>
      <w:sz w:val="24"/>
      <w:szCs w:val="24"/>
      <w:lang w:eastAsia="nl-NL"/>
    </w:rPr>
  </w:style>
  <w:style w:type="paragraph" w:customStyle="1" w:styleId="TableNormal1">
    <w:name w:val="Table Normal1"/>
    <w:qFormat/>
    <w:rPr>
      <w:rFonts w:eastAsia="Symbol"/>
    </w:rPr>
  </w:style>
  <w:style w:type="table" w:styleId="TableGrid">
    <w:name w:val="Table Grid"/>
    <w:basedOn w:val="TableNormal"/>
    <w:uiPriority w:val="39"/>
    <w:rsid w:val="00DA0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E285F"/>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LineNumber">
    <w:name w:val="line number"/>
    <w:basedOn w:val="DefaultParagraphFont"/>
    <w:uiPriority w:val="99"/>
    <w:semiHidden/>
    <w:unhideWhenUsed/>
    <w:rsid w:val="00F37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hyperlink" Target="https://www.eea.europa.eu/publications/state-of-wate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springeropen.com/collections/solutions" TargetMode="External"/><Relationship Id="rId41" Type="http://schemas.openxmlformats.org/officeDocument/2006/relationships/hyperlink" Target="https://ec.europa.eu/environment/water/fitness_check_of_the_eu_water_legislation/documents/Water%20Fitness%20Check%20-%20SWD(2019)439%20-%20we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springeropen.com/collections/solution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s://www.helpdeskwater.nl/onderwerpen/wetgeving-beleid/kaderrichtlijn-water/uitvoering/rijn-west/we/krw/dpsir/"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png"/><Relationship Id="rId44" Type="http://schemas.openxmlformats.org/officeDocument/2006/relationships/hyperlink" Target="https://www.worldcat.org/title/towards-a-comprehensive-framework-for-environmental-statistics-a-stress-response-approach/oclc/2177235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hyperlink" Target="https://www.norman-network.com/nds/ecotox/" TargetMode="External"/><Relationship Id="rId35" Type="http://schemas.openxmlformats.org/officeDocument/2006/relationships/image" Target="media/image11.png"/><Relationship Id="rId43" Type="http://schemas.openxmlformats.org/officeDocument/2006/relationships/hyperlink" Target="https://www.worldcat.org/title/towards-a-comprehensive-framework-for-environmental-statistics-a-stress-response-approach/oclc/21772350"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NL/TXT/PDF/?uri=CELEX%3A02000L0060-20141120&amp;rid=1" TargetMode="External"/><Relationship Id="rId2" Type="http://schemas.openxmlformats.org/officeDocument/2006/relationships/hyperlink" Target="https://www.helpdeskwater.nl/onderwerpen/wetgeving-beleid/kaderrichtlijn-water/uitvoering/rijn-west/we/krw/dpsir/" TargetMode="External"/><Relationship Id="rId1" Type="http://schemas.openxmlformats.org/officeDocument/2006/relationships/hyperlink" Target="mailto:Harald.dik@rivm.nl" TargetMode="External"/><Relationship Id="rId4" Type="http://schemas.openxmlformats.org/officeDocument/2006/relationships/hyperlink" Target="https://wetten.overheid.nl/BWBR0027502/2015-11-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AFB14-3D5C-486B-BA74-775C7FF2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19102</Words>
  <Characters>105064</Characters>
  <Application>Microsoft Office Word</Application>
  <DocSecurity>0</DocSecurity>
  <Lines>875</Lines>
  <Paragraphs>247</Paragraphs>
  <ScaleCrop>false</ScaleCrop>
  <HeadingPairs>
    <vt:vector size="2" baseType="variant">
      <vt:variant>
        <vt:lpstr>Title</vt:lpstr>
      </vt:variant>
      <vt:variant>
        <vt:i4>1</vt:i4>
      </vt:variant>
    </vt:vector>
  </HeadingPairs>
  <TitlesOfParts>
    <vt:vector size="1" baseType="lpstr">
      <vt:lpstr>Title</vt:lpstr>
    </vt:vector>
  </TitlesOfParts>
  <Company>RIVM</Company>
  <LinksUpToDate>false</LinksUpToDate>
  <CharactersWithSpaces>123919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Leo Posthuma</dc:creator>
  <dc:description/>
  <cp:lastModifiedBy>Pronk, Tessa</cp:lastModifiedBy>
  <cp:revision>2</cp:revision>
  <dcterms:created xsi:type="dcterms:W3CDTF">2021-04-01T16:37:00Z</dcterms:created>
  <dcterms:modified xsi:type="dcterms:W3CDTF">2021-04-01T16:37:00Z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RIVM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