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E3B5AA" w14:textId="69AB8DF5" w:rsidR="00CD078A" w:rsidRPr="0098155F" w:rsidRDefault="005B41AB" w:rsidP="00CD078A">
      <w:pPr>
        <w:pStyle w:val="paragraph"/>
        <w:rPr>
          <w:rFonts w:ascii="Arial" w:hAnsi="Arial" w:cs="Arial"/>
          <w:lang w:val="en-US"/>
        </w:rPr>
      </w:pPr>
      <w:r>
        <w:drawing>
          <wp:inline distT="0" distR="0" distB="0" distL="0">
            <wp:extent cx="1765300" cy="558800"/>
            <wp:docPr id="1" name="Drawing 1" descr="header-logo.png"/>
            <a:graphic xmlns:a="http://schemas.openxmlformats.org/drawingml/2006/main">
              <a:graphicData uri="http://schemas.openxmlformats.org/drawingml/2006/picture">
                <pic:pic xmlns:pic="http://schemas.openxmlformats.org/drawingml/2006/picture">
                  <pic:nvPicPr>
                    <pic:cNvPr id="0" name="Picture 1" descr="header-logo.png"/>
                    <pic:cNvPicPr>
                      <a:picLocks noChangeAspect="true"/>
                    </pic:cNvPicPr>
                  </pic:nvPicPr>
                  <pic:blipFill>
                    <a:blip r:embed="rId14"/>
                    <a:stretch>
                      <a:fillRect/>
                    </a:stretch>
                  </pic:blipFill>
                  <pic:spPr>
                    <a:xfrm>
                      <a:off x="0" y="0"/>
                      <a:ext cx="1765300" cy="558800"/>
                    </a:xfrm>
                    <a:prstGeom prst="rect">
                      <a:avLst/>
                    </a:prstGeom>
                  </pic:spPr>
                </pic:pic>
              </a:graphicData>
            </a:graphic>
          </wp:inline>
        </w:drawing>
      </w:r>
    </w:p>
    <w:p w14:paraId="0CBD39D7" w14:textId="7571CE69" w:rsidR="00CD078A" w:rsidRPr="0098155F" w:rsidRDefault="00D474F3" w:rsidP="00CD078A">
      <w:pPr>
        <w:pStyle w:val="paragraph"/>
        <w:rPr>
          <w:rFonts w:ascii="Arial" w:hAnsi="Arial" w:cs="Arial"/>
          <w:lang w:val="en-US"/>
        </w:rPr>
      </w:pPr>
      <w:r w:rsidRPr="001520CF">
        <w:rPr>
          <w:rFonts w:ascii="Arial" w:hAnsi="Arial" w:cs="Arial"/>
          <w:noProof/>
        </w:rPr>
        <w:drawing>
          <wp:anchor distT="0" distB="0" distL="114300" distR="114300" simplePos="0" relativeHeight="251659264" behindDoc="1" locked="0" layoutInCell="1" allowOverlap="1" wp14:anchorId="0432C376" wp14:editId="69F04A3F">
            <wp:simplePos x="0" y="0"/>
            <wp:positionH relativeFrom="column">
              <wp:posOffset>-831850</wp:posOffset>
            </wp:positionH>
            <wp:positionV relativeFrom="paragraph">
              <wp:posOffset>242570</wp:posOffset>
            </wp:positionV>
            <wp:extent cx="7639050" cy="140335"/>
            <wp:effectExtent l="0" t="0" r="0" b="0"/>
            <wp:wrapTight wrapText="bothSides">
              <wp:wrapPolygon edited="0">
                <wp:start x="0" y="0"/>
                <wp:lineTo x="0" y="17593"/>
                <wp:lineTo x="21546" y="17593"/>
                <wp:lineTo x="21546" y="0"/>
                <wp:lineTo x="0" y="0"/>
              </wp:wrapPolygon>
            </wp:wrapTight>
            <wp:docPr id="1945458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458512" name=""/>
                    <pic:cNvPicPr/>
                  </pic:nvPicPr>
                  <pic:blipFill>
                    <a:blip r:embed="rId8">
                      <a:extLst>
                        <a:ext uri="{28A0092B-C50C-407E-A947-70E740481C1C}">
                          <a14:useLocalDpi xmlns:a14="http://schemas.microsoft.com/office/drawing/2010/main" val="0"/>
                        </a:ext>
                      </a:extLst>
                    </a:blip>
                    <a:stretch>
                      <a:fillRect/>
                    </a:stretch>
                  </pic:blipFill>
                  <pic:spPr>
                    <a:xfrm>
                      <a:off x="0" y="0"/>
                      <a:ext cx="7639050" cy="140335"/>
                    </a:xfrm>
                    <a:prstGeom prst="rect">
                      <a:avLst/>
                    </a:prstGeom>
                  </pic:spPr>
                </pic:pic>
              </a:graphicData>
            </a:graphic>
            <wp14:sizeRelH relativeFrom="page">
              <wp14:pctWidth>0</wp14:pctWidth>
            </wp14:sizeRelH>
            <wp14:sizeRelV relativeFrom="page">
              <wp14:pctHeight>0</wp14:pctHeight>
            </wp14:sizeRelV>
          </wp:anchor>
        </w:drawing>
      </w:r>
    </w:p>
    <w:p w14:paraId="0FE66AF7" w14:textId="77777777" w:rsidR="00D474F3" w:rsidRDefault="00D474F3" w:rsidP="00CD078A">
      <w:pPr>
        <w:pStyle w:val="paragraph"/>
        <w:jc w:val="center"/>
        <w:rPr>
          <w:rFonts w:ascii="Arial" w:hAnsi="Arial" w:cs="Arial"/>
          <w:lang w:val="en-US"/>
        </w:rPr>
      </w:pPr>
    </w:p>
    <w:p w14:paraId="5260A2FA" w14:textId="425D49D6" w:rsidR="00CD078A" w:rsidRPr="0098155F" w:rsidRDefault="00CD078A" w:rsidP="00CD078A">
      <w:pPr>
        <w:pStyle w:val="paragraph"/>
        <w:jc w:val="center"/>
        <w:rPr>
          <w:rFonts w:ascii="Arial" w:hAnsi="Arial" w:cs="Arial"/>
          <w:lang w:val="en-US"/>
        </w:rPr>
      </w:pPr>
      <w:r>
        <w:drawing>
          <wp:inline distT="0" distR="0" distB="0" distL="0">
            <wp:extent cx="2743200" cy="1257300"/>
            <wp:docPr id="2" name="Drawing 2" descr="Client logo.png"/>
            <a:graphic xmlns:a="http://schemas.openxmlformats.org/drawingml/2006/main">
              <a:graphicData uri="http://schemas.openxmlformats.org/drawingml/2006/picture">
                <pic:pic xmlns:pic="http://schemas.openxmlformats.org/drawingml/2006/picture">
                  <pic:nvPicPr>
                    <pic:cNvPr id="0" name="Picture 2" descr="Client logo.png"/>
                    <pic:cNvPicPr>
                      <a:picLocks noChangeAspect="true"/>
                    </pic:cNvPicPr>
                  </pic:nvPicPr>
                  <pic:blipFill>
                    <a:blip r:embed="rId15"/>
                    <a:stretch>
                      <a:fillRect/>
                    </a:stretch>
                  </pic:blipFill>
                  <pic:spPr>
                    <a:xfrm>
                      <a:off x="0" y="0"/>
                      <a:ext cx="2743200" cy="1257300"/>
                    </a:xfrm>
                    <a:prstGeom prst="rect">
                      <a:avLst/>
                    </a:prstGeom>
                  </pic:spPr>
                </pic:pic>
              </a:graphicData>
            </a:graphic>
          </wp:inline>
        </w:drawing>
      </w:r>
    </w:p>
    <w:p w14:paraId="605941A9" w14:textId="77777777" w:rsidR="00CD078A" w:rsidRPr="0098155F" w:rsidRDefault="00CD078A" w:rsidP="00CD078A">
      <w:pPr>
        <w:pStyle w:val="paragraph"/>
        <w:rPr>
          <w:rFonts w:ascii="Arial" w:hAnsi="Arial" w:cs="Arial"/>
          <w:lang w:val="en-US"/>
        </w:rPr>
      </w:pPr>
    </w:p>
    <w:p w14:paraId="5B38DF5D" w14:textId="77777777" w:rsidR="00CD078A" w:rsidRPr="0098155F" w:rsidRDefault="00CD078A" w:rsidP="00CD078A">
      <w:pPr>
        <w:pStyle w:val="paragraph"/>
        <w:rPr>
          <w:rFonts w:ascii="Arial" w:hAnsi="Arial" w:cs="Arial"/>
          <w:lang w:val="en-US"/>
        </w:rPr>
      </w:pPr>
    </w:p>
    <w:p w14:paraId="664F9EE4" w14:textId="77777777" w:rsidR="00CD078A" w:rsidRPr="006A7657" w:rsidRDefault="00CD078A" w:rsidP="00CD078A">
      <w:pPr>
        <w:rPr>
          <w:rFonts w:ascii="Arial" w:eastAsia="Ubuntu" w:hAnsi="Arial" w:cs="Arial"/>
          <w:b/>
          <w:sz w:val="96"/>
          <w:szCs w:val="20"/>
          <w:lang w:val="en-US"/>
        </w:rPr>
      </w:pPr>
      <w:r w:rsidRPr="006A7657">
        <w:rPr>
          <w:rFonts w:ascii="Arial" w:eastAsia="Ubuntu" w:hAnsi="Arial" w:cs="Arial"/>
          <w:b/>
          <w:sz w:val="96"/>
          <w:szCs w:val="20"/>
          <w:lang w:val="en-US"/>
        </w:rPr>
        <w:t>ENERGY YIELD REPORT</w:t>
      </w:r>
    </w:p>
    <w:p w14:paraId="6B0E4726" w14:textId="77777777" w:rsidR="00CD078A" w:rsidRPr="0098155F" w:rsidRDefault="00CD078A" w:rsidP="00CD078A">
      <w:pPr>
        <w:pStyle w:val="paragraph"/>
        <w:rPr>
          <w:rFonts w:ascii="Arial" w:hAnsi="Arial" w:cs="Arial"/>
          <w:lang w:val="en-US"/>
        </w:rPr>
      </w:pPr>
    </w:p>
    <w:p w14:paraId="2A0D1DCE" w14:textId="77777777" w:rsidR="007C3B76" w:rsidRPr="006A7657" w:rsidRDefault="007C3B76" w:rsidP="006A7657">
      <w:pPr>
        <w:pStyle w:val="CoverSubtitle20"/>
      </w:pPr>
      <w:r>
        <w:rPr>
          <w:b w:val="false"/>
        </w:rPr>
        <w:t>PV Plant Webinar Amperecloud</w:t>
      </w:r>
    </w:p>
    <w:p w14:paraId="543D2EDE" w14:textId="77777777" w:rsidR="007C3B76" w:rsidRPr="006A7657" w:rsidRDefault="007C3B76" w:rsidP="006A7657">
      <w:pPr>
        <w:pStyle w:val="CoverSubtitle20"/>
      </w:pPr>
      <w:r>
        <w:rPr>
          <w:b w:val="false"/>
        </w:rPr>
        <w:t>2024/10/29</w:t>
      </w:r>
    </w:p>
    <w:p w14:paraId="4A3BDBFB" w14:textId="77777777" w:rsidR="007C3B76" w:rsidRPr="0098155F" w:rsidRDefault="007C3B76" w:rsidP="007C3B76">
      <w:pPr>
        <w:pStyle w:val="BulletsDoc"/>
        <w:ind w:left="0" w:firstLine="0"/>
        <w:rPr>
          <w:rFonts w:ascii="Arial" w:eastAsia="Calibri" w:hAnsi="Arial" w:cs="Arial"/>
          <w:szCs w:val="24"/>
        </w:rPr>
      </w:pPr>
    </w:p>
    <w:p w14:paraId="75730425" w14:textId="77777777" w:rsidR="007C3B76" w:rsidRPr="0098155F" w:rsidRDefault="007C3B76" w:rsidP="007C3B76">
      <w:pPr>
        <w:pStyle w:val="BulletsDoc"/>
        <w:ind w:left="0" w:firstLine="0"/>
        <w:rPr>
          <w:rFonts w:ascii="Arial" w:eastAsia="Calibri" w:hAnsi="Arial" w:cs="Arial"/>
          <w:szCs w:val="24"/>
        </w:rPr>
      </w:pPr>
    </w:p>
    <w:p w14:paraId="58730915" w14:textId="77777777" w:rsidR="007C3B76" w:rsidRPr="0098155F" w:rsidRDefault="007C3B76" w:rsidP="007C3B76">
      <w:pPr>
        <w:pStyle w:val="BulletsDoc"/>
        <w:ind w:left="0" w:firstLine="0"/>
        <w:rPr>
          <w:rFonts w:ascii="Arial" w:eastAsia="Calibri" w:hAnsi="Arial" w:cs="Arial"/>
          <w:szCs w:val="24"/>
        </w:rPr>
      </w:pPr>
    </w:p>
    <w:p w14:paraId="50305E64" w14:textId="77777777" w:rsidR="007C3B76" w:rsidRPr="0098155F" w:rsidRDefault="007C3B76" w:rsidP="007C3B76">
      <w:pPr>
        <w:pStyle w:val="BulletsDoc"/>
        <w:ind w:left="0" w:firstLine="0"/>
        <w:rPr>
          <w:rFonts w:ascii="Arial" w:eastAsia="Calibri" w:hAnsi="Arial" w:cs="Arial"/>
          <w:szCs w:val="24"/>
        </w:rPr>
      </w:pPr>
      <w:r>
        <w:rPr>
          <w:b w:val="false"/>
        </w:rPr>
        <w:t>Prepared for: Amperecloud</w:t>
      </w:r>
    </w:p>
    <w:p w14:paraId="1CC70C34" w14:textId="44FA5034" w:rsidR="007C3B76" w:rsidRPr="0098155F" w:rsidRDefault="007C3B76" w:rsidP="003737DA">
      <w:pPr>
        <w:pStyle w:val="paragraph"/>
        <w:jc w:val="left"/>
        <w:rPr>
          <w:rFonts w:ascii="Arial" w:hAnsi="Arial" w:cs="Arial"/>
          <w:lang w:val="en-US"/>
        </w:rPr>
      </w:pPr>
      <w:r>
        <w:drawing>
          <wp:inline distT="0" distR="0" distB="0" distL="0">
            <wp:extent cx="5892800" cy="1041400"/>
            <wp:docPr id="3" name="Drawing 3" descr="Amperecloud.png"/>
            <a:graphic xmlns:a="http://schemas.openxmlformats.org/drawingml/2006/main">
              <a:graphicData uri="http://schemas.openxmlformats.org/drawingml/2006/picture">
                <pic:pic xmlns:pic="http://schemas.openxmlformats.org/drawingml/2006/picture">
                  <pic:nvPicPr>
                    <pic:cNvPr id="0" name="Picture 3" descr="Amperecloud.png"/>
                    <pic:cNvPicPr>
                      <a:picLocks noChangeAspect="true"/>
                    </pic:cNvPicPr>
                  </pic:nvPicPr>
                  <pic:blipFill>
                    <a:blip r:embed="rId16"/>
                    <a:stretch>
                      <a:fillRect/>
                    </a:stretch>
                  </pic:blipFill>
                  <pic:spPr>
                    <a:xfrm>
                      <a:off x="0" y="0"/>
                      <a:ext cx="5892800" cy="1041400"/>
                    </a:xfrm>
                    <a:prstGeom prst="rect">
                      <a:avLst/>
                    </a:prstGeom>
                  </pic:spPr>
                </pic:pic>
              </a:graphicData>
            </a:graphic>
          </wp:inline>
        </w:drawing>
      </w:r>
    </w:p>
    <w:p w14:paraId="2942A878" w14:textId="77777777" w:rsidR="003737DA" w:rsidRPr="0098155F" w:rsidRDefault="003737DA">
      <w:pPr>
        <w:rPr>
          <w:rFonts w:ascii="Arial" w:hAnsi="Arial" w:cs="Arial"/>
          <w:color w:val="0097B7" w:themeColor="accent4"/>
          <w:sz w:val="40"/>
          <w:lang w:val="en-US"/>
        </w:rPr>
      </w:pPr>
      <w:r w:rsidRPr="0098155F">
        <w:rPr>
          <w:rFonts w:ascii="Arial" w:hAnsi="Arial" w:cs="Arial"/>
          <w:lang w:val="en-US"/>
        </w:rPr>
        <w:br w:type="page"/>
      </w:r>
    </w:p>
    <w:p w14:paraId="74CDBF6E" w14:textId="77777777" w:rsidR="005B41AB" w:rsidRDefault="005B41AB" w:rsidP="00992443">
      <w:pPr>
        <w:pStyle w:val="Title1"/>
        <w:rPr>
          <w:rFonts w:cs="Arial"/>
          <w:b w:val="0"/>
          <w:bCs/>
          <w:szCs w:val="18"/>
          <w:lang w:val="en-US"/>
        </w:rPr>
        <w:sectPr w:rsidR="005B41AB" w:rsidSect="005B41AB">
          <w:footerReference w:type="default" r:id="rId9"/>
          <w:pgSz w:w="11906" w:h="16838"/>
          <w:pgMar w:top="0" w:right="1310" w:bottom="1411" w:left="1310" w:header="706" w:footer="706" w:gutter="0"/>
          <w:cols w:space="708"/>
          <w:titlePg/>
          <w:docGrid w:linePitch="360"/>
        </w:sectPr>
      </w:pPr>
    </w:p>
    <w:p w14:paraId="1F79741C" w14:textId="51E3BFD1" w:rsidR="00992443" w:rsidRPr="0098155F" w:rsidRDefault="00992443" w:rsidP="00992443">
      <w:pPr>
        <w:pStyle w:val="Title1"/>
        <w:rPr>
          <w:rFonts w:cs="Arial"/>
          <w:b w:val="0"/>
          <w:bCs/>
          <w:szCs w:val="18"/>
          <w:lang w:val="en-US"/>
        </w:rPr>
      </w:pPr>
      <w:r w:rsidRPr="0098155F">
        <w:rPr>
          <w:rFonts w:cs="Arial"/>
          <w:bCs/>
          <w:szCs w:val="18"/>
          <w:lang w:val="en-US"/>
        </w:rPr>
        <w:lastRenderedPageBreak/>
        <w:t>DISCLAIMER</w:t>
      </w:r>
    </w:p>
    <w:p w14:paraId="26053991" w14:textId="31727278" w:rsidR="005E061B" w:rsidRPr="0055278F" w:rsidRDefault="007C3B76" w:rsidP="005E061B">
      <w:pPr>
        <w:pStyle w:val="paragraph"/>
        <w:rPr>
          <w:rFonts w:ascii="Arial" w:hAnsi="Arial" w:cs="Arial"/>
          <w:lang w:val="en-US"/>
        </w:rPr>
      </w:pPr>
      <w:r w:rsidRPr="0055278F">
        <w:rPr>
          <w:rStyle w:val="normaltextrun"/>
          <w:rFonts w:ascii="Arial" w:hAnsi="Arial" w:cs="Arial"/>
          <w:szCs w:val="24"/>
          <w:shd w:val="clear" w:color="auto" w:fill="FFFFFF"/>
          <w:lang w:val="en-US"/>
        </w:rPr>
        <w:t xml:space="preserve">This report ("Report") is provided by Rated Power S.L. ("RatedPower") for the use of the Client, which has entered into a separate written agreement with RatedPower. However, RatedPower makes no representations or warranties of any kind, expressed or implied, as to the accuracy, completeness, suitability or reliability of the Report, and shall not be liable or responsible for any damages of any kind arising out of or in connection with the Client's use of the </w:t>
      </w:r>
      <w:proofErr w:type="spellStart"/>
      <w:r w:rsidRPr="0055278F">
        <w:rPr>
          <w:rStyle w:val="normaltextrun"/>
          <w:rFonts w:ascii="Arial" w:hAnsi="Arial" w:cs="Arial"/>
          <w:szCs w:val="24"/>
          <w:shd w:val="clear" w:color="auto" w:fill="FFFFFF"/>
          <w:lang w:val="en-US"/>
        </w:rPr>
        <w:t>Report.Client</w:t>
      </w:r>
      <w:proofErr w:type="spellEnd"/>
      <w:r w:rsidRPr="0055278F">
        <w:rPr>
          <w:rStyle w:val="normaltextrun"/>
          <w:rFonts w:ascii="Arial" w:hAnsi="Arial" w:cs="Arial"/>
          <w:szCs w:val="24"/>
          <w:shd w:val="clear" w:color="auto" w:fill="FFFFFF"/>
          <w:lang w:val="en-US"/>
        </w:rPr>
        <w:t xml:space="preserve"> may provide </w:t>
      </w:r>
      <w:proofErr w:type="spellStart"/>
      <w:r w:rsidRPr="0055278F">
        <w:rPr>
          <w:rStyle w:val="normaltextrun"/>
          <w:rFonts w:ascii="Arial" w:hAnsi="Arial" w:cs="Arial"/>
          <w:szCs w:val="24"/>
          <w:shd w:val="clear" w:color="auto" w:fill="FFFFFF"/>
          <w:lang w:val="en-US"/>
        </w:rPr>
        <w:t>RatedPower</w:t>
      </w:r>
      <w:proofErr w:type="spellEnd"/>
      <w:r w:rsidRPr="0055278F">
        <w:rPr>
          <w:rStyle w:val="normaltextrun"/>
          <w:rFonts w:ascii="Arial" w:hAnsi="Arial" w:cs="Arial"/>
          <w:szCs w:val="24"/>
          <w:shd w:val="clear" w:color="auto" w:fill="FFFFFF"/>
          <w:lang w:val="en-US"/>
        </w:rPr>
        <w:t xml:space="preserve"> with its logo for its placement in the Report. The Client represents and warrants that it has all necessary rights and permissions to use and include the logo in the Report, and shall hold RatedPower harmless from any claim deriving from the use of any such logo in the Report.</w:t>
      </w:r>
    </w:p>
    <w:p w14:paraId="099B5987" w14:textId="6659C629" w:rsidR="00A34B7A" w:rsidRPr="0098155F" w:rsidRDefault="00A34B7A" w:rsidP="00952E7F">
      <w:pPr>
        <w:pStyle w:val="Title1nfs"/>
        <w:rPr>
          <w:rFonts w:ascii="Arial" w:hAnsi="Arial" w:cs="Arial"/>
          <w:lang w:val="en-US"/>
        </w:rPr>
      </w:pPr>
      <w:r w:rsidRPr="0098155F">
        <w:rPr>
          <w:rFonts w:ascii="Arial" w:hAnsi="Arial" w:cs="Arial"/>
          <w:lang w:val="en-US"/>
        </w:rPr>
        <w:br w:type="page"/>
      </w:r>
    </w:p>
    <w:p w14:paraId="1AF617CA" w14:textId="77777777" w:rsidR="00903F96" w:rsidRPr="0098155F" w:rsidRDefault="00903F96" w:rsidP="00903F96">
      <w:pPr>
        <w:pStyle w:val="Title1"/>
        <w:rPr>
          <w:rFonts w:cs="Arial"/>
          <w:b w:val="0"/>
          <w:bCs/>
          <w:szCs w:val="18"/>
          <w:lang w:val="en-US"/>
        </w:rPr>
      </w:pPr>
      <w:r w:rsidRPr="0098155F">
        <w:rPr>
          <w:rFonts w:cs="Arial"/>
          <w:bCs/>
          <w:szCs w:val="18"/>
          <w:lang w:val="en-US"/>
        </w:rPr>
        <w:lastRenderedPageBreak/>
        <w:t>TABLE OF CONTENTS</w:t>
      </w:r>
    </w:p>
    <w:p>
      <w:pPr>
        <w:pStyle w:val="CustomStyleLevelOne"/>
      </w:pPr>
      <w:hyperlink w:anchor="0">
        <w:r>
          <w:t>1. INTRODUCTION</w:t>
        </w:r>
      </w:hyperlink>
      <w:r>
        <w:t/>
      </w:r>
    </w:p>
    <w:p>
      <w:pPr>
        <w:pStyle w:val="CustomStyleLevelOne"/>
      </w:pPr>
      <w:hyperlink w:anchor="1">
        <w:r>
          <w:t>2. SITE</w:t>
        </w:r>
      </w:hyperlink>
      <w:r>
        <w:t/>
      </w:r>
    </w:p>
    <w:p>
      <w:pPr>
        <w:pStyle w:val="CustomStyleLevelTwo"/>
      </w:pPr>
      <w:hyperlink w:anchor="2">
        <w:r>
          <w:t>2.1. Location</w:t>
        </w:r>
      </w:hyperlink>
      <w:r>
        <w:t/>
      </w:r>
    </w:p>
    <w:p>
      <w:pPr>
        <w:pStyle w:val="CustomStyleLevelTwo"/>
      </w:pPr>
      <w:hyperlink w:anchor="3">
        <w:r>
          <w:t>2.2. Plot Areas</w:t>
        </w:r>
      </w:hyperlink>
      <w:r>
        <w:t/>
      </w:r>
    </w:p>
    <w:p>
      <w:pPr>
        <w:pStyle w:val="CustomStyleLevelTwo"/>
      </w:pPr>
      <w:hyperlink w:anchor="4">
        <w:r>
          <w:t>2.3. Topography</w:t>
        </w:r>
      </w:hyperlink>
      <w:r>
        <w:t/>
      </w:r>
    </w:p>
    <w:p>
      <w:pPr>
        <w:pStyle w:val="CustomStyleLevelTwo"/>
      </w:pPr>
      <w:hyperlink w:anchor="5">
        <w:r>
          <w:t>2.4. Horizon profile</w:t>
        </w:r>
      </w:hyperlink>
      <w:r>
        <w:t/>
      </w:r>
    </w:p>
    <w:p>
      <w:pPr>
        <w:pStyle w:val="CustomStyleLevelOne"/>
      </w:pPr>
      <w:hyperlink w:anchor="6">
        <w:r>
          <w:t>3. SOLAR RESOURCE</w:t>
        </w:r>
      </w:hyperlink>
      <w:r>
        <w:t/>
      </w:r>
    </w:p>
    <w:p>
      <w:pPr>
        <w:pStyle w:val="CustomStyleLevelTwo"/>
      </w:pPr>
      <w:hyperlink w:anchor="7">
        <w:r>
          <w:t>3.1. PVGIS data source</w:t>
        </w:r>
      </w:hyperlink>
      <w:r>
        <w:t/>
      </w:r>
    </w:p>
    <w:p>
      <w:pPr>
        <w:pStyle w:val="CustomStyleLevelTwo"/>
      </w:pPr>
      <w:hyperlink w:anchor="8">
        <w:r>
          <w:t>3.2. Typical Meteorological Year (P50)</w:t>
        </w:r>
      </w:hyperlink>
      <w:r>
        <w:t/>
      </w:r>
    </w:p>
    <w:p>
      <w:pPr>
        <w:pStyle w:val="CustomStyleLevelTwo"/>
      </w:pPr>
      <w:hyperlink w:anchor="9">
        <w:r>
          <w:t>3.3. Surface albedo</w:t>
        </w:r>
      </w:hyperlink>
      <w:r>
        <w:t/>
      </w:r>
    </w:p>
    <w:p>
      <w:pPr>
        <w:pStyle w:val="CustomStyleLevelOne"/>
      </w:pPr>
      <w:hyperlink w:anchor="10">
        <w:r>
          <w:t>4. DESCRIPTION OF THE PV PLANT</w:t>
        </w:r>
      </w:hyperlink>
      <w:r>
        <w:t/>
      </w:r>
    </w:p>
    <w:p>
      <w:pPr>
        <w:pStyle w:val="CustomStyleLevelTwo"/>
      </w:pPr>
      <w:hyperlink w:anchor="11">
        <w:r>
          <w:t>4.1. General description</w:t>
        </w:r>
      </w:hyperlink>
      <w:r>
        <w:t/>
      </w:r>
    </w:p>
    <w:p>
      <w:pPr>
        <w:pStyle w:val="CustomStyleLevelTwo"/>
      </w:pPr>
      <w:hyperlink w:anchor="12">
        <w:r>
          <w:t>4.2. Photovoltaic module</w:t>
        </w:r>
      </w:hyperlink>
      <w:r>
        <w:t/>
      </w:r>
    </w:p>
    <w:p>
      <w:pPr>
        <w:pStyle w:val="CustomStyleLevelTwo"/>
      </w:pPr>
      <w:hyperlink w:anchor="13">
        <w:r>
          <w:t>4.3. Single axis N-S tracker</w:t>
        </w:r>
      </w:hyperlink>
      <w:r>
        <w:t/>
      </w:r>
    </w:p>
    <w:p>
      <w:pPr>
        <w:pStyle w:val="CustomStyleLevelTwo"/>
      </w:pPr>
      <w:hyperlink w:anchor="14">
        <w:r>
          <w:t>4.4. String combiner box</w:t>
        </w:r>
      </w:hyperlink>
      <w:r>
        <w:t/>
      </w:r>
    </w:p>
    <w:p>
      <w:pPr>
        <w:pStyle w:val="CustomStyleLevelTwo"/>
      </w:pPr>
      <w:hyperlink w:anchor="15">
        <w:r>
          <w:t>4.5. Central inverter</w:t>
        </w:r>
      </w:hyperlink>
      <w:r>
        <w:t/>
      </w:r>
    </w:p>
    <w:p>
      <w:pPr>
        <w:pStyle w:val="CustomStyleLevelTwo"/>
      </w:pPr>
      <w:hyperlink w:anchor="16">
        <w:r>
          <w:t>4.6. Power transformer</w:t>
        </w:r>
      </w:hyperlink>
      <w:r>
        <w:t/>
      </w:r>
    </w:p>
    <w:p>
      <w:pPr>
        <w:pStyle w:val="CustomStyleLevelTwo"/>
      </w:pPr>
      <w:hyperlink w:anchor="17">
        <w:r>
          <w:t>4.7. Power Station</w:t>
        </w:r>
      </w:hyperlink>
      <w:r>
        <w:t/>
      </w:r>
    </w:p>
    <w:p>
      <w:pPr>
        <w:pStyle w:val="CustomStyleLevelOne"/>
      </w:pPr>
      <w:hyperlink w:anchor="18">
        <w:r>
          <w:t>5. CALCULATION METHODOLOGY</w:t>
        </w:r>
      </w:hyperlink>
      <w:r>
        <w:t/>
      </w:r>
    </w:p>
    <w:p>
      <w:pPr>
        <w:pStyle w:val="CustomStyleLevelOne"/>
      </w:pPr>
      <w:hyperlink w:anchor="19">
        <w:r>
          <w:t>6. LOSSES</w:t>
        </w:r>
      </w:hyperlink>
      <w:r>
        <w:t/>
      </w:r>
    </w:p>
    <w:p>
      <w:pPr>
        <w:pStyle w:val="CustomStyleLevelTwo"/>
      </w:pPr>
      <w:hyperlink w:anchor="20">
        <w:r>
          <w:t>6.1. Transposition of GHI to the plane of array</w:t>
        </w:r>
      </w:hyperlink>
      <w:r>
        <w:t/>
      </w:r>
    </w:p>
    <w:p>
      <w:pPr>
        <w:pStyle w:val="CustomStyleLevelTwo"/>
      </w:pPr>
      <w:hyperlink w:anchor="21">
        <w:r>
          <w:t>6.2. Ground shades effect in the back-face</w:t>
        </w:r>
      </w:hyperlink>
      <w:r>
        <w:t/>
      </w:r>
    </w:p>
    <w:p>
      <w:pPr>
        <w:pStyle w:val="CustomStyleLevelTwo"/>
      </w:pPr>
      <w:hyperlink w:anchor="22">
        <w:r>
          <w:t>6.3. Far shading</w:t>
        </w:r>
      </w:hyperlink>
      <w:r>
        <w:t/>
      </w:r>
    </w:p>
    <w:p>
      <w:pPr>
        <w:pStyle w:val="CustomStyleLevelTwo"/>
      </w:pPr>
      <w:hyperlink w:anchor="23">
        <w:r>
          <w:t>6.4. Near shading</w:t>
        </w:r>
      </w:hyperlink>
      <w:r>
        <w:t/>
      </w:r>
    </w:p>
    <w:p>
      <w:pPr>
        <w:pStyle w:val="CustomStyleLevelTwo"/>
      </w:pPr>
      <w:hyperlink w:anchor="24">
        <w:r>
          <w:t>6.5. Soiling</w:t>
        </w:r>
      </w:hyperlink>
      <w:r>
        <w:t/>
      </w:r>
    </w:p>
    <w:p>
      <w:pPr>
        <w:pStyle w:val="CustomStyleLevelTwo"/>
      </w:pPr>
      <w:hyperlink w:anchor="25">
        <w:r>
          <w:t>6.6. IAM effect</w:t>
        </w:r>
      </w:hyperlink>
      <w:r>
        <w:t/>
      </w:r>
    </w:p>
    <w:p>
      <w:pPr>
        <w:pStyle w:val="CustomStyleLevelTwo"/>
      </w:pPr>
      <w:hyperlink w:anchor="26">
        <w:r>
          <w:t>6.7. Photovoltaic module degradation</w:t>
        </w:r>
      </w:hyperlink>
      <w:r>
        <w:t/>
      </w:r>
    </w:p>
    <w:p>
      <w:pPr>
        <w:pStyle w:val="CustomStyleLevelTwo"/>
      </w:pPr>
      <w:hyperlink w:anchor="27">
        <w:r>
          <w:t>6.8. Irradiance level</w:t>
        </w:r>
      </w:hyperlink>
      <w:r>
        <w:t/>
      </w:r>
    </w:p>
    <w:p>
      <w:pPr>
        <w:pStyle w:val="CustomStyleLevelTwo"/>
      </w:pPr>
      <w:hyperlink w:anchor="28">
        <w:r>
          <w:t>6.9. Temperature loss</w:t>
        </w:r>
      </w:hyperlink>
      <w:r>
        <w:t/>
      </w:r>
    </w:p>
    <w:p>
      <w:pPr>
        <w:pStyle w:val="CustomStyleLevelTwo"/>
      </w:pPr>
      <w:hyperlink w:anchor="29">
        <w:r>
          <w:t>6.10. Photovoltaic module quality</w:t>
        </w:r>
      </w:hyperlink>
      <w:r>
        <w:t/>
      </w:r>
    </w:p>
    <w:p>
      <w:pPr>
        <w:pStyle w:val="CustomStyleLevelTwo"/>
      </w:pPr>
      <w:hyperlink w:anchor="30">
        <w:r>
          <w:t>6.11. Light induced degradation</w:t>
        </w:r>
      </w:hyperlink>
      <w:r>
        <w:t/>
      </w:r>
    </w:p>
    <w:p>
      <w:pPr>
        <w:pStyle w:val="CustomStyleLevelTwo"/>
      </w:pPr>
      <w:hyperlink w:anchor="31">
        <w:r>
          <w:t>6.12. Bifacial mismatch</w:t>
        </w:r>
      </w:hyperlink>
      <w:r>
        <w:t/>
      </w:r>
    </w:p>
    <w:p>
      <w:pPr>
        <w:pStyle w:val="CustomStyleLevelTwo"/>
      </w:pPr>
      <w:hyperlink w:anchor="32">
        <w:r>
          <w:t>6.13. Electrical mismatch</w:t>
        </w:r>
      </w:hyperlink>
      <w:r>
        <w:t/>
      </w:r>
    </w:p>
    <w:p>
      <w:pPr>
        <w:pStyle w:val="CustomStyleLevelTwo"/>
      </w:pPr>
      <w:hyperlink w:anchor="33">
        <w:r>
          <w:t>6.14. Shading mismatch</w:t>
        </w:r>
      </w:hyperlink>
      <w:r>
        <w:t/>
      </w:r>
    </w:p>
    <w:p>
      <w:pPr>
        <w:pStyle w:val="CustomStyleLevelTwo"/>
      </w:pPr>
      <w:hyperlink w:anchor="34">
        <w:r>
          <w:t>6.15. DC cable losses</w:t>
        </w:r>
      </w:hyperlink>
      <w:r>
        <w:t/>
      </w:r>
    </w:p>
    <w:p>
      <w:pPr>
        <w:pStyle w:val="CustomStyleLevelTwo"/>
      </w:pPr>
      <w:hyperlink w:anchor="35">
        <w:r>
          <w:t>6.16. Inverter loss</w:t>
        </w:r>
      </w:hyperlink>
      <w:r>
        <w:t/>
      </w:r>
    </w:p>
    <w:p>
      <w:pPr>
        <w:pStyle w:val="CustomStyleLevelTwo"/>
      </w:pPr>
      <w:hyperlink w:anchor="36">
        <w:r>
          <w:t>6.17. AC cable losses from inverter to transformer</w:t>
        </w:r>
      </w:hyperlink>
      <w:r>
        <w:t/>
      </w:r>
    </w:p>
    <w:p>
      <w:pPr>
        <w:pStyle w:val="CustomStyleLevelTwo"/>
      </w:pPr>
      <w:hyperlink w:anchor="37">
        <w:r>
          <w:t>6.18. Power station transformer loss</w:t>
        </w:r>
      </w:hyperlink>
      <w:r>
        <w:t/>
      </w:r>
    </w:p>
    <w:p>
      <w:pPr>
        <w:pStyle w:val="CustomStyleLevelTwo"/>
      </w:pPr>
      <w:hyperlink w:anchor="38">
        <w:r>
          <w:t>6.19. Medium voltage network losses (MV cables)</w:t>
        </w:r>
      </w:hyperlink>
      <w:r>
        <w:t/>
      </w:r>
    </w:p>
    <w:p>
      <w:pPr>
        <w:pStyle w:val="CustomStyleLevelTwo"/>
      </w:pPr>
      <w:hyperlink w:anchor="39">
        <w:r>
          <w:t>6.20. Photovoltaic plant auxiliary consumptions</w:t>
        </w:r>
      </w:hyperlink>
      <w:r>
        <w:t/>
      </w:r>
    </w:p>
    <w:p>
      <w:pPr>
        <w:pStyle w:val="CustomStyleLevelTwo"/>
      </w:pPr>
      <w:hyperlink w:anchor="40">
        <w:r>
          <w:t>6.21. Substation transformer</w:t>
        </w:r>
      </w:hyperlink>
      <w:r>
        <w:t/>
      </w:r>
    </w:p>
    <w:p>
      <w:pPr>
        <w:pStyle w:val="CustomStyleLevelTwo"/>
      </w:pPr>
      <w:hyperlink w:anchor="41">
        <w:r>
          <w:t>6.22. HV line to grid</w:t>
        </w:r>
      </w:hyperlink>
      <w:r>
        <w:t/>
      </w:r>
    </w:p>
    <w:p>
      <w:pPr>
        <w:pStyle w:val="CustomStyleLevelTwo"/>
      </w:pPr>
      <w:hyperlink w:anchor="42">
        <w:r>
          <w:t>6.23. Plant unavailability</w:t>
        </w:r>
      </w:hyperlink>
      <w:r>
        <w:t/>
      </w:r>
    </w:p>
    <w:p>
      <w:pPr>
        <w:pStyle w:val="CustomStyleLevelOne"/>
      </w:pPr>
      <w:hyperlink w:anchor="43">
        <w:r>
          <w:t>7. ENERGY YIELD RESULTS</w:t>
        </w:r>
      </w:hyperlink>
      <w:r>
        <w:t/>
      </w:r>
    </w:p>
    <w:p>
      <w:pPr>
        <w:pStyle w:val="CustomStyleLevelTwo"/>
      </w:pPr>
      <w:hyperlink w:anchor="44">
        <w:r>
          <w:t>7.1. First year energy yield and losses (P50)</w:t>
        </w:r>
      </w:hyperlink>
      <w:r>
        <w:t/>
      </w:r>
    </w:p>
    <w:p>
      <w:pPr>
        <w:pStyle w:val="CustomStyleLevelTwo"/>
      </w:pPr>
      <w:hyperlink w:anchor="45">
        <w:r>
          <w:t>7.2. First year nighttime consumption</w:t>
        </w:r>
      </w:hyperlink>
      <w:r>
        <w:t/>
      </w:r>
    </w:p>
    <w:p>
      <w:pPr>
        <w:pStyle w:val="CustomStyleLevelTwo"/>
      </w:pPr>
      <w:hyperlink w:anchor="46">
        <w:r>
          <w:t>7.3. 25 years energy yield (P50)</w:t>
        </w:r>
      </w:hyperlink>
      <w:r>
        <w:t/>
      </w:r>
    </w:p>
    <w:p>
      <w:pPr>
        <w:pStyle w:val="CustomStyleLevelTwo"/>
      </w:pPr>
      <w:hyperlink w:anchor="47">
        <w:r>
          <w:t>7.4. Probabilistic yield estimation</w:t>
        </w:r>
      </w:hyperlink>
      <w:r>
        <w:t/>
      </w:r>
    </w:p>
    <w:p>
      <w:pPr>
        <w:pStyle w:val="CustomStyleLevelTwo"/>
      </w:pPr>
      <w:hyperlink w:anchor="48">
        <w:r>
          <w:t>7.5. Battery Energy Storage System</w:t>
        </w:r>
      </w:hyperlink>
      <w:r>
        <w:t/>
      </w:r>
    </w:p>
    <w:p w14:paraId="5EFAC303" w14:textId="77777777" w:rsidR="00903F96" w:rsidRPr="0098155F" w:rsidRDefault="00903F96" w:rsidP="00903F96">
      <w:pPr>
        <w:pStyle w:val="Title2Index"/>
        <w:rPr>
          <w:rFonts w:cs="Arial"/>
          <w:lang w:val="en-US"/>
        </w:rPr>
      </w:pPr>
      <w:r w:rsidRPr="0098155F">
        <w:rPr>
          <w:rFonts w:cs="Arial"/>
          <w:lang w:val="en-US"/>
        </w:rPr>
        <w:br w:type="page"/>
      </w:r>
    </w:p>
    <w:p w14:paraId="55183F34" w14:textId="77777777" w:rsidR="00903F96" w:rsidRPr="0098155F" w:rsidRDefault="00903F96" w:rsidP="00903F96">
      <w:pPr>
        <w:pStyle w:val="Title1"/>
        <w:rPr>
          <w:rFonts w:cs="Arial"/>
          <w:b w:val="0"/>
          <w:bCs/>
          <w:szCs w:val="18"/>
          <w:lang w:val="en-US"/>
        </w:rPr>
      </w:pPr>
      <w:r>
        <w:rPr>
          <w:rFonts w:ascii="Arial" w:hAnsi="Arial" w:cs="Arial" w:eastAsia="Arial"/>
          <w:b w:val="true"/>
          <w:sz w:val="32"/>
        </w:rPr>
        <w:t xml:space="preserve">1. </w:t>
      </w:r>
      <w:bookmarkStart w:id="0" w:name="0"/>
      <w:r>
        <w:rPr>
          <w:rFonts w:ascii="Arial" w:hAnsi="Arial" w:cs="Arial" w:eastAsia="Arial"/>
          <w:b w:val="true"/>
          <w:sz w:val="32"/>
        </w:rPr>
        <w:t>INTRODUCTION</w:t>
      </w:r>
      <w:bookmarkEnd w:id="0"/>
    </w:p>
    <w:p w14:paraId="1E3D8410" w14:textId="77777777" w:rsidR="00903F96" w:rsidRPr="0098155F" w:rsidRDefault="00903F96" w:rsidP="00903F96">
      <w:pPr>
        <w:pStyle w:val="paragraph"/>
        <w:rPr>
          <w:rFonts w:ascii="Arial" w:hAnsi="Arial" w:cs="Arial"/>
          <w:noProof/>
          <w:lang w:val="en-US"/>
        </w:rPr>
      </w:pPr>
      <w:r w:rsidRPr="0098155F">
        <w:rPr>
          <w:rFonts w:ascii="Arial" w:hAnsi="Arial" w:cs="Arial"/>
          <w:lang w:val="en-US"/>
        </w:rPr>
        <w:t>The</w:t>
      </w:r>
      <w:r w:rsidRPr="0098155F">
        <w:rPr>
          <w:rFonts w:ascii="Arial" w:hAnsi="Arial" w:cs="Arial"/>
          <w:noProof/>
          <w:lang w:val="en-US"/>
        </w:rPr>
        <w:t xml:space="preserve"> purpose of this report, produced by RatedPower, is to describe the methodology used to compute the energy yield of the photovoltaic plant and present the results obtained. </w:t>
      </w:r>
    </w:p>
    <w:p w14:paraId="390008F1" w14:textId="77777777" w:rsidR="00903F96" w:rsidRPr="0098155F" w:rsidRDefault="00903F96" w:rsidP="00903F96">
      <w:pPr>
        <w:pStyle w:val="paragraph"/>
        <w:rPr>
          <w:rFonts w:ascii="Arial" w:hAnsi="Arial" w:cs="Arial"/>
          <w:noProof/>
          <w:lang w:val="en-US"/>
        </w:rPr>
      </w:pPr>
      <w:bookmarkStart w:id="0" w:name="_Hlk513632042"/>
      <w:r>
        <w:rPr>
          <w:b w:val="false"/>
        </w:rPr>
        <w:t>A summary of these results is provided in Table 1.</w:t>
      </w:r>
    </w:p>
    <w:p w14:paraId="5163E90E" w14:textId="77777777" w:rsidR="00903F96" w:rsidRPr="0098155F" w:rsidRDefault="00903F96" w:rsidP="00903F96">
      <w:pPr>
        <w:pStyle w:val="NameTableImg"/>
        <w:rPr>
          <w:rFonts w:cs="Arial"/>
          <w:noProof/>
          <w:lang w:val="en-US"/>
        </w:rPr>
      </w:pPr>
      <w:r>
        <w:rPr>
          <w:b w:val="false"/>
          <w:i w:val="true"/>
        </w:rPr>
        <w:t>Table 1. Summary of the results.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3685"/>
      </w:tblGrid>
      <w:tr w:rsidR="00BB5186" w:rsidRPr="00BB5186" w14:paraId="6C8722B5" w14:textId="77777777" w:rsidTr="00BB5186">
        <w:trPr>
          <w:jc w:val="center"/>
        </w:trPr>
        <w:tc>
          <w:tcPr>
            <w:tcW w:w="4253" w:type="dxa"/>
            <w:shd w:val="clear" w:color="auto" w:fill="989E95"/>
            <w:vAlign w:val="center"/>
          </w:tcPr>
          <w:p w14:paraId="00F0A052" w14:textId="77777777" w:rsidR="00903F96" w:rsidRPr="00BB5186" w:rsidRDefault="00903F96" w:rsidP="00C96B85">
            <w:pPr>
              <w:pStyle w:val="paragraph"/>
              <w:spacing w:after="100"/>
              <w:jc w:val="left"/>
              <w:textAlignment w:val="center"/>
              <w:rPr>
                <w:rFonts w:ascii="Arial" w:hAnsi="Arial" w:cs="Arial"/>
                <w:bCs/>
                <w:sz w:val="28"/>
                <w:szCs w:val="24"/>
                <w:lang w:val="en-US"/>
              </w:rPr>
            </w:pPr>
            <w:r w:rsidRPr="00BB5186">
              <w:rPr>
                <w:rFonts w:ascii="Arial" w:hAnsi="Arial" w:cs="Arial"/>
                <w:bCs/>
                <w:sz w:val="28"/>
                <w:szCs w:val="24"/>
                <w:lang w:val="en-US"/>
              </w:rPr>
              <w:t>Description</w:t>
            </w:r>
          </w:p>
        </w:tc>
        <w:tc>
          <w:tcPr>
            <w:tcW w:w="3685" w:type="dxa"/>
            <w:shd w:val="clear" w:color="auto" w:fill="989E95"/>
            <w:vAlign w:val="center"/>
          </w:tcPr>
          <w:p w14:paraId="2A432249" w14:textId="77777777" w:rsidR="00903F96" w:rsidRPr="00BB5186" w:rsidRDefault="00903F96" w:rsidP="00C96B85">
            <w:pPr>
              <w:pStyle w:val="paragraph"/>
              <w:spacing w:after="100"/>
              <w:jc w:val="right"/>
              <w:textAlignment w:val="center"/>
              <w:rPr>
                <w:rFonts w:ascii="Arial" w:hAnsi="Arial" w:cs="Arial"/>
                <w:bCs/>
                <w:sz w:val="28"/>
                <w:szCs w:val="24"/>
                <w:lang w:val="en-US"/>
              </w:rPr>
            </w:pPr>
            <w:r w:rsidRPr="00BB5186">
              <w:rPr>
                <w:rFonts w:ascii="Arial" w:hAnsi="Arial" w:cs="Arial"/>
                <w:bCs/>
                <w:sz w:val="28"/>
                <w:szCs w:val="24"/>
                <w:lang w:val="en-US"/>
              </w:rPr>
              <w:t>Value</w:t>
            </w:r>
          </w:p>
        </w:tc>
      </w:tr>
      <w:tr w:rsidR="000D7300" w:rsidRPr="000D7300" w14:paraId="27B7DB17" w14:textId="77777777" w:rsidTr="000D7300">
        <w:trPr>
          <w:jc w:val="center"/>
        </w:trPr>
        <w:tc>
          <w:tcPr>
            <w:tcW w:w="4253" w:type="dxa"/>
            <w:shd w:val="clear" w:color="auto" w:fill="B8BDB5"/>
            <w:vAlign w:val="center"/>
          </w:tcPr>
          <w:p w14:paraId="174B7D71" w14:textId="77777777" w:rsidR="00903F96" w:rsidRPr="0048682E" w:rsidRDefault="00903F96" w:rsidP="00C96B85">
            <w:pPr>
              <w:spacing w:after="100"/>
              <w:textAlignment w:val="center"/>
              <w:rPr>
                <w:rFonts w:ascii="Arial" w:hAnsi="Arial" w:cs="Arial"/>
                <w:b/>
                <w:sz w:val="24"/>
                <w:szCs w:val="24"/>
                <w:lang w:val="en-US"/>
              </w:rPr>
            </w:pPr>
            <w:r w:rsidRPr="0048682E">
              <w:rPr>
                <w:rFonts w:ascii="Arial" w:hAnsi="Arial" w:cs="Arial"/>
                <w:b/>
                <w:sz w:val="24"/>
                <w:szCs w:val="24"/>
                <w:lang w:val="en-US"/>
              </w:rPr>
              <w:t>Solar resource</w:t>
            </w:r>
          </w:p>
        </w:tc>
        <w:tc>
          <w:tcPr>
            <w:tcW w:w="3685" w:type="dxa"/>
            <w:shd w:val="clear" w:color="auto" w:fill="B8BDB5"/>
            <w:vAlign w:val="center"/>
          </w:tcPr>
          <w:p w14:paraId="461827B3" w14:textId="77777777" w:rsidR="00903F96" w:rsidRPr="0048682E" w:rsidRDefault="00903F96" w:rsidP="00C96B85">
            <w:pPr>
              <w:spacing w:after="100"/>
              <w:jc w:val="right"/>
              <w:textAlignment w:val="center"/>
              <w:rPr>
                <w:rFonts w:ascii="Arial" w:hAnsi="Arial" w:cs="Arial"/>
                <w:b/>
                <w:sz w:val="24"/>
                <w:szCs w:val="24"/>
                <w:lang w:val="en-US"/>
              </w:rPr>
            </w:pPr>
          </w:p>
        </w:tc>
      </w:tr>
      <w:tr w:rsidR="00903F96" w:rsidRPr="0098155F" w14:paraId="1F355BA8" w14:textId="77777777" w:rsidTr="00C96B85">
        <w:trPr>
          <w:jc w:val="center"/>
        </w:trPr>
        <w:tc>
          <w:tcPr>
            <w:tcW w:w="4253" w:type="dxa"/>
            <w:shd w:val="clear" w:color="auto" w:fill="FFFFFF" w:themeFill="text1"/>
            <w:vAlign w:val="center"/>
          </w:tcPr>
          <w:p w14:paraId="535CCBC2"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Global horizontal irradiance</w:t>
            </w:r>
          </w:p>
        </w:tc>
        <w:tc>
          <w:tcPr>
            <w:tcW w:w="3685" w:type="dxa"/>
            <w:shd w:val="clear" w:color="auto" w:fill="FFFFFF" w:themeFill="text1"/>
            <w:vAlign w:val="center"/>
          </w:tcPr>
          <w:p w14:paraId="2A01B97B"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1888.4 kWh/m2</w:t>
            </w:r>
          </w:p>
        </w:tc>
      </w:tr>
      <w:tr w:rsidR="00903F96" w:rsidRPr="0098155F" w14:paraId="26FDC392" w14:textId="77777777" w:rsidTr="00C96B85">
        <w:trPr>
          <w:jc w:val="center"/>
        </w:trPr>
        <w:tc>
          <w:tcPr>
            <w:tcW w:w="4253" w:type="dxa"/>
            <w:shd w:val="clear" w:color="auto" w:fill="FFFFFF" w:themeFill="text1"/>
            <w:vAlign w:val="center"/>
          </w:tcPr>
          <w:p w14:paraId="5D0A09CE"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Average temperature</w:t>
            </w:r>
          </w:p>
        </w:tc>
        <w:tc>
          <w:tcPr>
            <w:tcW w:w="3685" w:type="dxa"/>
            <w:shd w:val="clear" w:color="auto" w:fill="FFFFFF" w:themeFill="text1"/>
            <w:vAlign w:val="center"/>
          </w:tcPr>
          <w:p w14:paraId="65271281"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18.13 °C</w:t>
            </w:r>
          </w:p>
        </w:tc>
      </w:tr>
      <w:tr w:rsidR="00903F96" w:rsidRPr="0098155F" w14:paraId="5C03E4AA" w14:textId="77777777" w:rsidTr="00C96B85">
        <w:trPr>
          <w:jc w:val="center"/>
        </w:trPr>
        <w:tc>
          <w:tcPr>
            <w:tcW w:w="4253" w:type="dxa"/>
            <w:shd w:val="clear" w:color="auto" w:fill="FFFFFF" w:themeFill="text1"/>
            <w:vAlign w:val="center"/>
          </w:tcPr>
          <w:p w14:paraId="7044704F"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Data source</w:t>
            </w:r>
          </w:p>
        </w:tc>
        <w:tc>
          <w:tcPr>
            <w:tcW w:w="3685" w:type="dxa"/>
            <w:shd w:val="clear" w:color="auto" w:fill="FFFFFF" w:themeFill="text1"/>
            <w:vAlign w:val="center"/>
          </w:tcPr>
          <w:p w14:paraId="0C95705A"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PVGIS</w:t>
            </w:r>
          </w:p>
        </w:tc>
      </w:tr>
      <w:tr w:rsidR="000D7300" w:rsidRPr="000D7300" w14:paraId="4389C8A0" w14:textId="77777777" w:rsidTr="000D7300">
        <w:trPr>
          <w:jc w:val="center"/>
        </w:trPr>
        <w:tc>
          <w:tcPr>
            <w:tcW w:w="4253" w:type="dxa"/>
            <w:shd w:val="clear" w:color="auto" w:fill="B8BDB5"/>
            <w:vAlign w:val="center"/>
          </w:tcPr>
          <w:p w14:paraId="1C6841E6" w14:textId="77777777" w:rsidR="00903F96" w:rsidRPr="0048682E" w:rsidRDefault="00903F96" w:rsidP="00C96B85">
            <w:pPr>
              <w:spacing w:after="100"/>
              <w:textAlignment w:val="center"/>
              <w:rPr>
                <w:rFonts w:ascii="Arial" w:hAnsi="Arial" w:cs="Arial"/>
                <w:b/>
                <w:sz w:val="24"/>
                <w:szCs w:val="24"/>
                <w:lang w:val="en-US"/>
              </w:rPr>
            </w:pPr>
            <w:r w:rsidRPr="0048682E">
              <w:rPr>
                <w:rFonts w:ascii="Arial" w:hAnsi="Arial" w:cs="Arial"/>
                <w:b/>
                <w:sz w:val="24"/>
                <w:szCs w:val="24"/>
                <w:lang w:val="en-US"/>
              </w:rPr>
              <w:t>Energy yield (year 1)</w:t>
            </w:r>
          </w:p>
        </w:tc>
        <w:tc>
          <w:tcPr>
            <w:tcW w:w="3685" w:type="dxa"/>
            <w:shd w:val="clear" w:color="auto" w:fill="B8BDB5"/>
            <w:vAlign w:val="center"/>
          </w:tcPr>
          <w:p w14:paraId="66B4DCDC" w14:textId="77777777" w:rsidR="00903F96" w:rsidRPr="0048682E" w:rsidRDefault="00903F96" w:rsidP="00C96B85">
            <w:pPr>
              <w:spacing w:after="100"/>
              <w:jc w:val="right"/>
              <w:textAlignment w:val="center"/>
              <w:rPr>
                <w:rFonts w:ascii="Arial" w:hAnsi="Arial" w:cs="Arial"/>
                <w:b/>
                <w:sz w:val="24"/>
                <w:szCs w:val="24"/>
                <w:lang w:val="en-US"/>
              </w:rPr>
            </w:pPr>
          </w:p>
        </w:tc>
      </w:tr>
      <w:tr w:rsidR="00903F96" w:rsidRPr="0098155F" w14:paraId="2E10B5D0" w14:textId="77777777" w:rsidTr="00C96B85">
        <w:trPr>
          <w:jc w:val="center"/>
        </w:trPr>
        <w:tc>
          <w:tcPr>
            <w:tcW w:w="4253" w:type="dxa"/>
            <w:shd w:val="clear" w:color="auto" w:fill="FFFFFF" w:themeFill="text1"/>
            <w:vAlign w:val="center"/>
          </w:tcPr>
          <w:p w14:paraId="17E280C3"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Specific production</w:t>
            </w:r>
          </w:p>
        </w:tc>
        <w:tc>
          <w:tcPr>
            <w:tcW w:w="3685" w:type="dxa"/>
            <w:shd w:val="clear" w:color="auto" w:fill="FFFFFF" w:themeFill="text1"/>
            <w:vAlign w:val="center"/>
          </w:tcPr>
          <w:p w14:paraId="67727C20" w14:textId="77777777" w:rsidR="00903F96" w:rsidRPr="0048682E" w:rsidRDefault="00903F96" w:rsidP="00C96B85">
            <w:pPr>
              <w:pStyle w:val=""/>
              <w:spacing w:after="100"/>
              <w:jc w:val="right"/>
              <w:textAlignment w:val="center"/>
              <w:rPr>
                <w:rFonts w:ascii="Arial" w:hAnsi="Arial" w:cs="Arial"/>
                <w:sz w:val="24"/>
                <w:szCs w:val="24"/>
                <w:lang w:val="en-US"/>
              </w:rPr>
            </w:pPr>
            <w:proofErr w:type="spellStart"/>
            <w:proofErr w:type="spellEnd"/>
            <w:r>
              <w:rPr>
                <w:b w:val="false"/>
              </w:rPr>
              <w:t>2155.3 kWh/kWp</w:t>
            </w:r>
          </w:p>
        </w:tc>
      </w:tr>
      <w:tr w:rsidR="00903F96" w:rsidRPr="0098155F" w14:paraId="5F84D6AF" w14:textId="77777777" w:rsidTr="00C96B85">
        <w:trPr>
          <w:jc w:val="center"/>
        </w:trPr>
        <w:tc>
          <w:tcPr>
            <w:tcW w:w="4253" w:type="dxa"/>
            <w:shd w:val="clear" w:color="auto" w:fill="FFFFFF" w:themeFill="text1"/>
            <w:vAlign w:val="center"/>
          </w:tcPr>
          <w:p w14:paraId="521BAC67"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Performance ratio</w:t>
            </w:r>
          </w:p>
        </w:tc>
        <w:tc>
          <w:tcPr>
            <w:tcW w:w="3685" w:type="dxa"/>
            <w:shd w:val="clear" w:color="auto" w:fill="FFFFFF" w:themeFill="text1"/>
            <w:vAlign w:val="center"/>
          </w:tcPr>
          <w:p w14:paraId="0AB1BBF8"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86.40 %</w:t>
            </w:r>
          </w:p>
        </w:tc>
      </w:tr>
      <w:tr w:rsidR="00903F96" w:rsidRPr="0098155F" w14:paraId="252B95D4" w14:textId="77777777" w:rsidTr="00C96B85">
        <w:trPr>
          <w:jc w:val="center"/>
        </w:trPr>
        <w:tc>
          <w:tcPr>
            <w:tcW w:w="4253" w:type="dxa"/>
            <w:shd w:val="clear" w:color="auto" w:fill="FFFFFF" w:themeFill="text1"/>
            <w:vAlign w:val="center"/>
          </w:tcPr>
          <w:p w14:paraId="062CDD41"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Energy injected to grid</w:t>
            </w:r>
          </w:p>
        </w:tc>
        <w:tc>
          <w:tcPr>
            <w:tcW w:w="3685" w:type="dxa"/>
            <w:shd w:val="clear" w:color="auto" w:fill="FFFFFF" w:themeFill="text1"/>
            <w:vAlign w:val="center"/>
          </w:tcPr>
          <w:p w14:paraId="0230CCC0"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78.42 GWh</w:t>
            </w:r>
          </w:p>
        </w:tc>
      </w:tr>
      <w:tr w:rsidR="00903F96" w:rsidRPr="0098155F" w14:paraId="713F6FA6" w14:textId="77777777" w:rsidTr="00C96B85">
        <w:trPr>
          <w:jc w:val="center"/>
        </w:trPr>
        <w:tc>
          <w:tcPr>
            <w:tcW w:w="4253" w:type="dxa"/>
            <w:shd w:val="clear" w:color="auto" w:fill="FFFFFF" w:themeFill="text1"/>
            <w:vAlign w:val="center"/>
          </w:tcPr>
          <w:p w14:paraId="141FA2B7"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Nighttime consumption</w:t>
            </w:r>
          </w:p>
        </w:tc>
        <w:tc>
          <w:tcPr>
            <w:tcW w:w="3685" w:type="dxa"/>
            <w:shd w:val="clear" w:color="auto" w:fill="FFFFFF" w:themeFill="text1"/>
            <w:vAlign w:val="center"/>
          </w:tcPr>
          <w:p w14:paraId="1CB1EF8B"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-272.85 MWh</w:t>
            </w:r>
          </w:p>
        </w:tc>
      </w:tr>
      <w:tr w:rsidR="00903F96" w:rsidRPr="0098155F" w14:paraId="4103C22B" w14:textId="77777777" w:rsidTr="00C96B85">
        <w:trPr>
          <w:jc w:val="center"/>
        </w:trPr>
        <w:tc>
          <w:tcPr>
            <w:tcW w:w="4253" w:type="dxa"/>
            <w:shd w:val="clear" w:color="auto" w:fill="FFFFFF" w:themeFill="text1"/>
            <w:vAlign w:val="center"/>
          </w:tcPr>
          <w:p w14:paraId="29AB3070"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Net energy yield</w:t>
            </w:r>
          </w:p>
        </w:tc>
        <w:tc>
          <w:tcPr>
            <w:tcW w:w="3685" w:type="dxa"/>
            <w:shd w:val="clear" w:color="auto" w:fill="FFFFFF" w:themeFill="text1"/>
            <w:vAlign w:val="center"/>
          </w:tcPr>
          <w:p w14:paraId="276DF95A"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78.2 GWh</w:t>
            </w:r>
          </w:p>
        </w:tc>
      </w:tr>
      <w:tr w:rsidR="000D7300" w:rsidRPr="00400390" w14:paraId="23EB13EF" w14:textId="77777777" w:rsidTr="000D7300">
        <w:trPr>
          <w:jc w:val="center"/>
        </w:trPr>
        <w:tc>
          <w:tcPr>
            <w:tcW w:w="4253" w:type="dxa"/>
            <w:shd w:val="clear" w:color="auto" w:fill="B8BDB5"/>
            <w:vAlign w:val="center"/>
          </w:tcPr>
          <w:p w14:paraId="483CC89B" w14:textId="77777777" w:rsidR="00903F96" w:rsidRPr="0048682E" w:rsidRDefault="00903F96" w:rsidP="00C96B85">
            <w:pPr>
              <w:pStyle w:val=""/>
              <w:spacing w:after="100"/>
              <w:textAlignment w:val="center"/>
              <w:rPr>
                <w:rFonts w:ascii="Arial" w:hAnsi="Arial" w:cs="Arial"/>
                <w:b/>
                <w:sz w:val="24"/>
                <w:szCs w:val="24"/>
                <w:lang w:val="en-US"/>
              </w:rPr>
            </w:pPr>
            <w:r>
              <w:rPr>
                <w:b w:val="true"/>
              </w:rPr>
              <w:t>Energy yield (25 years average)</w:t>
            </w:r>
          </w:p>
        </w:tc>
        <w:tc>
          <w:tcPr>
            <w:tcW w:w="3685" w:type="dxa"/>
            <w:shd w:val="clear" w:color="auto" w:fill="B8BDB5"/>
            <w:vAlign w:val="center"/>
          </w:tcPr>
          <w:p w14:paraId="5EE8CC1B" w14:textId="77777777" w:rsidR="00903F96" w:rsidRPr="0048682E" w:rsidRDefault="00903F96" w:rsidP="00C96B85">
            <w:pPr>
              <w:spacing w:after="100"/>
              <w:jc w:val="right"/>
              <w:textAlignment w:val="center"/>
              <w:rPr>
                <w:rFonts w:ascii="Arial" w:hAnsi="Arial" w:cs="Arial"/>
                <w:sz w:val="24"/>
                <w:szCs w:val="24"/>
                <w:lang w:val="en-US"/>
              </w:rPr>
            </w:pPr>
          </w:p>
        </w:tc>
      </w:tr>
      <w:tr w:rsidR="00903F96" w:rsidRPr="0098155F" w14:paraId="6B9C6551" w14:textId="77777777" w:rsidTr="00C96B85">
        <w:trPr>
          <w:jc w:val="center"/>
        </w:trPr>
        <w:tc>
          <w:tcPr>
            <w:tcW w:w="4253" w:type="dxa"/>
            <w:shd w:val="clear" w:color="auto" w:fill="FFFFFF" w:themeFill="text1"/>
            <w:vAlign w:val="center"/>
          </w:tcPr>
          <w:p w14:paraId="0C686F6D"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Specific production</w:t>
            </w:r>
          </w:p>
        </w:tc>
        <w:tc>
          <w:tcPr>
            <w:tcW w:w="3685" w:type="dxa"/>
            <w:shd w:val="clear" w:color="auto" w:fill="FFFFFF" w:themeFill="text1"/>
            <w:vAlign w:val="center"/>
          </w:tcPr>
          <w:p w14:paraId="1D875389" w14:textId="77777777" w:rsidR="00903F96" w:rsidRPr="0048682E" w:rsidRDefault="00903F96" w:rsidP="00C96B85">
            <w:pPr>
              <w:pStyle w:val=""/>
              <w:spacing w:after="100"/>
              <w:jc w:val="right"/>
              <w:textAlignment w:val="center"/>
              <w:rPr>
                <w:rFonts w:ascii="Arial" w:hAnsi="Arial" w:cs="Arial"/>
                <w:sz w:val="24"/>
                <w:szCs w:val="24"/>
                <w:lang w:val="en-US"/>
              </w:rPr>
            </w:pPr>
            <w:proofErr w:type="spellStart"/>
            <w:proofErr w:type="spellEnd"/>
            <w:r>
              <w:rPr>
                <w:b w:val="false"/>
              </w:rPr>
              <w:t>2092.2 kWh/kWp</w:t>
            </w:r>
          </w:p>
        </w:tc>
      </w:tr>
      <w:tr w:rsidR="00903F96" w:rsidRPr="0098155F" w14:paraId="12251705" w14:textId="77777777" w:rsidTr="00C96B85">
        <w:trPr>
          <w:jc w:val="center"/>
        </w:trPr>
        <w:tc>
          <w:tcPr>
            <w:tcW w:w="4253" w:type="dxa"/>
            <w:shd w:val="clear" w:color="auto" w:fill="FFFFFF" w:themeFill="text1"/>
            <w:vAlign w:val="center"/>
          </w:tcPr>
          <w:p w14:paraId="69E7B741"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Energy yield</w:t>
            </w:r>
          </w:p>
        </w:tc>
        <w:tc>
          <w:tcPr>
            <w:tcW w:w="3685" w:type="dxa"/>
            <w:shd w:val="clear" w:color="auto" w:fill="FFFFFF" w:themeFill="text1"/>
            <w:vAlign w:val="center"/>
          </w:tcPr>
          <w:p w14:paraId="796E28ED"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1903.2 GWh</w:t>
            </w:r>
          </w:p>
        </w:tc>
      </w:tr>
      <w:tr w:rsidR="00903F96" w:rsidRPr="0098155F" w14:paraId="162741E2" w14:textId="77777777" w:rsidTr="00C96B85">
        <w:trPr>
          <w:jc w:val="center"/>
        </w:trPr>
        <w:tc>
          <w:tcPr>
            <w:tcW w:w="4253" w:type="dxa"/>
            <w:shd w:val="clear" w:color="auto" w:fill="FFFFFF" w:themeFill="text1"/>
            <w:vAlign w:val="center"/>
          </w:tcPr>
          <w:p w14:paraId="33F0C54D"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Performance ratio</w:t>
            </w:r>
          </w:p>
        </w:tc>
        <w:tc>
          <w:tcPr>
            <w:tcW w:w="3685" w:type="dxa"/>
            <w:shd w:val="clear" w:color="auto" w:fill="FFFFFF" w:themeFill="text1"/>
            <w:vAlign w:val="center"/>
          </w:tcPr>
          <w:p w14:paraId="36CDF470"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83.87 %</w:t>
            </w:r>
          </w:p>
        </w:tc>
      </w:tr>
    </w:tbl>
    <w:bookmarkEnd w:id="0"/>
    <w:p w14:paraId="7B1742BB" w14:textId="77777777" w:rsidR="00903F96" w:rsidRPr="0098155F" w:rsidRDefault="00903F96" w:rsidP="00903F96">
      <w:pPr>
        <w:pStyle w:val="paragraph"/>
        <w:tabs>
          <w:tab w:val="left" w:pos="168"/>
        </w:tabs>
        <w:rPr>
          <w:rFonts w:ascii="Arial" w:hAnsi="Arial" w:cs="Arial"/>
          <w:lang w:val="en-US"/>
        </w:rPr>
      </w:pPr>
      <w:r w:rsidRPr="0098155F">
        <w:rPr>
          <w:rFonts w:ascii="Arial" w:hAnsi="Arial" w:cs="Arial"/>
          <w:lang w:val="en-US"/>
        </w:rPr>
        <w:t>The energy yield results were computed considering all the losses incurred up to and including the substation level.</w:t>
      </w:r>
    </w:p>
    <w:p w14:paraId="4667F2A6" w14:textId="77777777" w:rsidR="00903F96" w:rsidRPr="0098155F" w:rsidRDefault="00903F96" w:rsidP="00903F96">
      <w:pPr>
        <w:pStyle w:val="paragraph"/>
        <w:tabs>
          <w:tab w:val="left" w:pos="168"/>
        </w:tabs>
        <w:rPr>
          <w:rFonts w:ascii="Arial" w:hAnsi="Arial" w:cs="Arial"/>
          <w:lang w:val="en-US"/>
        </w:rPr>
      </w:pPr>
      <w:r>
        <w:rPr>
          <w:b w:val="false"/>
        </w:rPr>
        <w:t>The main features of the photovoltaic plant are shown in Table 2.</w:t>
      </w:r>
    </w:p>
    <w:p w14:paraId="1CD4A7BE" w14:textId="77777777" w:rsidR="00903F96" w:rsidRPr="0098155F" w:rsidRDefault="00903F96" w:rsidP="00903F96">
      <w:pPr>
        <w:pStyle w:val="NameTableImg"/>
        <w:rPr>
          <w:rFonts w:cs="Arial"/>
          <w:lang w:val="en-US"/>
        </w:rPr>
      </w:pPr>
      <w:bookmarkStart w:id="1" w:name="_Toc512514509"/>
      <w:r>
        <w:rPr>
          <w:b w:val="false"/>
          <w:i w:val="true"/>
        </w:rPr>
        <w:t>Table 2. Project Characteristics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BB5186" w:rsidRPr="00BB5186" w14:paraId="53C799AD" w14:textId="77777777" w:rsidTr="00BB5186">
        <w:trPr>
          <w:jc w:val="center"/>
        </w:trPr>
        <w:tc>
          <w:tcPr>
            <w:tcW w:w="7938" w:type="dxa"/>
            <w:gridSpan w:val="2"/>
            <w:shd w:val="clear" w:color="auto" w:fill="989E95"/>
            <w:vAlign w:val="center"/>
          </w:tcPr>
          <w:p w14:paraId="2533EAE8"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Pr>
                <w:b w:val="false"/>
              </w:rPr>
              <w:t>Webinar Amperecloud Project</w:t>
            </w:r>
          </w:p>
        </w:tc>
      </w:tr>
      <w:tr w:rsidR="00903F96" w:rsidRPr="0098155F" w14:paraId="4015A2C5" w14:textId="77777777" w:rsidTr="0048682E">
        <w:trPr>
          <w:trHeight w:val="340"/>
          <w:jc w:val="center"/>
        </w:trPr>
        <w:tc>
          <w:tcPr>
            <w:tcW w:w="3969" w:type="dxa"/>
            <w:shd w:val="clear" w:color="auto" w:fill="auto"/>
            <w:vAlign w:val="center"/>
          </w:tcPr>
          <w:p w14:paraId="2B5F620F"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Location</w:t>
            </w:r>
          </w:p>
        </w:tc>
        <w:tc>
          <w:tcPr>
            <w:tcW w:w="3969" w:type="dxa"/>
            <w:shd w:val="clear" w:color="auto" w:fill="auto"/>
            <w:vAlign w:val="center"/>
          </w:tcPr>
          <w:p w14:paraId="0541959F"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Spain, Andalucía</w:t>
            </w:r>
          </w:p>
        </w:tc>
      </w:tr>
      <w:tr w:rsidR="00903F96" w:rsidRPr="0098155F" w14:paraId="178D4DFE" w14:textId="77777777" w:rsidTr="0048682E">
        <w:trPr>
          <w:trHeight w:val="340"/>
          <w:jc w:val="center"/>
        </w:trPr>
        <w:tc>
          <w:tcPr>
            <w:tcW w:w="3969" w:type="dxa"/>
            <w:shd w:val="clear" w:color="auto" w:fill="auto"/>
            <w:vAlign w:val="center"/>
          </w:tcPr>
          <w:p w14:paraId="19122747"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Rated power (AC)</w:t>
            </w:r>
          </w:p>
        </w:tc>
        <w:tc>
          <w:tcPr>
            <w:tcW w:w="3969" w:type="dxa"/>
            <w:shd w:val="clear" w:color="auto" w:fill="auto"/>
            <w:vAlign w:val="center"/>
          </w:tcPr>
          <w:p w14:paraId="68797BBF"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30.0 MWac</w:t>
            </w:r>
          </w:p>
        </w:tc>
      </w:tr>
      <w:tr w:rsidR="00903F96" w:rsidRPr="0098155F" w14:paraId="71683AED" w14:textId="77777777" w:rsidTr="0048682E">
        <w:trPr>
          <w:trHeight w:val="340"/>
          <w:jc w:val="center"/>
        </w:trPr>
        <w:tc>
          <w:tcPr>
            <w:tcW w:w="3969" w:type="dxa"/>
            <w:shd w:val="clear" w:color="auto" w:fill="auto"/>
            <w:vAlign w:val="center"/>
          </w:tcPr>
          <w:p w14:paraId="22F5C990"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Peak power (DC)</w:t>
            </w:r>
          </w:p>
        </w:tc>
        <w:tc>
          <w:tcPr>
            <w:tcW w:w="3969" w:type="dxa"/>
            <w:shd w:val="clear" w:color="auto" w:fill="auto"/>
            <w:vAlign w:val="center"/>
          </w:tcPr>
          <w:p w14:paraId="4A426D4F"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36.4 MWdc</w:t>
            </w:r>
          </w:p>
        </w:tc>
      </w:tr>
      <w:tr w:rsidR="00903F96" w:rsidRPr="0098155F" w14:paraId="184A43A1" w14:textId="77777777" w:rsidTr="0048682E">
        <w:trPr>
          <w:trHeight w:val="340"/>
          <w:jc w:val="center"/>
        </w:trPr>
        <w:tc>
          <w:tcPr>
            <w:tcW w:w="3969" w:type="dxa"/>
            <w:shd w:val="clear" w:color="auto" w:fill="auto"/>
          </w:tcPr>
          <w:p w14:paraId="46A97E06" w14:textId="77777777" w:rsidR="00903F96" w:rsidRPr="0048682E" w:rsidRDefault="00903F96" w:rsidP="00C96B85">
            <w:pPr>
              <w:spacing w:after="100"/>
              <w:textAlignment w:val="center"/>
              <w:rPr>
                <w:rFonts w:ascii="Arial" w:hAnsi="Arial" w:cs="Arial"/>
                <w:sz w:val="24"/>
                <w:szCs w:val="24"/>
                <w:lang w:val="en-US"/>
              </w:rPr>
            </w:pPr>
            <w:bookmarkStart w:id="2" w:name="_Hlk20732229"/>
            <w:r w:rsidRPr="0048682E">
              <w:rPr>
                <w:rFonts w:ascii="Arial" w:hAnsi="Arial" w:cs="Arial"/>
                <w:sz w:val="24"/>
                <w:szCs w:val="24"/>
              </w:rPr>
              <w:t>Ratio DC/AC</w:t>
            </w:r>
          </w:p>
        </w:tc>
        <w:tc>
          <w:tcPr>
            <w:tcW w:w="3969" w:type="dxa"/>
            <w:shd w:val="clear" w:color="auto" w:fill="auto"/>
          </w:tcPr>
          <w:p w14:paraId="6F54839E"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1.21</w:t>
            </w:r>
          </w:p>
        </w:tc>
      </w:tr>
      <w:bookmarkEnd w:id="2"/>
      <w:tr w:rsidR="00903F96" w:rsidRPr="0098155F" w14:paraId="49D3A3E7" w14:textId="77777777" w:rsidTr="0048682E">
        <w:trPr>
          <w:trHeight w:val="340"/>
          <w:jc w:val="center"/>
        </w:trPr>
        <w:tc>
          <w:tcPr>
            <w:tcW w:w="3969" w:type="dxa"/>
            <w:shd w:val="clear" w:color="auto" w:fill="auto"/>
          </w:tcPr>
          <w:p w14:paraId="74113B72" w14:textId="77777777" w:rsidR="00903F96" w:rsidRPr="0048682E" w:rsidRDefault="00903F96" w:rsidP="00C96B85">
            <w:pPr>
              <w:spacing w:after="100"/>
              <w:textAlignment w:val="center"/>
              <w:rPr>
                <w:rFonts w:ascii="Arial" w:hAnsi="Arial" w:cs="Arial"/>
                <w:sz w:val="24"/>
                <w:szCs w:val="24"/>
                <w:lang w:val="en-US"/>
              </w:rPr>
            </w:pPr>
            <w:proofErr w:type="spellStart"/>
            <w:r w:rsidRPr="0048682E">
              <w:rPr>
                <w:rFonts w:ascii="Arial" w:hAnsi="Arial" w:cs="Arial"/>
                <w:sz w:val="24"/>
                <w:szCs w:val="24"/>
              </w:rPr>
              <w:t>Structure</w:t>
            </w:r>
            <w:proofErr w:type="spellEnd"/>
            <w:r w:rsidRPr="0048682E">
              <w:rPr>
                <w:rFonts w:ascii="Arial" w:hAnsi="Arial" w:cs="Arial"/>
                <w:sz w:val="24"/>
                <w:szCs w:val="24"/>
              </w:rPr>
              <w:t xml:space="preserve"> </w:t>
            </w:r>
            <w:proofErr w:type="spellStart"/>
            <w:r w:rsidRPr="0048682E">
              <w:rPr>
                <w:rFonts w:ascii="Arial" w:hAnsi="Arial" w:cs="Arial"/>
                <w:sz w:val="24"/>
                <w:szCs w:val="24"/>
              </w:rPr>
              <w:t>type</w:t>
            </w:r>
            <w:proofErr w:type="spellEnd"/>
          </w:p>
        </w:tc>
        <w:tc>
          <w:tcPr>
            <w:tcW w:w="3969" w:type="dxa"/>
            <w:shd w:val="clear" w:color="auto" w:fill="auto"/>
          </w:tcPr>
          <w:p w14:paraId="54227AF3"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One-axis tracker</w:t>
            </w:r>
          </w:p>
        </w:tc>
      </w:tr>
      <w:tr w:rsidR="00903F96" w:rsidRPr="0098155F" w14:paraId="162A3F7F" w14:textId="77777777" w:rsidTr="0048682E">
        <w:trPr>
          <w:trHeight w:val="340"/>
          <w:jc w:val="center"/>
        </w:trPr>
        <w:tc>
          <w:tcPr>
            <w:tcW w:w="3969" w:type="dxa"/>
            <w:shd w:val="clear" w:color="auto" w:fill="auto"/>
          </w:tcPr>
          <w:p w14:paraId="5743B6C6" w14:textId="77777777" w:rsidR="00903F96" w:rsidRPr="0048682E" w:rsidRDefault="00903F96" w:rsidP="00C96B85">
            <w:pPr>
              <w:pStyle w:val=""/>
              <w:spacing w:after="100"/>
              <w:textAlignment w:val="center"/>
              <w:rPr>
                <w:rFonts w:ascii="Arial" w:hAnsi="Arial" w:cs="Arial"/>
                <w:sz w:val="24"/>
                <w:szCs w:val="24"/>
                <w:lang w:val="en-US"/>
              </w:rPr>
            </w:pPr>
            <w:proofErr w:type="spellStart"/>
            <w:proofErr w:type="spellEnd"/>
            <w:r>
              <w:rPr>
                <w:b w:val="false"/>
              </w:rPr>
              <w:t>PV Modules (610.0 Wp)</w:t>
            </w:r>
          </w:p>
        </w:tc>
        <w:tc>
          <w:tcPr>
            <w:tcW w:w="3969" w:type="dxa"/>
            <w:shd w:val="clear" w:color="auto" w:fill="auto"/>
          </w:tcPr>
          <w:p w14:paraId="5BC7AC4F"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59650</w:t>
            </w:r>
          </w:p>
        </w:tc>
      </w:tr>
      <w:tr w:rsidR="00903F96" w:rsidRPr="0098155F" w14:paraId="27F52DBF" w14:textId="77777777" w:rsidTr="0048682E">
        <w:trPr>
          <w:trHeight w:val="340"/>
          <w:jc w:val="center"/>
        </w:trPr>
        <w:tc>
          <w:tcPr>
            <w:tcW w:w="3969" w:type="dxa"/>
            <w:shd w:val="clear" w:color="auto" w:fill="auto"/>
          </w:tcPr>
          <w:p w14:paraId="6DD2BB15" w14:textId="77777777" w:rsidR="00903F96" w:rsidRPr="0048682E" w:rsidRDefault="00903F96" w:rsidP="00C96B85">
            <w:pPr>
              <w:pStyle w:val=""/>
              <w:spacing w:after="100"/>
              <w:textAlignment w:val="center"/>
              <w:rPr>
                <w:rFonts w:ascii="Arial" w:hAnsi="Arial" w:cs="Arial"/>
                <w:sz w:val="24"/>
                <w:szCs w:val="24"/>
                <w:lang w:val="en-US"/>
              </w:rPr>
            </w:pPr>
            <w:r>
              <w:rPr>
                <w:b w:val="false"/>
              </w:rPr>
              <w:t>Power station (up to 4620.0 kW)</w:t>
            </w:r>
          </w:p>
        </w:tc>
        <w:tc>
          <w:tcPr>
            <w:tcW w:w="3969" w:type="dxa"/>
            <w:shd w:val="clear" w:color="auto" w:fill="auto"/>
          </w:tcPr>
          <w:p w14:paraId="48600D90"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7</w:t>
            </w:r>
          </w:p>
        </w:tc>
      </w:tr>
      <w:tr w:rsidR="00903F96" w:rsidRPr="0098155F" w14:paraId="5FEE0934" w14:textId="77777777" w:rsidTr="0048682E">
        <w:trPr>
          <w:trHeight w:val="340"/>
          <w:jc w:val="center"/>
        </w:trPr>
        <w:tc>
          <w:tcPr>
            <w:tcW w:w="3969" w:type="dxa"/>
            <w:shd w:val="clear" w:color="auto" w:fill="auto"/>
          </w:tcPr>
          <w:p w14:paraId="03E8C977" w14:textId="77777777" w:rsidR="00903F96" w:rsidRPr="0048682E" w:rsidRDefault="00903F96" w:rsidP="00C96B85">
            <w:pPr>
              <w:pStyle w:val=""/>
              <w:spacing w:after="100"/>
              <w:textAlignment w:val="center"/>
              <w:rPr>
                <w:rFonts w:ascii="Arial" w:hAnsi="Arial" w:cs="Arial"/>
                <w:sz w:val="24"/>
                <w:szCs w:val="24"/>
                <w:lang w:val="en-US"/>
              </w:rPr>
            </w:pPr>
            <w:r>
              <w:rPr>
                <w:b w:val="false"/>
              </w:rPr>
              <w:t>Number of inverters (up to 2310.0 kVA)</w:t>
            </w:r>
          </w:p>
        </w:tc>
        <w:tc>
          <w:tcPr>
            <w:tcW w:w="3969" w:type="dxa"/>
            <w:shd w:val="clear" w:color="auto" w:fill="auto"/>
          </w:tcPr>
          <w:p w14:paraId="14857BE0"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13</w:t>
            </w:r>
          </w:p>
        </w:tc>
      </w:tr>
      <w:tr w:rsidR="00903F96" w:rsidRPr="0098155F" w14:paraId="7CF898A5" w14:textId="77777777" w:rsidTr="0048682E">
        <w:trPr>
          <w:trHeight w:val="340"/>
          <w:jc w:val="center"/>
        </w:trPr>
        <w:tc>
          <w:tcPr>
            <w:tcW w:w="3969" w:type="dxa"/>
            <w:shd w:val="clear" w:color="auto" w:fill="auto"/>
          </w:tcPr>
          <w:p w14:paraId="49E3FF02" w14:textId="77777777" w:rsidR="00903F96" w:rsidRPr="0048682E" w:rsidRDefault="00903F96" w:rsidP="00C96B85">
            <w:pPr>
              <w:spacing w:after="100"/>
              <w:textAlignment w:val="center"/>
              <w:rPr>
                <w:rFonts w:ascii="Arial" w:hAnsi="Arial" w:cs="Arial"/>
                <w:sz w:val="24"/>
                <w:szCs w:val="24"/>
                <w:lang w:val="en-US"/>
              </w:rPr>
            </w:pPr>
            <w:proofErr w:type="spellStart"/>
            <w:r w:rsidRPr="0048682E">
              <w:rPr>
                <w:rFonts w:ascii="Arial" w:hAnsi="Arial" w:cs="Arial"/>
                <w:sz w:val="24"/>
                <w:szCs w:val="24"/>
              </w:rPr>
              <w:t>Suitable</w:t>
            </w:r>
            <w:proofErr w:type="spellEnd"/>
            <w:r w:rsidRPr="0048682E">
              <w:rPr>
                <w:rFonts w:ascii="Arial" w:hAnsi="Arial" w:cs="Arial"/>
                <w:sz w:val="24"/>
                <w:szCs w:val="24"/>
              </w:rPr>
              <w:t xml:space="preserve"> </w:t>
            </w:r>
            <w:proofErr w:type="spellStart"/>
            <w:r w:rsidRPr="0048682E">
              <w:rPr>
                <w:rFonts w:ascii="Arial" w:hAnsi="Arial" w:cs="Arial"/>
                <w:sz w:val="24"/>
                <w:szCs w:val="24"/>
              </w:rPr>
              <w:t>plot</w:t>
            </w:r>
            <w:proofErr w:type="spellEnd"/>
            <w:r w:rsidRPr="0048682E">
              <w:rPr>
                <w:rFonts w:ascii="Arial" w:hAnsi="Arial" w:cs="Arial"/>
                <w:sz w:val="24"/>
                <w:szCs w:val="24"/>
              </w:rPr>
              <w:t xml:space="preserve"> </w:t>
            </w:r>
            <w:proofErr w:type="spellStart"/>
            <w:r w:rsidRPr="0048682E">
              <w:rPr>
                <w:rFonts w:ascii="Arial" w:hAnsi="Arial" w:cs="Arial"/>
                <w:sz w:val="24"/>
                <w:szCs w:val="24"/>
              </w:rPr>
              <w:t>area</w:t>
            </w:r>
            <w:proofErr w:type="spellEnd"/>
          </w:p>
        </w:tc>
        <w:tc>
          <w:tcPr>
            <w:tcW w:w="3969" w:type="dxa"/>
            <w:shd w:val="clear" w:color="auto" w:fill="auto"/>
          </w:tcPr>
          <w:p w14:paraId="4ABAD7E0"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54.15 ha</w:t>
            </w:r>
          </w:p>
        </w:tc>
      </w:tr>
    </w:tbl>
    <w:p w14:paraId="0E28F760" w14:textId="77777777" w:rsidR="00903F96" w:rsidRPr="0098155F" w:rsidRDefault="00903F96" w:rsidP="00903F96">
      <w:pPr>
        <w:pStyle w:val="paragraph"/>
        <w:rPr>
          <w:rFonts w:ascii="Arial" w:hAnsi="Arial" w:cs="Arial"/>
          <w:lang w:val="en-US"/>
        </w:rPr>
      </w:pPr>
      <w:r>
        <w:rPr>
          <w:b w:val="false"/>
        </w:rPr>
        <w:t>The complete layout is shown in Figure 1.</w:t>
      </w:r>
    </w:p>
    <w:p w14:paraId="54A6E4E8" w14:textId="77777777" w:rsidR="00903F96" w:rsidRPr="0098155F" w:rsidRDefault="00903F96" w:rsidP="00903F96">
      <w:pPr>
        <w:pStyle w:val="paragraph"/>
        <w:jc w:val="center"/>
        <w:rPr>
          <w:rFonts w:ascii="Arial" w:hAnsi="Arial" w:cs="Arial"/>
          <w:lang w:val="en-US"/>
        </w:rPr>
      </w:pPr>
      <w:r>
        <w:drawing>
          <wp:inline distT="0" distR="0" distB="0" distL="0">
            <wp:extent cx="5372100" cy="3327400"/>
            <wp:docPr id="4" name="Drawing 4" descr="PV Plant layout.png"/>
            <a:graphic xmlns:a="http://schemas.openxmlformats.org/drawingml/2006/main">
              <a:graphicData uri="http://schemas.openxmlformats.org/drawingml/2006/picture">
                <pic:pic xmlns:pic="http://schemas.openxmlformats.org/drawingml/2006/picture">
                  <pic:nvPicPr>
                    <pic:cNvPr id="0" name="Picture 4" descr="PV Plant layout.png"/>
                    <pic:cNvPicPr>
                      <a:picLocks noChangeAspect="true"/>
                    </pic:cNvPicPr>
                  </pic:nvPicPr>
                  <pic:blipFill>
                    <a:blip r:embed="rId17"/>
                    <a:stretch>
                      <a:fillRect/>
                    </a:stretch>
                  </pic:blipFill>
                  <pic:spPr>
                    <a:xfrm>
                      <a:off x="0" y="0"/>
                      <a:ext cx="5372100" cy="3327400"/>
                    </a:xfrm>
                    <a:prstGeom prst="rect">
                      <a:avLst/>
                    </a:prstGeom>
                  </pic:spPr>
                </pic:pic>
              </a:graphicData>
            </a:graphic>
          </wp:inline>
        </w:drawing>
      </w:r>
    </w:p>
    <w:p w14:paraId="21A8799E" w14:textId="77777777" w:rsidR="00903F96" w:rsidRPr="0098155F" w:rsidRDefault="00903F96" w:rsidP="00903F96">
      <w:pPr>
        <w:pStyle w:val="NameTableImg"/>
        <w:rPr>
          <w:rFonts w:cs="Arial"/>
          <w:lang w:val="en-US"/>
        </w:rPr>
      </w:pPr>
      <w:r>
        <w:rPr>
          <w:b w:val="false"/>
          <w:i w:val="true"/>
        </w:rPr>
        <w:t>Figure 1. General layout</w:t>
      </w:r>
    </w:p>
    <w:p w14:paraId="574E5400" w14:textId="77777777" w:rsidR="00903F96" w:rsidRPr="0098155F" w:rsidRDefault="00903F96" w:rsidP="00903F96">
      <w:pPr>
        <w:pStyle w:val="paragraph"/>
        <w:rPr>
          <w:rFonts w:ascii="Arial" w:hAnsi="Arial" w:cs="Arial"/>
          <w:lang w:val="en-US"/>
        </w:rPr>
      </w:pPr>
    </w:p>
    <w:p w14:paraId="72F96747" w14:textId="77777777" w:rsidR="00903F96" w:rsidRPr="0098155F" w:rsidRDefault="00903F96" w:rsidP="00903F96">
      <w:pPr>
        <w:rPr>
          <w:rFonts w:ascii="Arial" w:hAnsi="Arial" w:cs="Arial"/>
          <w:color w:val="3F3F42" w:themeColor="background1" w:themeTint="E6"/>
          <w:sz w:val="24"/>
          <w:lang w:val="en-US"/>
        </w:rPr>
      </w:pPr>
      <w:r w:rsidRPr="0098155F">
        <w:rPr>
          <w:rFonts w:ascii="Arial" w:hAnsi="Arial" w:cs="Arial"/>
          <w:lang w:val="en-US"/>
        </w:rPr>
        <w:br w:type="page"/>
      </w:r>
    </w:p>
    <w:bookmarkEnd w:id="1"/>
    <w:p w14:paraId="64FC027B" w14:textId="77777777" w:rsidR="00903F96" w:rsidRPr="0098155F" w:rsidRDefault="00903F96" w:rsidP="00903F96">
      <w:pPr>
        <w:pStyle w:val="Title1"/>
        <w:rPr>
          <w:rFonts w:cs="Arial"/>
          <w:b w:val="0"/>
          <w:bCs/>
          <w:szCs w:val="18"/>
          <w:lang w:val="en-US"/>
        </w:rPr>
      </w:pPr>
      <w:r>
        <w:rPr>
          <w:rFonts w:ascii="Arial" w:hAnsi="Arial" w:cs="Arial" w:eastAsia="Arial"/>
          <w:b w:val="true"/>
          <w:sz w:val="32"/>
        </w:rPr>
        <w:t xml:space="preserve">2. </w:t>
      </w:r>
      <w:bookmarkStart w:id="1" w:name="1"/>
      <w:r>
        <w:rPr>
          <w:rFonts w:ascii="Arial" w:hAnsi="Arial" w:cs="Arial" w:eastAsia="Arial"/>
          <w:b w:val="true"/>
          <w:sz w:val="32"/>
        </w:rPr>
        <w:t>SITE</w:t>
      </w:r>
      <w:bookmarkEnd w:id="1"/>
    </w:p>
    <w:p w14:paraId="32F813E8" w14:textId="77777777" w:rsidR="00903F96" w:rsidRPr="0098155F" w:rsidRDefault="00903F96" w:rsidP="00903F96">
      <w:pPr>
        <w:pStyle w:val="Title2"/>
        <w:rPr>
          <w:rFonts w:cs="Arial"/>
          <w:lang w:val="en-US"/>
        </w:rPr>
      </w:pPr>
      <w:r>
        <w:rPr>
          <w:rFonts w:ascii="Arial" w:hAnsi="Arial" w:cs="Arial" w:eastAsia="Arial"/>
          <w:b w:val="false"/>
          <w:sz w:val="28"/>
        </w:rPr>
        <w:t xml:space="preserve">2.1. </w:t>
      </w:r>
      <w:bookmarkStart w:id="2" w:name="2"/>
      <w:r>
        <w:rPr>
          <w:rFonts w:ascii="Arial" w:hAnsi="Arial" w:cs="Arial" w:eastAsia="Arial"/>
          <w:b w:val="false"/>
          <w:sz w:val="28"/>
        </w:rPr>
        <w:t>Location</w:t>
      </w:r>
      <w:bookmarkEnd w:id="2"/>
    </w:p>
    <w:p w14:paraId="72208258" w14:textId="77777777" w:rsidR="00903F96" w:rsidRPr="0098155F" w:rsidRDefault="00903F96" w:rsidP="00903F96">
      <w:pPr>
        <w:pStyle w:val="paragraph"/>
        <w:rPr>
          <w:rFonts w:ascii="Arial" w:hAnsi="Arial" w:cs="Arial"/>
          <w:lang w:val="en-US"/>
        </w:rPr>
      </w:pPr>
      <w:r>
        <w:rPr>
          <w:b w:val="false"/>
        </w:rPr>
        <w:t>The PV Plant location has the characteristics shown in Table 3</w:t>
      </w:r>
    </w:p>
    <w:p w14:paraId="64356CB7" w14:textId="77777777" w:rsidR="00903F96" w:rsidRPr="0098155F" w:rsidRDefault="00903F96" w:rsidP="00903F96">
      <w:pPr>
        <w:pStyle w:val="NameTableImg"/>
        <w:rPr>
          <w:rFonts w:cs="Arial"/>
          <w:lang w:val="en-US"/>
        </w:rPr>
      </w:pPr>
      <w:r>
        <w:rPr>
          <w:b w:val="false"/>
          <w:i w:val="true"/>
        </w:rPr>
        <w:t>Table 3. Location characteristics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BB5186" w:rsidRPr="00BB5186" w14:paraId="2B585593" w14:textId="77777777" w:rsidTr="00BB5186">
        <w:trPr>
          <w:jc w:val="center"/>
        </w:trPr>
        <w:tc>
          <w:tcPr>
            <w:tcW w:w="7938" w:type="dxa"/>
            <w:gridSpan w:val="2"/>
            <w:shd w:val="clear" w:color="auto" w:fill="989E95"/>
            <w:vAlign w:val="center"/>
          </w:tcPr>
          <w:p w14:paraId="7098A755"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PV Plant location characteristics</w:t>
            </w:r>
          </w:p>
        </w:tc>
      </w:tr>
      <w:tr w:rsidR="00903F96" w:rsidRPr="0098155F" w14:paraId="56E54A13" w14:textId="77777777" w:rsidTr="0048682E">
        <w:trPr>
          <w:trHeight w:val="340"/>
          <w:jc w:val="center"/>
        </w:trPr>
        <w:tc>
          <w:tcPr>
            <w:tcW w:w="3969" w:type="dxa"/>
            <w:shd w:val="clear" w:color="auto" w:fill="auto"/>
            <w:vAlign w:val="center"/>
          </w:tcPr>
          <w:p w14:paraId="76D7BF3E"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City / Town</w:t>
            </w:r>
          </w:p>
        </w:tc>
        <w:tc>
          <w:tcPr>
            <w:tcW w:w="3969" w:type="dxa"/>
            <w:shd w:val="clear" w:color="auto" w:fill="auto"/>
            <w:vAlign w:val="center"/>
          </w:tcPr>
          <w:p w14:paraId="4DD09B5E"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Carboneras</w:t>
            </w:r>
          </w:p>
        </w:tc>
      </w:tr>
      <w:tr w:rsidR="00903F96" w:rsidRPr="0098155F" w14:paraId="50827C8D" w14:textId="77777777" w:rsidTr="0048682E">
        <w:trPr>
          <w:trHeight w:val="340"/>
          <w:jc w:val="center"/>
        </w:trPr>
        <w:tc>
          <w:tcPr>
            <w:tcW w:w="3969" w:type="dxa"/>
            <w:shd w:val="clear" w:color="auto" w:fill="auto"/>
            <w:vAlign w:val="center"/>
          </w:tcPr>
          <w:p w14:paraId="3557AE71"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Region</w:t>
            </w:r>
          </w:p>
        </w:tc>
        <w:tc>
          <w:tcPr>
            <w:tcW w:w="3969" w:type="dxa"/>
            <w:shd w:val="clear" w:color="auto" w:fill="auto"/>
            <w:vAlign w:val="center"/>
          </w:tcPr>
          <w:p w14:paraId="7FCC0255"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Andalucía</w:t>
            </w:r>
          </w:p>
        </w:tc>
      </w:tr>
      <w:tr w:rsidR="00903F96" w:rsidRPr="0098155F" w14:paraId="68D3D5CF" w14:textId="77777777" w:rsidTr="0048682E">
        <w:trPr>
          <w:trHeight w:val="340"/>
          <w:jc w:val="center"/>
        </w:trPr>
        <w:tc>
          <w:tcPr>
            <w:tcW w:w="3969" w:type="dxa"/>
            <w:shd w:val="clear" w:color="auto" w:fill="auto"/>
            <w:vAlign w:val="center"/>
          </w:tcPr>
          <w:p w14:paraId="38F108DC"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Country</w:t>
            </w:r>
          </w:p>
        </w:tc>
        <w:tc>
          <w:tcPr>
            <w:tcW w:w="3969" w:type="dxa"/>
            <w:shd w:val="clear" w:color="auto" w:fill="auto"/>
            <w:vAlign w:val="center"/>
          </w:tcPr>
          <w:p w14:paraId="11EDBF62"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Spain</w:t>
            </w:r>
          </w:p>
        </w:tc>
      </w:tr>
      <w:tr w:rsidR="00903F96" w:rsidRPr="0098155F" w14:paraId="3C258493" w14:textId="77777777" w:rsidTr="0048682E">
        <w:trPr>
          <w:trHeight w:val="340"/>
          <w:jc w:val="center"/>
        </w:trPr>
        <w:tc>
          <w:tcPr>
            <w:tcW w:w="3969" w:type="dxa"/>
            <w:shd w:val="clear" w:color="auto" w:fill="auto"/>
            <w:vAlign w:val="center"/>
          </w:tcPr>
          <w:p w14:paraId="21BE63C8"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Latitude</w:t>
            </w:r>
          </w:p>
        </w:tc>
        <w:tc>
          <w:tcPr>
            <w:tcW w:w="3969" w:type="dxa"/>
            <w:shd w:val="clear" w:color="auto" w:fill="auto"/>
            <w:vAlign w:val="center"/>
          </w:tcPr>
          <w:p w14:paraId="2006B39E"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+36.99 °</w:t>
            </w:r>
          </w:p>
        </w:tc>
      </w:tr>
      <w:tr w:rsidR="00903F96" w:rsidRPr="0098155F" w14:paraId="48DB40A2" w14:textId="77777777" w:rsidTr="0048682E">
        <w:trPr>
          <w:trHeight w:val="340"/>
          <w:jc w:val="center"/>
        </w:trPr>
        <w:tc>
          <w:tcPr>
            <w:tcW w:w="3969" w:type="dxa"/>
            <w:shd w:val="clear" w:color="auto" w:fill="auto"/>
            <w:vAlign w:val="center"/>
          </w:tcPr>
          <w:p w14:paraId="065BBC85"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Longitude</w:t>
            </w:r>
          </w:p>
        </w:tc>
        <w:tc>
          <w:tcPr>
            <w:tcW w:w="3969" w:type="dxa"/>
            <w:shd w:val="clear" w:color="auto" w:fill="auto"/>
            <w:vAlign w:val="center"/>
          </w:tcPr>
          <w:p w14:paraId="085BE7E0"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-2.04 °</w:t>
            </w:r>
          </w:p>
        </w:tc>
      </w:tr>
      <w:tr w:rsidR="00903F96" w:rsidRPr="0098155F" w14:paraId="0B4BA848" w14:textId="77777777" w:rsidTr="0048682E">
        <w:trPr>
          <w:trHeight w:val="340"/>
          <w:jc w:val="center"/>
        </w:trPr>
        <w:tc>
          <w:tcPr>
            <w:tcW w:w="3969" w:type="dxa"/>
            <w:shd w:val="clear" w:color="auto" w:fill="auto"/>
            <w:vAlign w:val="center"/>
          </w:tcPr>
          <w:p w14:paraId="1E4B72E7"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Altitude</w:t>
            </w:r>
          </w:p>
        </w:tc>
        <w:tc>
          <w:tcPr>
            <w:tcW w:w="3969" w:type="dxa"/>
            <w:shd w:val="clear" w:color="auto" w:fill="auto"/>
            <w:vAlign w:val="center"/>
          </w:tcPr>
          <w:p w14:paraId="4F83B88C"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204.79 m a.m.s.l.</w:t>
            </w:r>
          </w:p>
        </w:tc>
      </w:tr>
      <w:tr w:rsidR="00903F96" w:rsidRPr="0098155F" w14:paraId="2685F749" w14:textId="77777777" w:rsidTr="0048682E">
        <w:trPr>
          <w:trHeight w:val="340"/>
          <w:jc w:val="center"/>
        </w:trPr>
        <w:tc>
          <w:tcPr>
            <w:tcW w:w="3969" w:type="dxa"/>
            <w:shd w:val="clear" w:color="auto" w:fill="auto"/>
            <w:vAlign w:val="center"/>
          </w:tcPr>
          <w:p w14:paraId="70838854" w14:textId="77777777" w:rsidR="00903F96" w:rsidRPr="0048682E" w:rsidRDefault="00903F96" w:rsidP="00C96B85">
            <w:pPr>
              <w:spacing w:after="100"/>
              <w:textAlignment w:val="center"/>
              <w:rPr>
                <w:rFonts w:ascii="Arial" w:hAnsi="Arial" w:cs="Arial"/>
                <w:sz w:val="24"/>
                <w:szCs w:val="24"/>
                <w:lang w:val="en-US"/>
              </w:rPr>
            </w:pPr>
            <w:proofErr w:type="spellStart"/>
            <w:r w:rsidRPr="0048682E">
              <w:rPr>
                <w:rFonts w:ascii="Arial" w:hAnsi="Arial" w:cs="Arial"/>
                <w:sz w:val="24"/>
                <w:szCs w:val="24"/>
                <w:lang w:val="en-US"/>
              </w:rPr>
              <w:t>Timezone</w:t>
            </w:r>
            <w:proofErr w:type="spellEnd"/>
          </w:p>
        </w:tc>
        <w:tc>
          <w:tcPr>
            <w:tcW w:w="3969" w:type="dxa"/>
            <w:shd w:val="clear" w:color="auto" w:fill="auto"/>
            <w:vAlign w:val="center"/>
          </w:tcPr>
          <w:p w14:paraId="0111E4DF"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UTC +1</w:t>
            </w:r>
          </w:p>
        </w:tc>
      </w:tr>
    </w:tbl>
    <w:p w14:paraId="7C6C6ECE" w14:textId="77777777" w:rsidR="00903F96" w:rsidRPr="0098155F" w:rsidRDefault="00903F96" w:rsidP="00903F96">
      <w:pPr>
        <w:pStyle w:val="paragraph"/>
        <w:rPr>
          <w:rFonts w:ascii="Arial" w:hAnsi="Arial" w:cs="Arial"/>
          <w:lang w:val="en-US"/>
        </w:rPr>
      </w:pPr>
      <w:r>
        <w:rPr>
          <w:b w:val="false"/>
        </w:rPr>
        <w:t>The project location is shown in Figure 2. A closer view of the region is shown in Figure 3.</w:t>
      </w:r>
    </w:p>
    <w:p w14:paraId="66E3BE85" w14:textId="77777777" w:rsidR="00903F96" w:rsidRPr="0098155F" w:rsidRDefault="00903F96" w:rsidP="00903F96">
      <w:pPr>
        <w:pStyle w:val="paragraph"/>
        <w:jc w:val="center"/>
        <w:rPr>
          <w:rFonts w:ascii="Arial" w:hAnsi="Arial" w:cs="Arial"/>
          <w:lang w:val="en-US"/>
        </w:rPr>
      </w:pPr>
      <w:r>
        <w:drawing>
          <wp:inline distT="0" distR="0" distB="0" distL="0">
            <wp:extent cx="3238500" cy="2159000"/>
            <wp:docPr id="5" name="Drawing 5" descr="Country view.png"/>
            <a:graphic xmlns:a="http://schemas.openxmlformats.org/drawingml/2006/main">
              <a:graphicData uri="http://schemas.openxmlformats.org/drawingml/2006/picture">
                <pic:pic xmlns:pic="http://schemas.openxmlformats.org/drawingml/2006/picture">
                  <pic:nvPicPr>
                    <pic:cNvPr id="0" name="Picture 5" descr="Country view.png"/>
                    <pic:cNvPicPr>
                      <a:picLocks noChangeAspect="true"/>
                    </pic:cNvPicPr>
                  </pic:nvPicPr>
                  <pic:blipFill>
                    <a:blip r:embed="rId18"/>
                    <a:stretch>
                      <a:fillRect/>
                    </a:stretch>
                  </pic:blipFill>
                  <pic:spPr>
                    <a:xfrm>
                      <a:off x="0" y="0"/>
                      <a:ext cx="3238500" cy="2159000"/>
                    </a:xfrm>
                    <a:prstGeom prst="rect">
                      <a:avLst/>
                    </a:prstGeom>
                  </pic:spPr>
                </pic:pic>
              </a:graphicData>
            </a:graphic>
          </wp:inline>
        </w:drawing>
      </w:r>
    </w:p>
    <w:p w14:paraId="4A10E947" w14:textId="77777777" w:rsidR="00903F96" w:rsidRPr="0098155F" w:rsidRDefault="00903F96" w:rsidP="006A7657">
      <w:pPr>
        <w:pStyle w:val="NameTableImg"/>
        <w:rPr>
          <w:lang w:val="en-US"/>
        </w:rPr>
      </w:pPr>
      <w:r>
        <w:rPr>
          <w:b w:val="false"/>
          <w:i w:val="true"/>
        </w:rPr>
        <w:t>Figure 2. Location of PV Plant in the region of Andalucía, in Spain</w:t>
      </w:r>
    </w:p>
    <w:p w14:paraId="05D23764" w14:textId="77777777" w:rsidR="00903F96" w:rsidRPr="0098155F" w:rsidRDefault="00903F96" w:rsidP="00903F96">
      <w:pPr>
        <w:pStyle w:val="paragraph"/>
        <w:jc w:val="center"/>
        <w:rPr>
          <w:rFonts w:ascii="Arial" w:hAnsi="Arial" w:cs="Arial"/>
          <w:lang w:val="en-US"/>
        </w:rPr>
      </w:pPr>
      <w:r>
        <w:drawing>
          <wp:inline distT="0" distR="0" distB="0" distL="0">
            <wp:extent cx="3238500" cy="2159000"/>
            <wp:docPr id="6" name="Drawing 6" descr="Region view.png"/>
            <a:graphic xmlns:a="http://schemas.openxmlformats.org/drawingml/2006/main">
              <a:graphicData uri="http://schemas.openxmlformats.org/drawingml/2006/picture">
                <pic:pic xmlns:pic="http://schemas.openxmlformats.org/drawingml/2006/picture">
                  <pic:nvPicPr>
                    <pic:cNvPr id="0" name="Picture 6" descr="Region view.png"/>
                    <pic:cNvPicPr>
                      <a:picLocks noChangeAspect="true"/>
                    </pic:cNvPicPr>
                  </pic:nvPicPr>
                  <pic:blipFill>
                    <a:blip r:embed="rId19"/>
                    <a:stretch>
                      <a:fillRect/>
                    </a:stretch>
                  </pic:blipFill>
                  <pic:spPr>
                    <a:xfrm>
                      <a:off x="0" y="0"/>
                      <a:ext cx="3238500" cy="2159000"/>
                    </a:xfrm>
                    <a:prstGeom prst="rect">
                      <a:avLst/>
                    </a:prstGeom>
                  </pic:spPr>
                </pic:pic>
              </a:graphicData>
            </a:graphic>
          </wp:inline>
        </w:drawing>
      </w:r>
    </w:p>
    <w:p w14:paraId="6CA3AEB3" w14:textId="77777777" w:rsidR="00903F96" w:rsidRPr="0098155F" w:rsidRDefault="00903F96" w:rsidP="00903F96">
      <w:pPr>
        <w:pStyle w:val="NameTableImg"/>
        <w:rPr>
          <w:rFonts w:cs="Arial"/>
          <w:lang w:val="en-US"/>
        </w:rPr>
      </w:pPr>
      <w:r>
        <w:rPr>
          <w:b w:val="false"/>
          <w:i w:val="true"/>
        </w:rPr>
        <w:t>Figure 3. Closer view of the PV plant in the region of Andalucía</w:t>
      </w:r>
    </w:p>
    <w:p w14:paraId="5E71EBC8" w14:textId="77777777" w:rsidR="00903F96" w:rsidRPr="0098155F" w:rsidRDefault="00903F96" w:rsidP="00903F96">
      <w:pPr>
        <w:pStyle w:val="Title2"/>
        <w:rPr>
          <w:rFonts w:cs="Arial"/>
          <w:lang w:val="en-US"/>
        </w:rPr>
      </w:pPr>
      <w:r>
        <w:rPr>
          <w:rFonts w:ascii="Arial" w:hAnsi="Arial" w:cs="Arial" w:eastAsia="Arial"/>
          <w:b w:val="false"/>
          <w:sz w:val="28"/>
        </w:rPr>
        <w:t xml:space="preserve">2.2. </w:t>
      </w:r>
      <w:bookmarkStart w:id="3" w:name="3"/>
      <w:r>
        <w:rPr>
          <w:rFonts w:ascii="Arial" w:hAnsi="Arial" w:cs="Arial" w:eastAsia="Arial"/>
          <w:b w:val="false"/>
          <w:sz w:val="28"/>
        </w:rPr>
        <w:t>Plot Areas</w:t>
      </w:r>
      <w:bookmarkEnd w:id="3"/>
    </w:p>
    <w:p w14:paraId="536F4114" w14:textId="77777777" w:rsidR="00903F96" w:rsidRPr="0098155F" w:rsidRDefault="00903F96" w:rsidP="00903F96">
      <w:pPr>
        <w:pStyle w:val="paragraph"/>
        <w:rPr>
          <w:rFonts w:ascii="Arial" w:hAnsi="Arial" w:cs="Arial"/>
          <w:lang w:val="en-US"/>
        </w:rPr>
      </w:pPr>
      <w:r>
        <w:rPr>
          <w:b w:val="false"/>
        </w:rPr>
        <w:t>The area where the PV plant is to be built consists of 4 available areas, with a total surface area of 54.15 ha.</w:t>
      </w:r>
    </w:p>
    <w:p w14:paraId="71A435D8" w14:textId="77777777" w:rsidR="00903F96" w:rsidRPr="0098155F" w:rsidRDefault="00903F96" w:rsidP="00903F96">
      <w:pPr>
        <w:pStyle w:val="paragraph"/>
        <w:rPr>
          <w:rFonts w:ascii="Arial" w:hAnsi="Arial" w:cs="Arial"/>
          <w:lang w:val="en-US"/>
        </w:rPr>
      </w:pPr>
      <w:r>
        <w:rPr>
          <w:b w:val="false"/>
        </w:rPr>
        <w:t>The size of each area and the total suitable area for installation purposes is shown in Table 4.</w:t>
      </w:r>
    </w:p>
    <w:p w14:paraId="43B29555" w14:textId="77777777" w:rsidR="00903F96" w:rsidRPr="0098155F" w:rsidRDefault="00903F96" w:rsidP="00903F96">
      <w:pPr>
        <w:pStyle w:val="NameTableImg"/>
        <w:rPr>
          <w:rFonts w:cs="Arial"/>
          <w:lang w:val="en-US"/>
        </w:rPr>
      </w:pPr>
      <w:r>
        <w:rPr>
          <w:b w:val="false"/>
          <w:i w:val="true"/>
        </w:rPr>
        <w:t>Table 4. Size of plot areas of the project.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ook w:val="04A0" w:firstRow="1" w:lastRow="0" w:firstColumn="1" w:lastColumn="0" w:noHBand="0" w:noVBand="1"/>
      </w:tblPr>
      <w:tblGrid>
        <w:gridCol w:w="4762"/>
        <w:gridCol w:w="2322"/>
      </w:tblGrid>
      <w:tr w:rsidR="00BB5186" w:rsidRPr="00BB5186" w14:paraId="074FE7DF" w14:textId="77777777" w:rsidTr="00BB5186">
        <w:trPr>
          <w:jc w:val="center"/>
        </w:trPr>
        <w:tc>
          <w:tcPr>
            <w:tcW w:w="4762" w:type="dxa"/>
            <w:shd w:val="clear" w:color="auto" w:fill="989E95"/>
            <w:vAlign w:val="center"/>
          </w:tcPr>
          <w:p w14:paraId="3517AD14" w14:textId="77777777" w:rsidR="00903F96" w:rsidRPr="00BB5186" w:rsidRDefault="00903F96" w:rsidP="00C96B85">
            <w:pPr>
              <w:pStyle w:val="paragraph"/>
              <w:spacing w:after="100"/>
              <w:jc w:val="left"/>
              <w:textAlignment w:val="center"/>
              <w:rPr>
                <w:rFonts w:ascii="Arial" w:hAnsi="Arial" w:cs="Arial"/>
                <w:bCs/>
                <w:sz w:val="28"/>
                <w:szCs w:val="24"/>
                <w:lang w:val="en-US"/>
              </w:rPr>
            </w:pPr>
            <w:r>
              <w:rPr>
                <w:b w:val="false"/>
              </w:rPr>
              <w:t>Area name</w:t>
            </w:r>
          </w:p>
        </w:tc>
        <w:tc>
          <w:tcPr>
            <w:tcW w:w="2322" w:type="dxa"/>
            <w:shd w:val="clear" w:color="auto" w:fill="989E95"/>
            <w:vAlign w:val="center"/>
          </w:tcPr>
          <w:p w14:paraId="6857B1E1" w14:textId="77777777" w:rsidR="00903F96" w:rsidRPr="00BB5186" w:rsidRDefault="00903F96" w:rsidP="00C96B85">
            <w:pPr>
              <w:pStyle w:val="paragraph"/>
              <w:spacing w:after="100"/>
              <w:jc w:val="right"/>
              <w:textAlignment w:val="center"/>
              <w:rPr>
                <w:rFonts w:ascii="Arial" w:hAnsi="Arial" w:cs="Arial"/>
                <w:bCs/>
                <w:sz w:val="28"/>
                <w:szCs w:val="24"/>
                <w:lang w:val="en-US"/>
              </w:rPr>
            </w:pPr>
            <w:r w:rsidRPr="00BB5186">
              <w:rPr>
                <w:rFonts w:ascii="Arial" w:hAnsi="Arial" w:cs="Arial"/>
                <w:bCs/>
                <w:sz w:val="28"/>
                <w:szCs w:val="24"/>
                <w:lang w:val="en-US"/>
              </w:rPr>
              <w:t>Surface</w:t>
            </w:r>
          </w:p>
        </w:tc>
      </w:tr>
      <w:tr>
        <w:tc>
          <w:tcPr>
            <w:shd w:color="auto" w:val="clear" w:fill="B8BDB5"/>
            <w:vAlign w:val="center"/>
          </w:tcPr>
          <w:p>
            <w:pPr>
              <w:pStyle w:val="Normal"/>
              <w:spacing w:after="100"/>
              <w:jc w:val="left"/>
              <w:textAlignment w:val="center"/>
            </w:pPr>
            <w:r>
              <w:rPr>
                <w:b w:val="true"/>
              </w:rPr>
              <w:t>Available areas</w:t>
            </w:r>
          </w:p>
        </w:tc>
        <w:tc>
          <w:tcPr>
            <w:shd w:color="auto" w:val="clear" w:fill="B8BDB5"/>
            <w:vAlign w:val="center"/>
          </w:tcPr>
          <w:p>
            <w:pPr>
              <w:pStyle w:val="Normal"/>
              <w:spacing w:after="100"/>
              <w:jc w:val="right"/>
              <w:textAlignment w:val="center"/>
            </w:pPr>
            <w:r>
              <w:rPr>
                <w:b w:val="true"/>
              </w:rPr>
              <w:t/>
            </w:r>
          </w:p>
        </w:tc>
      </w:tr>
      <w:tr>
        <w:tc>
          <w:tcPr>
            <w:shd w:color="auto" w:val="clear" w:fill="ffffff"/>
            <w:vAlign w:val="center"/>
          </w:tcPr>
          <w:p>
            <w:pPr>
              <w:pStyle w:val="Normal"/>
              <w:spacing w:after="100"/>
              <w:jc w:val="left"/>
              <w:textAlignment w:val="center"/>
            </w:pPr>
            <w:r>
              <w:rPr>
                <w:b w:val="false"/>
              </w:rPr>
              <w:t>Area 1</w:t>
            </w:r>
          </w:p>
        </w:tc>
        <w:tc>
          <w:tcPr>
            <w:shd w:color="auto" w:val="clear" w:fill="ffffff"/>
            <w:vAlign w:val="center"/>
          </w:tcPr>
          <w:p>
            <w:pPr>
              <w:pStyle w:val="Normal"/>
              <w:spacing w:after="100"/>
              <w:jc w:val="right"/>
              <w:textAlignment w:val="center"/>
            </w:pPr>
            <w:r>
              <w:rPr>
                <w:b w:val="false"/>
              </w:rPr>
              <w:t>5.59 ha</w:t>
            </w:r>
          </w:p>
        </w:tc>
      </w:tr>
      <w:tr>
        <w:tc>
          <w:tcPr>
            <w:shd w:color="auto" w:val="clear" w:fill="ffffff"/>
            <w:vAlign w:val="center"/>
          </w:tcPr>
          <w:p>
            <w:pPr>
              <w:pStyle w:val="Normal"/>
              <w:spacing w:after="100"/>
              <w:jc w:val="left"/>
              <w:textAlignment w:val="center"/>
            </w:pPr>
            <w:r>
              <w:rPr>
                <w:b w:val="false"/>
              </w:rPr>
              <w:t>Area 2</w:t>
            </w:r>
          </w:p>
        </w:tc>
        <w:tc>
          <w:tcPr>
            <w:shd w:color="auto" w:val="clear" w:fill="ffffff"/>
            <w:vAlign w:val="center"/>
          </w:tcPr>
          <w:p>
            <w:pPr>
              <w:pStyle w:val="Normal"/>
              <w:spacing w:after="100"/>
              <w:jc w:val="right"/>
              <w:textAlignment w:val="center"/>
            </w:pPr>
            <w:r>
              <w:rPr>
                <w:b w:val="false"/>
              </w:rPr>
              <w:t>12.03 ha</w:t>
            </w:r>
          </w:p>
        </w:tc>
      </w:tr>
      <w:tr>
        <w:tc>
          <w:tcPr>
            <w:shd w:color="auto" w:val="clear" w:fill="ffffff"/>
            <w:vAlign w:val="center"/>
          </w:tcPr>
          <w:p>
            <w:pPr>
              <w:pStyle w:val="Normal"/>
              <w:spacing w:after="100"/>
              <w:jc w:val="left"/>
              <w:textAlignment w:val="center"/>
            </w:pPr>
            <w:r>
              <w:rPr>
                <w:b w:val="false"/>
              </w:rPr>
              <w:t>Area 3</w:t>
            </w:r>
          </w:p>
        </w:tc>
        <w:tc>
          <w:tcPr>
            <w:shd w:color="auto" w:val="clear" w:fill="ffffff"/>
            <w:vAlign w:val="center"/>
          </w:tcPr>
          <w:p>
            <w:pPr>
              <w:pStyle w:val="Normal"/>
              <w:spacing w:after="100"/>
              <w:jc w:val="right"/>
              <w:textAlignment w:val="center"/>
            </w:pPr>
            <w:r>
              <w:rPr>
                <w:b w:val="false"/>
              </w:rPr>
              <w:t>27.12 ha</w:t>
            </w:r>
          </w:p>
        </w:tc>
      </w:tr>
      <w:tr>
        <w:tc>
          <w:tcPr>
            <w:shd w:color="auto" w:val="clear" w:fill="ffffff"/>
            <w:vAlign w:val="center"/>
          </w:tcPr>
          <w:p>
            <w:pPr>
              <w:pStyle w:val="Normal"/>
              <w:spacing w:after="100"/>
              <w:jc w:val="left"/>
              <w:textAlignment w:val="center"/>
            </w:pPr>
            <w:r>
              <w:rPr>
                <w:b w:val="false"/>
              </w:rPr>
              <w:t>Area 4</w:t>
            </w:r>
          </w:p>
        </w:tc>
        <w:tc>
          <w:tcPr>
            <w:shd w:color="auto" w:val="clear" w:fill="ffffff"/>
            <w:vAlign w:val="center"/>
          </w:tcPr>
          <w:p>
            <w:pPr>
              <w:pStyle w:val="Normal"/>
              <w:spacing w:after="100"/>
              <w:jc w:val="right"/>
              <w:textAlignment w:val="center"/>
            </w:pPr>
            <w:r>
              <w:rPr>
                <w:b w:val="false"/>
              </w:rPr>
              <w:t>9.68 ha</w:t>
            </w:r>
          </w:p>
        </w:tc>
      </w:tr>
      <w:tr>
        <w:tc>
          <w:tcPr>
            <w:shd w:color="auto" w:val="clear" w:fill="B8BDB5"/>
            <w:vAlign w:val="center"/>
          </w:tcPr>
          <w:p>
            <w:pPr>
              <w:pStyle w:val="Normal"/>
              <w:spacing w:after="100"/>
              <w:jc w:val="left"/>
              <w:textAlignment w:val="center"/>
            </w:pPr>
            <w:r>
              <w:rPr>
                <w:b w:val="true"/>
              </w:rPr>
              <w:t>Interconnection facility areas</w:t>
            </w:r>
          </w:p>
        </w:tc>
        <w:tc>
          <w:tcPr>
            <w:shd w:color="auto" w:val="clear" w:fill="B8BDB5"/>
            <w:vAlign w:val="center"/>
          </w:tcPr>
          <w:p>
            <w:pPr>
              <w:pStyle w:val="Normal"/>
              <w:spacing w:after="100"/>
              <w:jc w:val="right"/>
              <w:textAlignment w:val="center"/>
            </w:pPr>
            <w:r>
              <w:rPr>
                <w:b w:val="true"/>
              </w:rPr>
              <w:t/>
            </w:r>
          </w:p>
        </w:tc>
      </w:tr>
      <w:tr>
        <w:tc>
          <w:tcPr>
            <w:shd w:color="auto" w:val="clear" w:fill="ffffff"/>
            <w:vAlign w:val="center"/>
          </w:tcPr>
          <w:p>
            <w:pPr>
              <w:pStyle w:val="Normal"/>
              <w:spacing w:after="100"/>
              <w:jc w:val="left"/>
              <w:textAlignment w:val="center"/>
            </w:pPr>
            <w:r>
              <w:drawing>
                <wp:inline distT="0" distR="0" distB="0" distL="0">
                  <wp:extent cx="127000" cy="127000"/>
                  <wp:docPr id="0" name="Drawing 0" descr=""/>
                  <a:graphic xmlns:a="http://schemas.openxmlformats.org/drawingml/2006/main">
                    <a:graphicData uri="http://schemas.openxmlformats.org/drawingml/2006/picture">
                      <pic:pic xmlns:pic="http://schemas.openxmlformats.org/drawingml/2006/picture">
                        <pic:nvPicPr>
                          <pic:cNvPr id="0" name="Picture 0" descr=""/>
                          <pic:cNvPicPr>
                            <a:picLocks noChangeAspect="true"/>
                          </pic:cNvPicPr>
                        </pic:nvPicPr>
                        <pic:blipFill>
                          <a:blip r:embed="rId13"/>
                          <a:stretch>
                            <a:fillRect/>
                          </a:stretch>
                        </pic:blipFill>
                        <pic:spPr>
                          <a:xfrm>
                            <a:off x="0" y="0"/>
                            <a:ext cx="127000" cy="127000"/>
                          </a:xfrm>
                          <a:prstGeom prst="rect">
                            <a:avLst/>
                          </a:prstGeom>
                        </pic:spPr>
                      </pic:pic>
                    </a:graphicData>
                  </a:graphic>
                </wp:inline>
              </w:drawing>
            </w:r>
            <w:r>
              <w:rPr>
                <w:b w:val="false"/>
              </w:rPr>
              <w:t xml:space="preserve"> ST</w:t>
            </w:r>
          </w:p>
        </w:tc>
        <w:tc>
          <w:tcPr>
            <w:shd w:color="auto" w:val="clear" w:fill="ffffff"/>
            <w:vAlign w:val="center"/>
          </w:tcPr>
          <w:p>
            <w:pPr>
              <w:pStyle w:val="Normal"/>
              <w:spacing w:after="100"/>
              <w:jc w:val="right"/>
              <w:textAlignment w:val="center"/>
            </w:pPr>
            <w:r>
              <w:rPr>
                <w:b w:val="false"/>
              </w:rPr>
              <w:t/>
            </w:r>
          </w:p>
        </w:tc>
      </w:tr>
      <w:tr>
        <w:tc>
          <w:tcPr>
            <w:shd w:color="auto" w:val="clear" w:fill="ffffff"/>
            <w:vAlign w:val="center"/>
          </w:tcPr>
          <w:p>
            <w:pPr>
              <w:pStyle w:val="Normal"/>
              <w:spacing w:after="100"/>
              <w:jc w:val="left"/>
              <w:textAlignment w:val="center"/>
            </w:pPr>
            <w:r>
              <w:rPr>
                <w:b w:val="false"/>
              </w:rPr>
              <w:t xml:space="preserve">       Area 1</w:t>
            </w:r>
          </w:p>
        </w:tc>
        <w:tc>
          <w:tcPr>
            <w:shd w:color="auto" w:val="clear" w:fill="ffffff"/>
            <w:vAlign w:val="center"/>
          </w:tcPr>
          <w:p>
            <w:pPr>
              <w:pStyle w:val="Normal"/>
              <w:spacing w:after="100"/>
              <w:jc w:val="right"/>
              <w:textAlignment w:val="center"/>
            </w:pPr>
            <w:r>
              <w:rPr>
                <w:b w:val="false"/>
              </w:rPr>
              <w:t>0.28 ha</w:t>
            </w:r>
          </w:p>
        </w:tc>
      </w:tr>
      <w:tr>
        <w:tc>
          <w:tcPr>
            <w:shd w:color="auto" w:val="clear" w:fill="B8BDB5"/>
            <w:vAlign w:val="center"/>
          </w:tcPr>
          <w:p>
            <w:pPr>
              <w:pStyle w:val="Normal"/>
              <w:spacing w:after="100"/>
              <w:jc w:val="left"/>
              <w:textAlignment w:val="center"/>
            </w:pPr>
            <w:r>
              <w:rPr>
                <w:b w:val="true"/>
              </w:rPr>
              <w:t>Total available area</w:t>
            </w:r>
          </w:p>
        </w:tc>
        <w:tc>
          <w:tcPr>
            <w:shd w:color="auto" w:val="clear" w:fill="B8BDB5"/>
            <w:vAlign w:val="center"/>
          </w:tcPr>
          <w:p>
            <w:pPr>
              <w:pStyle w:val="Normal"/>
              <w:spacing w:after="100"/>
              <w:jc w:val="right"/>
              <w:textAlignment w:val="center"/>
            </w:pPr>
            <w:r>
              <w:rPr>
                <w:b w:val="true"/>
              </w:rPr>
              <w:t>54.15 ha</w:t>
            </w:r>
          </w:p>
        </w:tc>
      </w:tr>
    </w:tbl>
    <w:p w14:paraId="1D6F4DB4" w14:textId="4B573975" w:rsidR="00D800C1" w:rsidRPr="00D800C1" w:rsidRDefault="00D800C1" w:rsidP="00D800C1">
      <w:pPr>
        <w:pStyle w:val="paragraph"/>
        <w:rPr>
          <w:rFonts w:ascii="Arial" w:hAnsi="Arial" w:cs="Arial"/>
          <w:lang w:val="en-US"/>
        </w:rPr>
      </w:pPr>
      <w:r>
        <w:rPr>
          <w:b w:val="false"/>
        </w:rPr>
        <w:t>The substation(s), the plot area(s) and, if any, the restricted area(s) are shown in Figure 4.</w:t>
      </w:r>
    </w:p>
    <w:p w14:paraId="6964DD84" w14:textId="77777777" w:rsidR="00903F96" w:rsidRPr="0098155F" w:rsidRDefault="00903F96" w:rsidP="00903F96">
      <w:pPr>
        <w:pStyle w:val="paragraph"/>
        <w:jc w:val="center"/>
        <w:rPr>
          <w:rFonts w:ascii="Arial" w:hAnsi="Arial" w:cs="Arial"/>
          <w:lang w:val="en-US"/>
        </w:rPr>
      </w:pPr>
      <w:r>
        <w:drawing>
          <wp:inline distT="0" distR="0" distB="0" distL="0">
            <wp:extent cx="5372100" cy="3327400"/>
            <wp:docPr id="7" name="Drawing 7" descr="PV Plant Plot Areas.png"/>
            <a:graphic xmlns:a="http://schemas.openxmlformats.org/drawingml/2006/main">
              <a:graphicData uri="http://schemas.openxmlformats.org/drawingml/2006/picture">
                <pic:pic xmlns:pic="http://schemas.openxmlformats.org/drawingml/2006/picture">
                  <pic:nvPicPr>
                    <pic:cNvPr id="0" name="Picture 7" descr="PV Plant Plot Areas.png"/>
                    <pic:cNvPicPr>
                      <a:picLocks noChangeAspect="true"/>
                    </pic:cNvPicPr>
                  </pic:nvPicPr>
                  <pic:blipFill>
                    <a:blip r:embed="rId20"/>
                    <a:stretch>
                      <a:fillRect/>
                    </a:stretch>
                  </pic:blipFill>
                  <pic:spPr>
                    <a:xfrm>
                      <a:off x="0" y="0"/>
                      <a:ext cx="5372100" cy="3327400"/>
                    </a:xfrm>
                    <a:prstGeom prst="rect">
                      <a:avLst/>
                    </a:prstGeom>
                  </pic:spPr>
                </pic:pic>
              </a:graphicData>
            </a:graphic>
          </wp:inline>
        </w:drawing>
      </w:r>
    </w:p>
    <w:p w14:paraId="5D930DA2" w14:textId="77777777" w:rsidR="00903F96" w:rsidRPr="0098155F" w:rsidRDefault="00903F96" w:rsidP="00903F96">
      <w:pPr>
        <w:pStyle w:val="NameTableImg"/>
        <w:rPr>
          <w:rFonts w:cs="Arial"/>
          <w:lang w:val="en-US"/>
        </w:rPr>
      </w:pPr>
      <w:r>
        <w:rPr>
          <w:b w:val="false"/>
          <w:i w:val="true"/>
        </w:rPr>
        <w:t>Figure 4. Plot Areas of the Webinar Amperecloud PV Plant</w:t>
      </w:r>
    </w:p>
    <w:p w14:paraId="6D7EE347" w14:textId="77777777" w:rsidR="00903F96" w:rsidRPr="0098155F" w:rsidRDefault="00903F96" w:rsidP="00903F96">
      <w:pPr>
        <w:pStyle w:val="Title2"/>
        <w:rPr>
          <w:rFonts w:cs="Arial"/>
          <w:lang w:val="en-US"/>
        </w:rPr>
      </w:pPr>
      <w:r>
        <w:rPr>
          <w:rFonts w:ascii="Arial" w:hAnsi="Arial" w:cs="Arial" w:eastAsia="Arial"/>
          <w:b w:val="false"/>
          <w:sz w:val="28"/>
        </w:rPr>
        <w:t xml:space="preserve">2.3. </w:t>
      </w:r>
      <w:bookmarkStart w:id="4" w:name="4"/>
      <w:r>
        <w:rPr>
          <w:rFonts w:ascii="Arial" w:hAnsi="Arial" w:cs="Arial" w:eastAsia="Arial"/>
          <w:b w:val="false"/>
          <w:sz w:val="28"/>
        </w:rPr>
        <w:t>Topography</w:t>
      </w:r>
      <w:bookmarkEnd w:id="4"/>
    </w:p>
    <w:p w14:paraId="37E21C6B" w14:textId="77777777" w:rsidR="00903F96" w:rsidRPr="0098155F" w:rsidRDefault="00903F96" w:rsidP="00903F96">
      <w:pPr>
        <w:pStyle w:val="paragraph"/>
        <w:rPr>
          <w:rFonts w:ascii="Arial" w:hAnsi="Arial" w:cs="Arial"/>
          <w:lang w:val="en-US"/>
        </w:rPr>
      </w:pPr>
      <w:r>
        <w:rPr>
          <w:b w:val="false"/>
        </w:rPr>
        <w:t>A preliminary terrain topography analysis was performed to study the suitability of the terrain for the construction of a photovoltaic plant. The North-South and East-West slopes were calculated and are shown in Figure 5.</w:t>
      </w:r>
    </w:p>
    <w:p w14:paraId="72CA9DC0" w14:textId="77777777" w:rsidR="00903F96" w:rsidRPr="0098155F" w:rsidRDefault="00903F96" w:rsidP="00903F96">
      <w:pPr>
        <w:pStyle w:val="paragraph"/>
        <w:rPr>
          <w:rFonts w:ascii="Arial" w:hAnsi="Arial" w:cs="Arial"/>
          <w:lang w:val="en-US"/>
        </w:rPr>
      </w:pPr>
      <w:bookmarkStart w:id="3" w:name="_Hlk51830166"/>
      <w:r>
        <w:rPr>
          <w:b w:val="false"/>
        </w:rPr>
        <w:t>The elevation data was uploaded by the user in CSV (XYZ) format.</w:t>
      </w:r>
    </w:p>
    <w:bookmarkEnd w:id="3"/>
    <w:p w14:paraId="6212C25D" w14:textId="77777777" w:rsidR="00903F96" w:rsidRPr="0098155F" w:rsidRDefault="00903F96" w:rsidP="00903F96">
      <w:pPr>
        <w:pStyle w:val="paragraph"/>
        <w:rPr>
          <w:rFonts w:ascii="Arial" w:hAnsi="Arial" w:cs="Arial"/>
          <w:lang w:val="en-US"/>
        </w:rPr>
      </w:pPr>
      <w:r w:rsidRPr="0098155F">
        <w:rPr>
          <w:rFonts w:ascii="Arial" w:hAnsi="Arial" w:cs="Arial"/>
          <w:lang w:val="en-US"/>
        </w:rPr>
        <w:t>The analysis of the terrain slopes results in three differentiated areas:</w:t>
      </w:r>
    </w:p>
    <w:p w14:paraId="04B74E1E" w14:textId="77777777" w:rsidR="00903F96" w:rsidRPr="0098155F" w:rsidRDefault="00903F96" w:rsidP="00903F96">
      <w:pPr>
        <w:pStyle w:val="BulletsDoc"/>
        <w:numPr>
          <w:ilvl w:val="0"/>
          <w:numId w:val="8"/>
        </w:numPr>
        <w:rPr>
          <w:rFonts w:ascii="Arial" w:hAnsi="Arial" w:cs="Arial"/>
        </w:rPr>
      </w:pPr>
      <w:bookmarkStart w:id="4" w:name="_Hlk51830216"/>
      <w:bookmarkEnd w:id="4"/>
      <w:bookmarkStart w:id="5" w:name="_Hlk513642503"/>
      <w:r>
        <w:rPr>
          <w:b w:val="false"/>
        </w:rPr>
        <w:t>Zones where the slope is lower than 5.00 %.</w:t>
      </w:r>
    </w:p>
    <w:p w14:paraId="073C90B2" w14:textId="77777777" w:rsidR="00903F96" w:rsidRPr="0098155F" w:rsidRDefault="00903F96" w:rsidP="00903F96">
      <w:pPr>
        <w:pStyle w:val="BulletsDoc"/>
        <w:numPr>
          <w:ilvl w:val="0"/>
          <w:numId w:val="8"/>
        </w:numPr>
        <w:rPr>
          <w:rFonts w:ascii="Arial" w:hAnsi="Arial" w:cs="Arial"/>
        </w:rPr>
      </w:pPr>
      <w:bookmarkStart w:id="6" w:name="_Hlk51830229"/>
      <w:bookmarkEnd w:id="6"/>
      <w:bookmarkEnd w:id="5"/>
      <w:r>
        <w:rPr>
          <w:b w:val="false"/>
        </w:rPr>
        <w:t>Zones where the slope is between 5.00 % and 10.00 %.</w:t>
      </w:r>
    </w:p>
    <w:p w14:paraId="3987AE31" w14:textId="77777777" w:rsidR="00903F96" w:rsidRPr="0098155F" w:rsidRDefault="00903F96" w:rsidP="00903F96">
      <w:pPr>
        <w:pStyle w:val="BulletsDoc"/>
        <w:numPr>
          <w:ilvl w:val="0"/>
          <w:numId w:val="8"/>
        </w:numPr>
        <w:rPr>
          <w:rFonts w:ascii="Arial" w:hAnsi="Arial" w:cs="Arial"/>
        </w:rPr>
      </w:pPr>
      <w:r>
        <w:rPr>
          <w:b w:val="false"/>
        </w:rPr>
        <w:t>Zones where the slope is greater than 15.00 %.</w:t>
      </w:r>
    </w:p>
    <w:p w14:paraId="25326A1D" w14:textId="77777777" w:rsidR="00903F96" w:rsidRPr="0098155F" w:rsidRDefault="00903F96" w:rsidP="00903F96">
      <w:pPr>
        <w:pStyle w:val="paragraph"/>
        <w:rPr>
          <w:rFonts w:ascii="Arial" w:hAnsi="Arial" w:cs="Arial"/>
          <w:lang w:val="en-US"/>
        </w:rPr>
      </w:pPr>
      <w:r w:rsidRPr="0098155F">
        <w:rPr>
          <w:rFonts w:ascii="Arial" w:hAnsi="Arial" w:cs="Arial"/>
          <w:lang w:val="en-US"/>
        </w:rPr>
        <w:t>NOTE: The slopes measured on site when performing a detailed topographical analysis could be greater than the slopes obtained using this analysis.</w:t>
      </w:r>
    </w:p>
    <w:p w14:paraId="1A1DABFC" w14:textId="77777777" w:rsidR="00903F96" w:rsidRPr="0098155F" w:rsidRDefault="00903F96" w:rsidP="00903F96">
      <w:pPr>
        <w:pStyle w:val="paragraph"/>
        <w:rPr>
          <w:rFonts w:ascii="Arial" w:hAnsi="Arial" w:cs="Arial"/>
          <w:lang w:val="en-US"/>
        </w:rPr>
      </w:pPr>
      <w:r>
        <w:rPr>
          <w:b w:val="false"/>
        </w:rPr>
        <w:t>The map shown in the Figure 5 represents the slopes of the terrain, with the following colors representing:</w:t>
      </w:r>
    </w:p>
    <w:p w14:paraId="7F5BA707" w14:textId="77777777" w:rsidR="00903F96" w:rsidRPr="0098155F" w:rsidRDefault="00903F96" w:rsidP="00903F96">
      <w:pPr>
        <w:pStyle w:val="BulletsDoc"/>
        <w:numPr>
          <w:ilvl w:val="0"/>
          <w:numId w:val="8"/>
        </w:numPr>
        <w:rPr>
          <w:rFonts w:ascii="Arial" w:hAnsi="Arial" w:cs="Arial"/>
          <w:color w:val="00B050"/>
        </w:rPr>
      </w:pPr>
      <w:bookmarkStart w:id="7" w:name="_Hlk51830244"/>
      <w:bookmarkEnd w:id="7"/>
      <w:r>
        <w:rPr>
          <w:b w:val="false"/>
          <w:color w:val="00B050"/>
        </w:rPr>
        <w:t>Slopes &lt;5.00 %</w:t>
      </w:r>
    </w:p>
    <w:p w14:paraId="7A23B87E" w14:textId="77777777" w:rsidR="00903F96" w:rsidRPr="0098155F" w:rsidRDefault="00903F96" w:rsidP="00903F96">
      <w:pPr>
        <w:pStyle w:val="BulletsDoc"/>
        <w:numPr>
          <w:ilvl w:val="0"/>
          <w:numId w:val="8"/>
        </w:numPr>
        <w:rPr>
          <w:rFonts w:ascii="Arial" w:hAnsi="Arial" w:cs="Arial"/>
          <w:color w:val="FF7401"/>
        </w:rPr>
      </w:pPr>
      <w:bookmarkStart w:id="8" w:name="_Hlk51830253"/>
      <w:bookmarkEnd w:id="8"/>
      <w:r>
        <w:rPr>
          <w:b w:val="false"/>
          <w:color w:val="FF7401"/>
        </w:rPr>
        <w:t>Slopes &gt;5.00 % and &lt;10.00 %</w:t>
      </w:r>
    </w:p>
    <w:p w14:paraId="4769AAD7" w14:textId="77777777" w:rsidR="00903F96" w:rsidRPr="0098155F" w:rsidRDefault="00903F96" w:rsidP="00903F96">
      <w:pPr>
        <w:pStyle w:val="BulletsDoc"/>
        <w:numPr>
          <w:ilvl w:val="0"/>
          <w:numId w:val="8"/>
        </w:numPr>
        <w:rPr>
          <w:rFonts w:ascii="Arial" w:hAnsi="Arial" w:cs="Arial"/>
          <w:color w:val="FF0000"/>
        </w:rPr>
      </w:pPr>
      <w:bookmarkStart w:id="9" w:name="_Hlk51830269"/>
      <w:bookmarkEnd w:id="9"/>
      <w:r>
        <w:rPr>
          <w:b w:val="false"/>
          <w:color w:val="FF0000"/>
        </w:rPr>
        <w:t>Slopes &gt;10.00 % and &lt;15.00 %</w:t>
      </w:r>
    </w:p>
    <w:p w14:paraId="3BCBD7B1" w14:textId="77777777" w:rsidR="00903F96" w:rsidRPr="0098155F" w:rsidRDefault="00903F96" w:rsidP="00903F96">
      <w:pPr>
        <w:pStyle w:val="BulletsDoc"/>
        <w:numPr>
          <w:ilvl w:val="0"/>
          <w:numId w:val="8"/>
        </w:numPr>
        <w:rPr>
          <w:rFonts w:ascii="Arial" w:hAnsi="Arial" w:cs="Arial"/>
          <w:color w:val="7030A0"/>
        </w:rPr>
      </w:pPr>
      <w:bookmarkStart w:id="10" w:name="_Hlk51830281"/>
      <w:bookmarkEnd w:id="10"/>
      <w:r>
        <w:rPr>
          <w:b w:val="false"/>
          <w:color w:val="7030A0"/>
        </w:rPr>
        <w:t>Slopes &gt;15.00 %</w:t>
      </w:r>
    </w:p>
    <w:p w14:paraId="161E761F" w14:textId="77777777" w:rsidR="00903F96" w:rsidRPr="0098155F" w:rsidRDefault="00903F96" w:rsidP="00903F96">
      <w:pPr>
        <w:pStyle w:val="paragraph"/>
        <w:rPr>
          <w:rFonts w:ascii="Arial" w:hAnsi="Arial" w:cs="Arial"/>
          <w:lang w:val="en-US"/>
        </w:rPr>
      </w:pPr>
      <w:r w:rsidRPr="0098155F">
        <w:rPr>
          <w:rFonts w:ascii="Arial" w:hAnsi="Arial" w:cs="Arial"/>
          <w:lang w:val="en-US"/>
        </w:rPr>
        <w:t>Using the previously mentioned elevation data, the position of the mounting structures in the terrain was calculated. The slope of the terrain in the North-South and East-West directions under the structures was calculated. The position of the structure posts was also calculated, including ground elevation and post height.</w:t>
      </w:r>
    </w:p>
    <w:p w14:paraId="29A64E6B" w14:textId="77777777" w:rsidR="00903F96" w:rsidRPr="0098155F" w:rsidRDefault="00903F96" w:rsidP="00903F96">
      <w:pPr>
        <w:pStyle w:val="paragraph"/>
        <w:rPr>
          <w:rFonts w:ascii="Arial" w:hAnsi="Arial" w:cs="Arial"/>
          <w:lang w:val="en-US"/>
        </w:rPr>
      </w:pPr>
      <w:r>
        <w:rPr>
          <w:b w:val="false"/>
        </w:rPr>
        <w:t>For some structures, earth works were performed to adequate the terrain to the limits set by the mounting structure manufacturer. The conditions required to perform earth works were as follows:</w:t>
      </w:r>
    </w:p>
    <w:p w14:paraId="6C1B1976" w14:textId="77777777" w:rsidR="00903F96" w:rsidRPr="0098155F" w:rsidRDefault="00903F96" w:rsidP="00903F96">
      <w:pPr>
        <w:pStyle w:val="BulletsDoc"/>
        <w:numPr>
          <w:ilvl w:val="0"/>
          <w:numId w:val="8"/>
        </w:numPr>
        <w:rPr>
          <w:rFonts w:ascii="Arial" w:hAnsi="Arial" w:cs="Arial"/>
        </w:rPr>
      </w:pPr>
      <w:r>
        <w:rPr>
          <w:b w:val="false"/>
        </w:rPr>
        <w:t>The slope in the North-South direction is between 25.00 % and 15.00 %.</w:t>
      </w:r>
    </w:p>
    <w:bookmarkEnd w:id="11"/>
    <w:p w14:paraId="66ACC5B7" w14:textId="77777777" w:rsidR="00903F96" w:rsidRPr="0098155F" w:rsidRDefault="00903F96" w:rsidP="00903F96">
      <w:pPr>
        <w:pStyle w:val="BulletsDoc"/>
        <w:numPr>
          <w:ilvl w:val="0"/>
          <w:numId w:val="8"/>
        </w:numPr>
        <w:rPr>
          <w:rFonts w:ascii="Arial" w:hAnsi="Arial" w:cs="Arial"/>
        </w:rPr>
      </w:pPr>
      <w:r>
        <w:rPr>
          <w:b w:val="false"/>
        </w:rPr>
        <w:t>The slope in the East-West direction is between 20.00 % and 10.00 %.</w:t>
      </w:r>
    </w:p>
    <w:p w14:paraId="1DB9C279" w14:textId="77777777" w:rsidR="00903F96" w:rsidRPr="0098155F" w:rsidRDefault="00903F96" w:rsidP="00903F96">
      <w:pPr>
        <w:pStyle w:val="paragraph"/>
        <w:rPr>
          <w:rFonts w:ascii="Arial" w:hAnsi="Arial" w:cs="Arial"/>
          <w:lang w:val="en-US"/>
        </w:rPr>
      </w:pPr>
      <w:bookmarkStart w:id="12" w:name="_Hlk51830375"/>
      <w:bookmarkEnd w:id="12"/>
      <w:r>
        <w:rPr>
          <w:b w:val="false"/>
        </w:rPr>
        <w:t>The structures which did not meet the following requirements were removed from the layout:</w:t>
      </w:r>
    </w:p>
    <w:p w14:paraId="7A666E4D" w14:textId="77777777" w:rsidR="00903F96" w:rsidRPr="0098155F" w:rsidRDefault="00903F96" w:rsidP="00903F96">
      <w:pPr>
        <w:pStyle w:val="BulletsDoc"/>
        <w:numPr>
          <w:ilvl w:val="0"/>
          <w:numId w:val="8"/>
        </w:numPr>
        <w:rPr>
          <w:rFonts w:ascii="Arial" w:hAnsi="Arial" w:cs="Arial"/>
        </w:rPr>
      </w:pPr>
      <w:bookmarkStart w:id="13" w:name="_Hlk51830468"/>
      <w:bookmarkEnd w:id="13"/>
      <w:r>
        <w:rPr>
          <w:b w:val="false"/>
        </w:rPr>
        <w:t>The structure must be within the bounds of the Digital Elevation Model (DEM).</w:t>
      </w:r>
    </w:p>
    <w:p w14:paraId="1372B250" w14:textId="77777777" w:rsidR="00A104F2" w:rsidRPr="0098155F" w:rsidRDefault="00903F96" w:rsidP="005776E3">
      <w:pPr>
        <w:pStyle w:val="BulletsDoc"/>
        <w:numPr>
          <w:ilvl w:val="0"/>
          <w:numId w:val="8"/>
        </w:numPr>
        <w:rPr>
          <w:rFonts w:ascii="Arial" w:hAnsi="Arial" w:cs="Arial"/>
        </w:rPr>
      </w:pPr>
      <w:bookmarkStart w:id="14" w:name="_Hlk51830486"/>
      <w:bookmarkEnd w:id="14"/>
      <w:bookmarkStart w:id="15" w:name="_Hlk51830577"/>
      <w:bookmarkEnd w:id="15"/>
      <w:r>
        <w:rPr>
          <w:b w:val="false"/>
        </w:rPr>
        <w:t>The slope of the structure in the North-South direction must be lower than 15.00 %.</w:t>
      </w:r>
    </w:p>
    <w:bookmarkEnd w:id="16"/>
    <w:p w14:paraId="60F14921" w14:textId="7E440B4E" w:rsidR="00903F96" w:rsidRPr="0098155F" w:rsidRDefault="00903F96" w:rsidP="005776E3">
      <w:pPr>
        <w:pStyle w:val="BulletsDoc"/>
        <w:numPr>
          <w:ilvl w:val="0"/>
          <w:numId w:val="8"/>
        </w:numPr>
        <w:rPr>
          <w:rFonts w:ascii="Arial" w:hAnsi="Arial" w:cs="Arial"/>
        </w:rPr>
      </w:pPr>
      <w:bookmarkStart w:id="17" w:name="_Hlk51830497"/>
      <w:bookmarkEnd w:id="17"/>
      <w:bookmarkStart w:id="18" w:name="_Hlk152066226"/>
      <w:bookmarkEnd w:id="18"/>
      <w:r>
        <w:rPr>
          <w:b w:val="false"/>
        </w:rPr>
        <w:t>The slope of the structure in the East-West direction must be lower than 10.00 %.</w:t>
      </w:r>
    </w:p>
    <w:bookmarkEnd w:id="22"/>
    <w:p w14:paraId="080750A1" w14:textId="77777777" w:rsidR="00903F96" w:rsidRPr="0098155F" w:rsidRDefault="00903F96" w:rsidP="00903F96">
      <w:pPr>
        <w:pStyle w:val="paragraph"/>
        <w:jc w:val="center"/>
        <w:rPr>
          <w:rFonts w:ascii="Arial" w:hAnsi="Arial" w:cs="Arial"/>
          <w:lang w:val="en-US"/>
        </w:rPr>
      </w:pPr>
      <w:r>
        <w:drawing>
          <wp:inline distT="0" distR="0" distB="0" distL="0">
            <wp:extent cx="5892800" cy="4165600"/>
            <wp:docPr id="8" name="Drawing 8" descr="Slopes of the terrain.png"/>
            <a:graphic xmlns:a="http://schemas.openxmlformats.org/drawingml/2006/main">
              <a:graphicData uri="http://schemas.openxmlformats.org/drawingml/2006/picture">
                <pic:pic xmlns:pic="http://schemas.openxmlformats.org/drawingml/2006/picture">
                  <pic:nvPicPr>
                    <pic:cNvPr id="0" name="Picture 8" descr="Slopes of the terrain.png"/>
                    <pic:cNvPicPr>
                      <a:picLocks noChangeAspect="true"/>
                    </pic:cNvPicPr>
                  </pic:nvPicPr>
                  <pic:blipFill>
                    <a:blip r:embed="rId21"/>
                    <a:stretch>
                      <a:fillRect/>
                    </a:stretch>
                  </pic:blipFill>
                  <pic:spPr>
                    <a:xfrm>
                      <a:off x="0" y="0"/>
                      <a:ext cx="5892800" cy="4165600"/>
                    </a:xfrm>
                    <a:prstGeom prst="rect">
                      <a:avLst/>
                    </a:prstGeom>
                  </pic:spPr>
                </pic:pic>
              </a:graphicData>
            </a:graphic>
          </wp:inline>
        </w:drawing>
      </w:r>
    </w:p>
    <w:p w14:paraId="1BACE876" w14:textId="77777777" w:rsidR="00903F96" w:rsidRPr="0098155F" w:rsidRDefault="00903F96" w:rsidP="00903F96">
      <w:pPr>
        <w:pStyle w:val="NameTableImg"/>
        <w:rPr>
          <w:rFonts w:cs="Arial"/>
          <w:lang w:val="en-US"/>
        </w:rPr>
      </w:pPr>
      <w:r>
        <w:rPr>
          <w:b w:val="false"/>
          <w:i w:val="true"/>
        </w:rPr>
        <w:t>Figure 5. Slopes of the plot areas (source: SRTM)</w:t>
      </w:r>
    </w:p>
    <w:p w14:paraId="70DC8D79" w14:textId="77777777" w:rsidR="00A52C9A" w:rsidRPr="0098155F" w:rsidRDefault="00A52C9A" w:rsidP="00A52C9A">
      <w:pPr>
        <w:pStyle w:val="paragraph"/>
        <w:rPr>
          <w:rFonts w:ascii="Arial" w:hAnsi="Arial" w:cs="Arial"/>
          <w:lang w:val="en-US"/>
        </w:rPr>
      </w:pPr>
      <w:r>
        <w:rPr>
          <w:b w:val="false"/>
        </w:rPr>
        <w:t>The north-south direction is considered to be the direction parallel to the axis of the structure (row slope). The east-west direction is considered to be the direction perpendicular to the axis of the structure (pitch slope). Rotating the layout may have an impact in the topography analysis, due to the rotation of the axis of the structure.</w:t>
      </w:r>
    </w:p>
    <w:p w14:paraId="535EC4A4" w14:textId="77777777" w:rsidR="00903F96" w:rsidRPr="0098155F" w:rsidRDefault="00903F96" w:rsidP="00903F96">
      <w:pPr>
        <w:pStyle w:val="Title2"/>
        <w:rPr>
          <w:rFonts w:cs="Arial"/>
          <w:lang w:val="en-US"/>
        </w:rPr>
      </w:pPr>
      <w:r>
        <w:rPr>
          <w:rFonts w:ascii="Arial" w:hAnsi="Arial" w:cs="Arial" w:eastAsia="Arial"/>
          <w:b w:val="false"/>
          <w:sz w:val="28"/>
        </w:rPr>
        <w:t xml:space="preserve">2.4. </w:t>
      </w:r>
      <w:bookmarkStart w:id="5" w:name="5"/>
      <w:r>
        <w:rPr>
          <w:rFonts w:ascii="Arial" w:hAnsi="Arial" w:cs="Arial" w:eastAsia="Arial"/>
          <w:b w:val="false"/>
          <w:sz w:val="28"/>
        </w:rPr>
        <w:t>Horizon profile</w:t>
      </w:r>
      <w:bookmarkEnd w:id="5"/>
    </w:p>
    <w:p w14:paraId="75AAB63F" w14:textId="77777777" w:rsidR="00903F96" w:rsidRPr="0098155F" w:rsidRDefault="00903F96" w:rsidP="00903F96">
      <w:pPr>
        <w:pStyle w:val="paragraph"/>
        <w:rPr>
          <w:rFonts w:ascii="Arial" w:hAnsi="Arial" w:cs="Arial"/>
          <w:lang w:val="en-US"/>
        </w:rPr>
      </w:pPr>
      <w:r w:rsidRPr="0098155F">
        <w:rPr>
          <w:rFonts w:ascii="Arial" w:hAnsi="Arial" w:cs="Arial"/>
          <w:lang w:val="en-US"/>
        </w:rPr>
        <w:t>The solar irradiance reaching the photovoltaic modules will change if there are hills or mountains on the horizon. These physical obstructions will block the beam component of the irradiance during some periods of the day and will have an impact on the diffuse component as well. Therefore, the horizon profile directly impacts the energy yield of the photovoltaic plant.</w:t>
      </w:r>
    </w:p>
    <w:p w14:paraId="311E7397" w14:textId="353597A6" w:rsidR="00903F96" w:rsidRPr="0098155F" w:rsidRDefault="00903F96" w:rsidP="00903F96">
      <w:pPr>
        <w:pStyle w:val="paragraph"/>
        <w:rPr>
          <w:rFonts w:ascii="Arial" w:hAnsi="Arial" w:cs="Arial"/>
          <w:lang w:val="en-US"/>
        </w:rPr>
      </w:pPr>
      <w:r>
        <w:rPr>
          <w:b w:val="false"/>
        </w:rPr>
        <w:t>The horizon line has an average elevation of 1.9° and a maximum elevation of 3.4°. Throughout the year, the Sun will be blocked by the horizon line for a total of 126 hours. The data source for the horizon line was PVGIS 5.2.</w:t>
      </w:r>
    </w:p>
    <w:p w14:paraId="7845467D" w14:textId="77777777" w:rsidR="00903F96" w:rsidRPr="0098155F" w:rsidRDefault="00903F96" w:rsidP="00903F96">
      <w:pPr>
        <w:pStyle w:val="paragraph"/>
        <w:rPr>
          <w:rFonts w:ascii="Arial" w:hAnsi="Arial" w:cs="Arial"/>
          <w:lang w:val="en-US"/>
        </w:rPr>
      </w:pPr>
      <w:r>
        <w:rPr>
          <w:b w:val="false"/>
        </w:rPr>
        <w:t>The blocked elevations over the complete azimuth range are shown in Figure 6.</w:t>
      </w:r>
    </w:p>
    <w:p w14:paraId="14AE1310" w14:textId="77777777" w:rsidR="00903F96" w:rsidRPr="0098155F" w:rsidRDefault="00903F96" w:rsidP="00903F96">
      <w:pPr>
        <w:pStyle w:val="paragraph"/>
        <w:jc w:val="center"/>
        <w:rPr>
          <w:rFonts w:ascii="Arial" w:hAnsi="Arial" w:cs="Arial"/>
          <w:lang w:val="en-US"/>
        </w:rPr>
      </w:pPr>
      <w:r>
        <w:drawing>
          <wp:inline distT="0" distR="0" distB="0" distL="0">
            <wp:extent cx="5892800" cy="2971800"/>
            <wp:docPr id="9" name="Drawing 9" descr="Horizon profile.png"/>
            <a:graphic xmlns:a="http://schemas.openxmlformats.org/drawingml/2006/main">
              <a:graphicData uri="http://schemas.openxmlformats.org/drawingml/2006/picture">
                <pic:pic xmlns:pic="http://schemas.openxmlformats.org/drawingml/2006/picture">
                  <pic:nvPicPr>
                    <pic:cNvPr id="0" name="Picture 9" descr="Horizon profile.png"/>
                    <pic:cNvPicPr>
                      <a:picLocks noChangeAspect="true"/>
                    </pic:cNvPicPr>
                  </pic:nvPicPr>
                  <pic:blipFill>
                    <a:blip r:embed="rId22"/>
                    <a:stretch>
                      <a:fillRect/>
                    </a:stretch>
                  </pic:blipFill>
                  <pic:spPr>
                    <a:xfrm>
                      <a:off x="0" y="0"/>
                      <a:ext cx="5892800" cy="2971800"/>
                    </a:xfrm>
                    <a:prstGeom prst="rect">
                      <a:avLst/>
                    </a:prstGeom>
                  </pic:spPr>
                </pic:pic>
              </a:graphicData>
            </a:graphic>
          </wp:inline>
        </w:drawing>
      </w:r>
    </w:p>
    <w:p w14:paraId="751E04C8" w14:textId="4DCBF156" w:rsidR="00903F96" w:rsidRPr="0098155F" w:rsidRDefault="00903F96" w:rsidP="00903F96">
      <w:pPr>
        <w:pStyle w:val="NameTableImg"/>
        <w:rPr>
          <w:rFonts w:cs="Arial"/>
          <w:lang w:val="en-US"/>
        </w:rPr>
      </w:pPr>
      <w:r>
        <w:rPr>
          <w:b w:val="false"/>
          <w:i w:val="true"/>
        </w:rPr>
        <w:t>Figure 6. Horizon profile (data source: PVGIS 5.2)</w:t>
      </w:r>
    </w:p>
    <w:p w14:paraId="1BAA60CC" w14:textId="77777777" w:rsidR="00903F96" w:rsidRPr="0098155F" w:rsidRDefault="00903F96" w:rsidP="00903F96">
      <w:pPr>
        <w:rPr>
          <w:rFonts w:ascii="Arial" w:hAnsi="Arial" w:cs="Arial"/>
          <w:color w:val="3F3F42" w:themeColor="background1" w:themeTint="E6"/>
          <w:sz w:val="24"/>
          <w:lang w:val="en-US"/>
        </w:rPr>
      </w:pPr>
      <w:r w:rsidRPr="0098155F">
        <w:rPr>
          <w:rFonts w:ascii="Arial" w:hAnsi="Arial" w:cs="Arial"/>
          <w:lang w:val="en-US"/>
        </w:rPr>
        <w:br w:type="page"/>
      </w:r>
    </w:p>
    <w:p w14:paraId="72503A90" w14:textId="77777777" w:rsidR="00903F96" w:rsidRPr="0098155F" w:rsidRDefault="00903F96" w:rsidP="00903F96">
      <w:pPr>
        <w:pStyle w:val="Title1"/>
        <w:rPr>
          <w:rFonts w:cs="Arial"/>
          <w:b w:val="0"/>
          <w:bCs/>
          <w:szCs w:val="18"/>
          <w:lang w:val="en-US"/>
        </w:rPr>
      </w:pPr>
      <w:bookmarkStart w:id="23" w:name="_Toc512514514"/>
      <w:r>
        <w:rPr>
          <w:rFonts w:ascii="Arial" w:hAnsi="Arial" w:cs="Arial" w:eastAsia="Arial"/>
          <w:b w:val="true"/>
          <w:sz w:val="32"/>
        </w:rPr>
        <w:t xml:space="preserve">3. </w:t>
      </w:r>
      <w:bookmarkStart w:id="6" w:name="6"/>
      <w:r>
        <w:rPr>
          <w:rFonts w:ascii="Arial" w:hAnsi="Arial" w:cs="Arial" w:eastAsia="Arial"/>
          <w:b w:val="true"/>
          <w:sz w:val="32"/>
        </w:rPr>
        <w:t>SOLAR RESOURCE</w:t>
      </w:r>
      <w:bookmarkEnd w:id="6"/>
    </w:p>
    <w:p w14:paraId="670BDF55" w14:textId="77777777" w:rsidR="00903F96" w:rsidRPr="0098155F" w:rsidRDefault="00903F96" w:rsidP="00903F96">
      <w:pPr>
        <w:pStyle w:val="Title2"/>
        <w:rPr>
          <w:rFonts w:cs="Arial"/>
          <w:lang w:val="en-US"/>
        </w:rPr>
      </w:pPr>
      <w:r>
        <w:rPr>
          <w:rFonts w:ascii="Arial" w:hAnsi="Arial" w:cs="Arial" w:eastAsia="Arial"/>
          <w:b w:val="false"/>
          <w:sz w:val="28"/>
        </w:rPr>
        <w:t xml:space="preserve">3.1. </w:t>
      </w:r>
      <w:bookmarkStart w:id="7" w:name="7"/>
      <w:r>
        <w:rPr>
          <w:rFonts w:ascii="Arial" w:hAnsi="Arial" w:cs="Arial" w:eastAsia="Arial"/>
          <w:b w:val="false"/>
          <w:sz w:val="28"/>
        </w:rPr>
        <w:t>PVGIS data source</w:t>
      </w:r>
      <w:bookmarkEnd w:id="7"/>
    </w:p>
    <w:p w14:paraId="4D83A661" w14:textId="77777777" w:rsidR="00903F96" w:rsidRPr="0098155F" w:rsidRDefault="00903F96" w:rsidP="00903F96">
      <w:pPr>
        <w:pStyle w:val="paragraph"/>
        <w:rPr>
          <w:rFonts w:ascii="Arial" w:hAnsi="Arial" w:cs="Arial"/>
          <w:lang w:val="en-US"/>
        </w:rPr>
      </w:pPr>
      <w:r>
        <w:rPr>
          <w:b w:val="false"/>
        </w:rPr>
        <w:t>PVGIS has been in continuous development for more than 10 years at the European Commission Joint Research Centre. The focus of PVGIS is solar resource assessment research, photovoltaic (PV) performance studies, and the dissemination of knowledge and data about solar radiation and PV performance.</w:t>
      </w:r>
    </w:p>
    <w:p w14:paraId="4E92C3A9" w14:textId="77777777" w:rsidR="00903F96" w:rsidRPr="0098155F" w:rsidRDefault="00903F96" w:rsidP="00903F96">
      <w:pPr>
        <w:pStyle w:val="paragraph"/>
        <w:rPr>
          <w:rFonts w:ascii="Arial" w:hAnsi="Arial" w:cs="Arial"/>
          <w:lang w:val="en-US"/>
        </w:rPr>
      </w:pPr>
      <w:r>
        <w:rPr>
          <w:b w:val="false"/>
        </w:rPr>
        <w:t>The latest version of PVGIS (PVGIS 5.2) has extended the capabilities of the system and improved the coverage of the meteorological database. PVGIS 5.2 uses PVGIS-SARAH-2, PVGIS-NSRDB and PVGIS-ERA5 databases.</w:t>
      </w:r>
    </w:p>
    <w:p w14:paraId="6F68FDDD" w14:textId="77777777" w:rsidR="00903F96" w:rsidRPr="0098155F" w:rsidRDefault="00903F96" w:rsidP="00903F96">
      <w:pPr>
        <w:pStyle w:val="paragraph"/>
        <w:rPr>
          <w:rFonts w:ascii="Arial" w:hAnsi="Arial" w:cs="Arial"/>
          <w:lang w:val="en-US"/>
        </w:rPr>
      </w:pPr>
      <w:r>
        <w:rPr>
          <w:b w:val="false"/>
        </w:rPr>
        <w:t>The main features of the PVGIS 5.2 database are:</w:t>
      </w:r>
    </w:p>
    <w:p w14:paraId="29DFEE77" w14:textId="77777777" w:rsidR="00903F96" w:rsidRPr="0098155F" w:rsidRDefault="00903F96" w:rsidP="00903F96">
      <w:pPr>
        <w:pStyle w:val="Bullets"/>
        <w:rPr>
          <w:rFonts w:ascii="Arial" w:hAnsi="Arial" w:cs="Arial"/>
          <w:lang w:val="en-US"/>
        </w:rPr>
      </w:pPr>
      <w:r>
        <w:rPr>
          <w:b w:val="false"/>
        </w:rPr>
        <w:t>Source: satellite.</w:t>
      </w:r>
    </w:p>
    <w:p w14:paraId="0ECC035B" w14:textId="77777777" w:rsidR="00903F96" w:rsidRPr="0098155F" w:rsidRDefault="00903F96" w:rsidP="00903F96">
      <w:pPr>
        <w:pStyle w:val="Bullets"/>
        <w:rPr>
          <w:rFonts w:ascii="Arial" w:hAnsi="Arial" w:cs="Arial"/>
          <w:lang w:val="en-US"/>
        </w:rPr>
      </w:pPr>
      <w:r>
        <w:rPr>
          <w:b w:val="false"/>
        </w:rPr>
        <w:t>Spatial coverage: Worldwide.</w:t>
      </w:r>
    </w:p>
    <w:p w14:paraId="43A96F68" w14:textId="77777777" w:rsidR="00903F96" w:rsidRPr="0098155F" w:rsidRDefault="00903F96" w:rsidP="00903F96">
      <w:pPr>
        <w:pStyle w:val="Bullets"/>
        <w:rPr>
          <w:rFonts w:ascii="Arial" w:hAnsi="Arial" w:cs="Arial"/>
          <w:lang w:val="en-US"/>
        </w:rPr>
      </w:pPr>
      <w:r>
        <w:rPr>
          <w:b w:val="false"/>
        </w:rPr>
        <w:t>Time period: at least ten years starting in 2005 or 2006 depending on the region.</w:t>
      </w:r>
    </w:p>
    <w:p w14:paraId="5623CF35" w14:textId="77777777" w:rsidR="00903F96" w:rsidRPr="0098155F" w:rsidRDefault="00903F96" w:rsidP="00903F96">
      <w:pPr>
        <w:pStyle w:val="Bullets"/>
        <w:rPr>
          <w:rFonts w:ascii="Arial" w:hAnsi="Arial" w:cs="Arial"/>
          <w:lang w:val="en-US"/>
        </w:rPr>
      </w:pPr>
      <w:r>
        <w:rPr>
          <w:b w:val="false"/>
        </w:rPr>
        <w:t>Spatial resolution: site dependent, with an average value of 4 km x 4 km.</w:t>
      </w:r>
    </w:p>
    <w:p w14:paraId="36D109B5" w14:textId="77777777" w:rsidR="00903F96" w:rsidRPr="0098155F" w:rsidRDefault="00903F96" w:rsidP="00903F96">
      <w:pPr>
        <w:pStyle w:val="Bullets"/>
        <w:rPr>
          <w:rFonts w:ascii="Arial" w:hAnsi="Arial" w:cs="Arial"/>
          <w:lang w:val="en-US"/>
        </w:rPr>
      </w:pPr>
      <w:r>
        <w:rPr>
          <w:b w:val="false"/>
        </w:rPr>
        <w:t>Temporal resolution: hourly.</w:t>
      </w:r>
    </w:p>
    <w:p w14:paraId="0C6E3C59" w14:textId="77777777" w:rsidR="00903F96" w:rsidRPr="0098155F" w:rsidRDefault="00903F96" w:rsidP="00903F96">
      <w:pPr>
        <w:pStyle w:val="Bullets"/>
        <w:rPr>
          <w:rFonts w:ascii="Arial" w:hAnsi="Arial" w:cs="Arial"/>
          <w:lang w:val="en-US"/>
        </w:rPr>
      </w:pPr>
      <w:r>
        <w:rPr>
          <w:b w:val="false"/>
        </w:rPr>
        <w:t>Uncertainty: site dependent, ±3% to ±10% on average.</w:t>
      </w:r>
    </w:p>
    <w:p w14:paraId="7C0DE2C4" w14:textId="77777777" w:rsidR="00903F96" w:rsidRPr="0098155F" w:rsidRDefault="00903F96" w:rsidP="00903F96">
      <w:pPr>
        <w:pStyle w:val="paragraph"/>
        <w:rPr>
          <w:rFonts w:ascii="Arial" w:hAnsi="Arial" w:cs="Arial"/>
          <w:lang w:val="en-US"/>
        </w:rPr>
      </w:pPr>
      <w:r>
        <w:rPr>
          <w:b w:val="false"/>
        </w:rPr>
        <w:t>In Figure 7 the spatial coverage of the PVGIS 5.2 database is shown.</w:t>
      </w:r>
    </w:p>
    <w:p w14:paraId="3BC18180" w14:textId="77777777" w:rsidR="00903F96" w:rsidRPr="0098155F" w:rsidRDefault="00903F96" w:rsidP="00903F96">
      <w:pPr>
        <w:pStyle w:val=""/>
        <w:jc w:val="center"/>
        <w:rPr>
          <w:rFonts w:ascii="Arial" w:hAnsi="Arial" w:cs="Arial"/>
          <w:lang w:val="en-US"/>
        </w:rPr>
      </w:pPr>
      <w:r>
        <w:drawing>
          <wp:inline distT="0" distR="0" distB="0" distL="0">
            <wp:extent cx="3238500" cy="2032000"/>
            <wp:docPr id="10" name="Drawing 10" descr="PVGIS.png"/>
            <a:graphic xmlns:a="http://schemas.openxmlformats.org/drawingml/2006/main">
              <a:graphicData uri="http://schemas.openxmlformats.org/drawingml/2006/picture">
                <pic:pic xmlns:pic="http://schemas.openxmlformats.org/drawingml/2006/picture">
                  <pic:nvPicPr>
                    <pic:cNvPr id="0" name="Picture 10" descr="PVGIS.png"/>
                    <pic:cNvPicPr>
                      <a:picLocks noChangeAspect="true"/>
                    </pic:cNvPicPr>
                  </pic:nvPicPr>
                  <pic:blipFill>
                    <a:blip r:embed="rId23"/>
                    <a:stretch>
                      <a:fillRect/>
                    </a:stretch>
                  </pic:blipFill>
                  <pic:spPr>
                    <a:xfrm>
                      <a:off x="0" y="0"/>
                      <a:ext cx="3238500" cy="2032000"/>
                    </a:xfrm>
                    <a:prstGeom prst="rect">
                      <a:avLst/>
                    </a:prstGeom>
                  </pic:spPr>
                </pic:pic>
              </a:graphicData>
            </a:graphic>
          </wp:inline>
        </w:drawing>
      </w:r>
    </w:p>
    <w:p w14:paraId="0991CE91" w14:textId="77777777" w:rsidR="00903F96" w:rsidRPr="0098155F" w:rsidRDefault="00903F96" w:rsidP="00903F96">
      <w:pPr>
        <w:pStyle w:val="NameTableImg"/>
        <w:rPr>
          <w:rFonts w:cs="Arial"/>
          <w:lang w:val="en-US"/>
        </w:rPr>
      </w:pPr>
      <w:r>
        <w:rPr>
          <w:b w:val="false"/>
          <w:i w:val="true"/>
        </w:rPr>
        <w:t>Figure 7. Spatial coverage of the PVGIS 5.2 database.</w:t>
      </w:r>
    </w:p>
    <w:p w14:paraId="39AE3398" w14:textId="77777777" w:rsidR="00903F96" w:rsidRPr="0098155F" w:rsidRDefault="00903F96" w:rsidP="00903F96">
      <w:pPr>
        <w:pStyle w:val="paragraph"/>
        <w:rPr>
          <w:rFonts w:ascii="Arial" w:hAnsi="Arial" w:cs="Arial"/>
          <w:lang w:val="en-US"/>
        </w:rPr>
      </w:pPr>
      <w:r>
        <w:rPr>
          <w:b w:val="false"/>
        </w:rPr>
        <w:t>The solar irradiance data of PVGIS has been calculated using satellite data. There are three satellite databases available:</w:t>
      </w:r>
    </w:p>
    <w:p w14:paraId="6AFE1A6B" w14:textId="77777777" w:rsidR="00903F96" w:rsidRPr="0098155F" w:rsidRDefault="00903F96" w:rsidP="00903F96">
      <w:pPr>
        <w:pStyle w:val="BulletsNew"/>
        <w:rPr>
          <w:rFonts w:ascii="Arial" w:hAnsi="Arial" w:cs="Arial"/>
        </w:rPr>
      </w:pPr>
      <w:r>
        <w:rPr>
          <w:b w:val="false"/>
        </w:rPr>
        <w:t>PVGIS-SARAH-2 is a database based on data provided by the EUMETSAT CM SAF. It uses the images of the METEOSAT geostationary satellites covering Europe, Africa and Asia. The temporal period is 2005 to 2020.</w:t>
      </w:r>
    </w:p>
    <w:p w14:paraId="314870A9" w14:textId="77777777" w:rsidR="00903F96" w:rsidRPr="0098155F" w:rsidRDefault="00903F96" w:rsidP="00903F96">
      <w:pPr>
        <w:pStyle w:val="BulletsNew"/>
        <w:rPr>
          <w:rFonts w:ascii="Arial" w:hAnsi="Arial" w:cs="Arial"/>
        </w:rPr>
      </w:pPr>
      <w:r>
        <w:rPr>
          <w:b w:val="false"/>
        </w:rPr>
        <w:t>PVGIS-NSRDB is a collaboration between PVGIS and the NREL (National Renewable Energy Laboratory), and it consists of the implementation of the NSRDB in PVGIS. The temporal period is from 2005 to 2015.</w:t>
      </w:r>
    </w:p>
    <w:p w14:paraId="4316CB8D" w14:textId="77777777" w:rsidR="00903F96" w:rsidRPr="0098155F" w:rsidRDefault="00903F96" w:rsidP="00903F96">
      <w:pPr>
        <w:pStyle w:val="BulletsNew"/>
        <w:rPr>
          <w:rFonts w:ascii="Arial" w:hAnsi="Arial" w:cs="Arial"/>
        </w:rPr>
      </w:pPr>
      <w:proofErr w:type="spellStart"/>
      <w:proofErr w:type="spellEnd"/>
      <w:r>
        <w:rPr>
          <w:b w:val="false"/>
        </w:rPr>
        <w:t>PVGIS-ERA5 is a reanalysis product from ECMWF, combining historical observations into global estimates using advanced modelling and data assimilation sysetms. It provides coverage in areas where there is no satellite data, such as some parts of South America, Australia, and Japan. The temporal period is 2005 to 2020.</w:t>
      </w:r>
    </w:p>
    <w:p w14:paraId="5C8BB6FD" w14:textId="77777777" w:rsidR="00903F96" w:rsidRPr="0098155F" w:rsidRDefault="00903F96" w:rsidP="00903F96">
      <w:pPr>
        <w:pStyle w:val="BulletsNew"/>
        <w:rPr>
          <w:rFonts w:ascii="Arial" w:hAnsi="Arial" w:cs="Arial"/>
        </w:rPr>
      </w:pPr>
      <w:r>
        <w:rPr>
          <w:b w:val="false"/>
        </w:rPr>
        <w:t>PVGIS-SARAH-1 is a database based on a new algorithm developed by CM SAF. It provides coverage in Asia. The temporal is from 2005 to 2016.</w:t>
      </w:r>
    </w:p>
    <w:p w14:paraId="5D9B3123" w14:textId="77777777" w:rsidR="00903F96" w:rsidRPr="0098155F" w:rsidRDefault="00903F96" w:rsidP="00903F96">
      <w:pPr>
        <w:pStyle w:val="Title2"/>
        <w:rPr>
          <w:rFonts w:cs="Arial"/>
          <w:lang w:val="en-US"/>
        </w:rPr>
      </w:pPr>
      <w:r>
        <w:rPr>
          <w:rFonts w:ascii="Arial" w:hAnsi="Arial" w:cs="Arial" w:eastAsia="Arial"/>
          <w:b w:val="false"/>
          <w:sz w:val="28"/>
        </w:rPr>
        <w:t xml:space="preserve">3.2. </w:t>
      </w:r>
      <w:bookmarkStart w:id="8" w:name="8"/>
      <w:r>
        <w:rPr>
          <w:rFonts w:ascii="Arial" w:hAnsi="Arial" w:cs="Arial" w:eastAsia="Arial"/>
          <w:b w:val="false"/>
          <w:sz w:val="28"/>
        </w:rPr>
        <w:t>Typical Meteorological Year (P50)</w:t>
      </w:r>
      <w:bookmarkEnd w:id="8"/>
    </w:p>
    <w:p w14:paraId="25B90540" w14:textId="77777777" w:rsidR="00903F96" w:rsidRPr="0098155F" w:rsidRDefault="00903F96" w:rsidP="00903F96">
      <w:pPr>
        <w:pStyle w:val="paragraph"/>
        <w:rPr>
          <w:rFonts w:ascii="Arial" w:hAnsi="Arial" w:cs="Arial"/>
          <w:lang w:val="en-US"/>
        </w:rPr>
      </w:pPr>
      <w:r w:rsidRPr="0098155F">
        <w:rPr>
          <w:rFonts w:ascii="Arial" w:hAnsi="Arial" w:cs="Arial"/>
          <w:lang w:val="en-US"/>
        </w:rPr>
        <w:t>The Typical Meteorological Year (TMY) is a set of representative values of any given meteorological parameter, for some given location. It is given in hourly resolution and is derived from long-term meteorological data.</w:t>
      </w:r>
    </w:p>
    <w:p w14:paraId="460B338E" w14:textId="77777777" w:rsidR="00903F96" w:rsidRPr="0098155F" w:rsidRDefault="00903F96" w:rsidP="00903F96">
      <w:pPr>
        <w:pStyle w:val="paragraph"/>
        <w:rPr>
          <w:rFonts w:ascii="Arial" w:hAnsi="Arial" w:cs="Arial"/>
          <w:lang w:val="en-US"/>
        </w:rPr>
      </w:pPr>
      <w:r>
        <w:rPr>
          <w:b w:val="false"/>
        </w:rPr>
        <w:t>In Table 5 a monthly summary of the TMY data is shown. A chart representing the data of Table 5 is shown in Figure 13</w:t>
      </w:r>
    </w:p>
    <w:p w14:paraId="36C5971E" w14:textId="77777777" w:rsidR="00903F96" w:rsidRPr="0098155F" w:rsidRDefault="00903F96" w:rsidP="00903F96">
      <w:pPr>
        <w:pStyle w:val="NameTableImg"/>
        <w:rPr>
          <w:rFonts w:cs="Arial"/>
          <w:lang w:val="en-US"/>
        </w:rPr>
      </w:pPr>
      <w:r>
        <w:rPr>
          <w:b w:val="false"/>
          <w:i w:val="true"/>
        </w:rPr>
        <w:t xml:space="preserve">Table 5. TMY monthly irradiation and temperature.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ook w:val="04A0" w:firstRow="1" w:lastRow="0" w:firstColumn="1" w:lastColumn="0" w:noHBand="0" w:noVBand="1"/>
      </w:tblPr>
      <w:tblGrid>
        <w:gridCol w:w="2322"/>
        <w:gridCol w:w="2321"/>
        <w:gridCol w:w="2321"/>
        <w:gridCol w:w="2322"/>
      </w:tblGrid>
      <w:tr w:rsidR="00BB5186" w:rsidRPr="00BB5186" w14:paraId="0CD88E88" w14:textId="77777777" w:rsidTr="00BB5186">
        <w:tc>
          <w:tcPr>
            <w:tcW w:w="2322" w:type="dxa"/>
            <w:shd w:val="clear" w:color="auto" w:fill="989E95"/>
            <w:vAlign w:val="center"/>
          </w:tcPr>
          <w:p w14:paraId="55432D25"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Pr>
                <w:b w:val="false"/>
              </w:rPr>
              <w:t>Month</w:t>
            </w:r>
          </w:p>
        </w:tc>
        <w:tc>
          <w:tcPr>
            <w:tcW w:w="2322" w:type="dxa"/>
            <w:shd w:val="clear" w:color="auto" w:fill="989E95"/>
            <w:vAlign w:val="center"/>
          </w:tcPr>
          <w:p w14:paraId="0D27B6B7"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GHI [kWh/m2]</w:t>
            </w:r>
          </w:p>
        </w:tc>
        <w:tc>
          <w:tcPr>
            <w:tcW w:w="2322" w:type="dxa"/>
            <w:shd w:val="clear" w:color="auto" w:fill="989E95"/>
            <w:vAlign w:val="center"/>
          </w:tcPr>
          <w:p w14:paraId="47994EE4"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DHI [kWh/m2]</w:t>
            </w:r>
          </w:p>
        </w:tc>
        <w:tc>
          <w:tcPr>
            <w:tcW w:w="2322" w:type="dxa"/>
            <w:shd w:val="clear" w:color="auto" w:fill="989E95"/>
            <w:vAlign w:val="center"/>
          </w:tcPr>
          <w:p w14:paraId="5F745472"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Temperature</w:t>
            </w:r>
          </w:p>
        </w:tc>
      </w:tr>
      <w:tr>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90.3</w:t>
            </w:r>
          </w:p>
        </w:tc>
        <w:tc>
          <w:tcPr>
            <w:vAlign w:val="center"/>
          </w:tcPr>
          <w:p>
            <w:pPr>
              <w:pStyle w:val="Normal"/>
              <w:spacing w:after="100"/>
              <w:jc w:val="center"/>
              <w:textAlignment w:val="center"/>
            </w:pPr>
            <w:r>
              <w:rPr>
                <w:b w:val="false"/>
              </w:rPr>
              <w:t>28.3</w:t>
            </w:r>
          </w:p>
        </w:tc>
        <w:tc>
          <w:tcPr>
            <w:vAlign w:val="center"/>
          </w:tcPr>
          <w:p>
            <w:pPr>
              <w:pStyle w:val="Normal"/>
              <w:spacing w:after="100"/>
              <w:jc w:val="center"/>
              <w:textAlignment w:val="center"/>
            </w:pPr>
            <w:r>
              <w:rPr>
                <w:b w:val="false"/>
              </w:rPr>
              <w:t>11.95 °C</w:t>
            </w:r>
          </w:p>
        </w:tc>
      </w:tr>
      <w:tr>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96.2</w:t>
            </w:r>
          </w:p>
        </w:tc>
        <w:tc>
          <w:tcPr>
            <w:vAlign w:val="center"/>
          </w:tcPr>
          <w:p>
            <w:pPr>
              <w:pStyle w:val="Normal"/>
              <w:spacing w:after="100"/>
              <w:jc w:val="center"/>
              <w:textAlignment w:val="center"/>
            </w:pPr>
            <w:r>
              <w:rPr>
                <w:b w:val="false"/>
              </w:rPr>
              <w:t>36.4</w:t>
            </w:r>
          </w:p>
        </w:tc>
        <w:tc>
          <w:tcPr>
            <w:vAlign w:val="center"/>
          </w:tcPr>
          <w:p>
            <w:pPr>
              <w:pStyle w:val="Normal"/>
              <w:spacing w:after="100"/>
              <w:jc w:val="center"/>
              <w:textAlignment w:val="center"/>
            </w:pPr>
            <w:r>
              <w:rPr>
                <w:b w:val="false"/>
              </w:rPr>
              <w:t>13.29 °C</w:t>
            </w:r>
          </w:p>
        </w:tc>
      </w:tr>
      <w:tr>
        <w:tc>
          <w:tcPr>
            <w:vAlign w:val="center"/>
          </w:tcPr>
          <w:p>
            <w:pPr>
              <w:pStyle w:val="Normal"/>
              <w:spacing w:after="100"/>
              <w:jc w:val="center"/>
              <w:textAlignment w:val="center"/>
            </w:pPr>
            <w:r>
              <w:rPr>
                <w:b w:val="false"/>
              </w:rPr>
              <w:t>3</w:t>
            </w:r>
          </w:p>
        </w:tc>
        <w:tc>
          <w:tcPr>
            <w:vAlign w:val="center"/>
          </w:tcPr>
          <w:p>
            <w:pPr>
              <w:pStyle w:val="Normal"/>
              <w:spacing w:after="100"/>
              <w:jc w:val="center"/>
              <w:textAlignment w:val="center"/>
            </w:pPr>
            <w:r>
              <w:rPr>
                <w:b w:val="false"/>
              </w:rPr>
              <w:t>159.5</w:t>
            </w:r>
          </w:p>
        </w:tc>
        <w:tc>
          <w:tcPr>
            <w:vAlign w:val="center"/>
          </w:tcPr>
          <w:p>
            <w:pPr>
              <w:pStyle w:val="Normal"/>
              <w:spacing w:after="100"/>
              <w:jc w:val="center"/>
              <w:textAlignment w:val="center"/>
            </w:pPr>
            <w:r>
              <w:rPr>
                <w:b w:val="false"/>
              </w:rPr>
              <w:t>50.2</w:t>
            </w:r>
          </w:p>
        </w:tc>
        <w:tc>
          <w:tcPr>
            <w:vAlign w:val="center"/>
          </w:tcPr>
          <w:p>
            <w:pPr>
              <w:pStyle w:val="Normal"/>
              <w:spacing w:after="100"/>
              <w:jc w:val="center"/>
              <w:textAlignment w:val="center"/>
            </w:pPr>
            <w:r>
              <w:rPr>
                <w:b w:val="false"/>
              </w:rPr>
              <w:t>14.15 °C</w:t>
            </w:r>
          </w:p>
        </w:tc>
      </w:tr>
      <w:tr>
        <w:tc>
          <w:tcPr>
            <w:vAlign w:val="center"/>
          </w:tcPr>
          <w:p>
            <w:pPr>
              <w:pStyle w:val="Normal"/>
              <w:spacing w:after="100"/>
              <w:jc w:val="center"/>
              <w:textAlignment w:val="center"/>
            </w:pPr>
            <w:r>
              <w:rPr>
                <w:b w:val="false"/>
              </w:rPr>
              <w:t>4</w:t>
            </w:r>
          </w:p>
        </w:tc>
        <w:tc>
          <w:tcPr>
            <w:vAlign w:val="center"/>
          </w:tcPr>
          <w:p>
            <w:pPr>
              <w:pStyle w:val="Normal"/>
              <w:spacing w:after="100"/>
              <w:jc w:val="center"/>
              <w:textAlignment w:val="center"/>
            </w:pPr>
            <w:r>
              <w:rPr>
                <w:b w:val="false"/>
              </w:rPr>
              <w:t>160.8</w:t>
            </w:r>
          </w:p>
        </w:tc>
        <w:tc>
          <w:tcPr>
            <w:vAlign w:val="center"/>
          </w:tcPr>
          <w:p>
            <w:pPr>
              <w:pStyle w:val="Normal"/>
              <w:spacing w:after="100"/>
              <w:jc w:val="center"/>
              <w:textAlignment w:val="center"/>
            </w:pPr>
            <w:r>
              <w:rPr>
                <w:b w:val="false"/>
              </w:rPr>
              <w:t>66.1</w:t>
            </w:r>
          </w:p>
        </w:tc>
        <w:tc>
          <w:tcPr>
            <w:vAlign w:val="center"/>
          </w:tcPr>
          <w:p>
            <w:pPr>
              <w:pStyle w:val="Normal"/>
              <w:spacing w:after="100"/>
              <w:jc w:val="center"/>
              <w:textAlignment w:val="center"/>
            </w:pPr>
            <w:r>
              <w:rPr>
                <w:b w:val="false"/>
              </w:rPr>
              <w:t>14.6 °C</w:t>
            </w:r>
          </w:p>
        </w:tc>
      </w:tr>
      <w:tr>
        <w:tc>
          <w:tcPr>
            <w:vAlign w:val="center"/>
          </w:tcPr>
          <w:p>
            <w:pPr>
              <w:pStyle w:val="Normal"/>
              <w:spacing w:after="100"/>
              <w:jc w:val="center"/>
              <w:textAlignment w:val="center"/>
            </w:pPr>
            <w:r>
              <w:rPr>
                <w:b w:val="false"/>
              </w:rPr>
              <w:t>5</w:t>
            </w:r>
          </w:p>
        </w:tc>
        <w:tc>
          <w:tcPr>
            <w:vAlign w:val="center"/>
          </w:tcPr>
          <w:p>
            <w:pPr>
              <w:pStyle w:val="Normal"/>
              <w:spacing w:after="100"/>
              <w:jc w:val="center"/>
              <w:textAlignment w:val="center"/>
            </w:pPr>
            <w:r>
              <w:rPr>
                <w:b w:val="false"/>
              </w:rPr>
              <w:t>227.7</w:t>
            </w:r>
          </w:p>
        </w:tc>
        <w:tc>
          <w:tcPr>
            <w:vAlign w:val="center"/>
          </w:tcPr>
          <w:p>
            <w:pPr>
              <w:pStyle w:val="Normal"/>
              <w:spacing w:after="100"/>
              <w:jc w:val="center"/>
              <w:textAlignment w:val="center"/>
            </w:pPr>
            <w:r>
              <w:rPr>
                <w:b w:val="false"/>
              </w:rPr>
              <w:t>64.3</w:t>
            </w:r>
          </w:p>
        </w:tc>
        <w:tc>
          <w:tcPr>
            <w:vAlign w:val="center"/>
          </w:tcPr>
          <w:p>
            <w:pPr>
              <w:pStyle w:val="Normal"/>
              <w:spacing w:after="100"/>
              <w:jc w:val="center"/>
              <w:textAlignment w:val="center"/>
            </w:pPr>
            <w:r>
              <w:rPr>
                <w:b w:val="false"/>
              </w:rPr>
              <w:t>20.68 °C</w:t>
            </w:r>
          </w:p>
        </w:tc>
      </w:tr>
      <w:tr>
        <w:tc>
          <w:tcPr>
            <w:vAlign w:val="center"/>
          </w:tcPr>
          <w:p>
            <w:pPr>
              <w:pStyle w:val="Normal"/>
              <w:spacing w:after="100"/>
              <w:jc w:val="center"/>
              <w:textAlignment w:val="center"/>
            </w:pPr>
            <w:r>
              <w:rPr>
                <w:b w:val="false"/>
              </w:rPr>
              <w:t>6</w:t>
            </w:r>
          </w:p>
        </w:tc>
        <w:tc>
          <w:tcPr>
            <w:vAlign w:val="center"/>
          </w:tcPr>
          <w:p>
            <w:pPr>
              <w:pStyle w:val="Normal"/>
              <w:spacing w:after="100"/>
              <w:jc w:val="center"/>
              <w:textAlignment w:val="center"/>
            </w:pPr>
            <w:r>
              <w:rPr>
                <w:b w:val="false"/>
              </w:rPr>
              <w:t>236.6</w:t>
            </w:r>
          </w:p>
        </w:tc>
        <w:tc>
          <w:tcPr>
            <w:vAlign w:val="center"/>
          </w:tcPr>
          <w:p>
            <w:pPr>
              <w:pStyle w:val="Normal"/>
              <w:spacing w:after="100"/>
              <w:jc w:val="center"/>
              <w:textAlignment w:val="center"/>
            </w:pPr>
            <w:r>
              <w:rPr>
                <w:b w:val="false"/>
              </w:rPr>
              <w:t>64.3</w:t>
            </w:r>
          </w:p>
        </w:tc>
        <w:tc>
          <w:tcPr>
            <w:vAlign w:val="center"/>
          </w:tcPr>
          <w:p>
            <w:pPr>
              <w:pStyle w:val="Normal"/>
              <w:spacing w:after="100"/>
              <w:jc w:val="center"/>
              <w:textAlignment w:val="center"/>
            </w:pPr>
            <w:r>
              <w:rPr>
                <w:b w:val="false"/>
              </w:rPr>
              <w:t>23.01 °C</w:t>
            </w:r>
          </w:p>
        </w:tc>
      </w:tr>
      <w:tr>
        <w:tc>
          <w:tcPr>
            <w:vAlign w:val="center"/>
          </w:tcPr>
          <w:p>
            <w:pPr>
              <w:pStyle w:val="Normal"/>
              <w:spacing w:after="100"/>
              <w:jc w:val="center"/>
              <w:textAlignment w:val="center"/>
            </w:pPr>
            <w:r>
              <w:rPr>
                <w:b w:val="false"/>
              </w:rPr>
              <w:t>7</w:t>
            </w:r>
          </w:p>
        </w:tc>
        <w:tc>
          <w:tcPr>
            <w:vAlign w:val="center"/>
          </w:tcPr>
          <w:p>
            <w:pPr>
              <w:pStyle w:val="Normal"/>
              <w:spacing w:after="100"/>
              <w:jc w:val="center"/>
              <w:textAlignment w:val="center"/>
            </w:pPr>
            <w:r>
              <w:rPr>
                <w:b w:val="false"/>
              </w:rPr>
              <w:t>248.9</w:t>
            </w:r>
          </w:p>
        </w:tc>
        <w:tc>
          <w:tcPr>
            <w:vAlign w:val="center"/>
          </w:tcPr>
          <w:p>
            <w:pPr>
              <w:pStyle w:val="Normal"/>
              <w:spacing w:after="100"/>
              <w:jc w:val="center"/>
              <w:textAlignment w:val="center"/>
            </w:pPr>
            <w:r>
              <w:rPr>
                <w:b w:val="false"/>
              </w:rPr>
              <w:t>62.8</w:t>
            </w:r>
          </w:p>
        </w:tc>
        <w:tc>
          <w:tcPr>
            <w:vAlign w:val="center"/>
          </w:tcPr>
          <w:p>
            <w:pPr>
              <w:pStyle w:val="Normal"/>
              <w:spacing w:after="100"/>
              <w:jc w:val="center"/>
              <w:textAlignment w:val="center"/>
            </w:pPr>
            <w:r>
              <w:rPr>
                <w:b w:val="false"/>
              </w:rPr>
              <w:t>25.5 °C</w:t>
            </w:r>
          </w:p>
        </w:tc>
      </w:tr>
      <w:tr>
        <w:tc>
          <w:tcPr>
            <w:vAlign w:val="center"/>
          </w:tcPr>
          <w:p>
            <w:pPr>
              <w:pStyle w:val="Normal"/>
              <w:spacing w:after="100"/>
              <w:jc w:val="center"/>
              <w:textAlignment w:val="center"/>
            </w:pPr>
            <w:r>
              <w:rPr>
                <w:b w:val="false"/>
              </w:rPr>
              <w:t>8</w:t>
            </w:r>
          </w:p>
        </w:tc>
        <w:tc>
          <w:tcPr>
            <w:vAlign w:val="center"/>
          </w:tcPr>
          <w:p>
            <w:pPr>
              <w:pStyle w:val="Normal"/>
              <w:spacing w:after="100"/>
              <w:jc w:val="center"/>
              <w:textAlignment w:val="center"/>
            </w:pPr>
            <w:r>
              <w:rPr>
                <w:b w:val="false"/>
              </w:rPr>
              <w:t>210.1</w:t>
            </w:r>
          </w:p>
        </w:tc>
        <w:tc>
          <w:tcPr>
            <w:vAlign w:val="center"/>
          </w:tcPr>
          <w:p>
            <w:pPr>
              <w:pStyle w:val="Normal"/>
              <w:spacing w:after="100"/>
              <w:jc w:val="center"/>
              <w:textAlignment w:val="center"/>
            </w:pPr>
            <w:r>
              <w:rPr>
                <w:b w:val="false"/>
              </w:rPr>
              <w:t>62.6</w:t>
            </w:r>
          </w:p>
        </w:tc>
        <w:tc>
          <w:tcPr>
            <w:vAlign w:val="center"/>
          </w:tcPr>
          <w:p>
            <w:pPr>
              <w:pStyle w:val="Normal"/>
              <w:spacing w:after="100"/>
              <w:jc w:val="center"/>
              <w:textAlignment w:val="center"/>
            </w:pPr>
            <w:r>
              <w:rPr>
                <w:b w:val="false"/>
              </w:rPr>
              <w:t>25.29 °C</w:t>
            </w:r>
          </w:p>
        </w:tc>
      </w:tr>
      <w:tr>
        <w:tc>
          <w:tcPr>
            <w:vAlign w:val="center"/>
          </w:tcPr>
          <w:p>
            <w:pPr>
              <w:pStyle w:val="Normal"/>
              <w:spacing w:after="100"/>
              <w:jc w:val="center"/>
              <w:textAlignment w:val="center"/>
            </w:pPr>
            <w:r>
              <w:rPr>
                <w:b w:val="false"/>
              </w:rPr>
              <w:t>9</w:t>
            </w:r>
          </w:p>
        </w:tc>
        <w:tc>
          <w:tcPr>
            <w:vAlign w:val="center"/>
          </w:tcPr>
          <w:p>
            <w:pPr>
              <w:pStyle w:val="Normal"/>
              <w:spacing w:after="100"/>
              <w:jc w:val="center"/>
              <w:textAlignment w:val="center"/>
            </w:pPr>
            <w:r>
              <w:rPr>
                <w:b w:val="false"/>
              </w:rPr>
              <w:t>166.4</w:t>
            </w:r>
          </w:p>
        </w:tc>
        <w:tc>
          <w:tcPr>
            <w:vAlign w:val="center"/>
          </w:tcPr>
          <w:p>
            <w:pPr>
              <w:pStyle w:val="Normal"/>
              <w:spacing w:after="100"/>
              <w:jc w:val="center"/>
              <w:textAlignment w:val="center"/>
            </w:pPr>
            <w:r>
              <w:rPr>
                <w:b w:val="false"/>
              </w:rPr>
              <w:t>53.5</w:t>
            </w:r>
          </w:p>
        </w:tc>
        <w:tc>
          <w:tcPr>
            <w:vAlign w:val="center"/>
          </w:tcPr>
          <w:p>
            <w:pPr>
              <w:pStyle w:val="Normal"/>
              <w:spacing w:after="100"/>
              <w:jc w:val="center"/>
              <w:textAlignment w:val="center"/>
            </w:pPr>
            <w:r>
              <w:rPr>
                <w:b w:val="false"/>
              </w:rPr>
              <w:t>23.29 °C</w:t>
            </w:r>
          </w:p>
        </w:tc>
      </w:tr>
      <w:tr>
        <w:tc>
          <w:tcPr>
            <w:vAlign w:val="center"/>
          </w:tcPr>
          <w:p>
            <w:pPr>
              <w:pStyle w:val="Normal"/>
              <w:spacing w:after="100"/>
              <w:jc w:val="center"/>
              <w:textAlignment w:val="center"/>
            </w:pPr>
            <w:r>
              <w:rPr>
                <w:b w:val="false"/>
              </w:rPr>
              <w:t>10</w:t>
            </w:r>
          </w:p>
        </w:tc>
        <w:tc>
          <w:tcPr>
            <w:vAlign w:val="center"/>
          </w:tcPr>
          <w:p>
            <w:pPr>
              <w:pStyle w:val="Normal"/>
              <w:spacing w:after="100"/>
              <w:jc w:val="center"/>
              <w:textAlignment w:val="center"/>
            </w:pPr>
            <w:r>
              <w:rPr>
                <w:b w:val="false"/>
              </w:rPr>
              <w:t>117.0</w:t>
            </w:r>
          </w:p>
        </w:tc>
        <w:tc>
          <w:tcPr>
            <w:vAlign w:val="center"/>
          </w:tcPr>
          <w:p>
            <w:pPr>
              <w:pStyle w:val="Normal"/>
              <w:spacing w:after="100"/>
              <w:jc w:val="center"/>
              <w:textAlignment w:val="center"/>
            </w:pPr>
            <w:r>
              <w:rPr>
                <w:b w:val="false"/>
              </w:rPr>
              <w:t>46.3</w:t>
            </w:r>
          </w:p>
        </w:tc>
        <w:tc>
          <w:tcPr>
            <w:vAlign w:val="center"/>
          </w:tcPr>
          <w:p>
            <w:pPr>
              <w:pStyle w:val="Normal"/>
              <w:spacing w:after="100"/>
              <w:jc w:val="center"/>
              <w:textAlignment w:val="center"/>
            </w:pPr>
            <w:r>
              <w:rPr>
                <w:b w:val="false"/>
              </w:rPr>
              <w:t>18.51 °C</w:t>
            </w:r>
          </w:p>
        </w:tc>
      </w:tr>
      <w:tr>
        <w:tc>
          <w:tcPr>
            <w:vAlign w:val="center"/>
          </w:tcPr>
          <w:p>
            <w:pPr>
              <w:pStyle w:val="Normal"/>
              <w:spacing w:after="100"/>
              <w:jc w:val="center"/>
              <w:textAlignment w:val="center"/>
            </w:pPr>
            <w:r>
              <w:rPr>
                <w:b w:val="false"/>
              </w:rPr>
              <w:t>11</w:t>
            </w:r>
          </w:p>
        </w:tc>
        <w:tc>
          <w:tcPr>
            <w:vAlign w:val="center"/>
          </w:tcPr>
          <w:p>
            <w:pPr>
              <w:pStyle w:val="Normal"/>
              <w:spacing w:after="100"/>
              <w:jc w:val="center"/>
              <w:textAlignment w:val="center"/>
            </w:pPr>
            <w:r>
              <w:rPr>
                <w:b w:val="false"/>
              </w:rPr>
              <w:t>94.9</w:t>
            </w:r>
          </w:p>
        </w:tc>
        <w:tc>
          <w:tcPr>
            <w:vAlign w:val="center"/>
          </w:tcPr>
          <w:p>
            <w:pPr>
              <w:pStyle w:val="Normal"/>
              <w:spacing w:after="100"/>
              <w:jc w:val="center"/>
              <w:textAlignment w:val="center"/>
            </w:pPr>
            <w:r>
              <w:rPr>
                <w:b w:val="false"/>
              </w:rPr>
              <w:t>30.4</w:t>
            </w:r>
          </w:p>
        </w:tc>
        <w:tc>
          <w:tcPr>
            <w:vAlign w:val="center"/>
          </w:tcPr>
          <w:p>
            <w:pPr>
              <w:pStyle w:val="Normal"/>
              <w:spacing w:after="100"/>
              <w:jc w:val="center"/>
              <w:textAlignment w:val="center"/>
            </w:pPr>
            <w:r>
              <w:rPr>
                <w:b w:val="false"/>
              </w:rPr>
              <w:t>15.58 °C</w:t>
            </w:r>
          </w:p>
        </w:tc>
      </w:tr>
      <w:tr>
        <w:tc>
          <w:tcPr>
            <w:vAlign w:val="center"/>
          </w:tcPr>
          <w:p>
            <w:pPr>
              <w:pStyle w:val="Normal"/>
              <w:spacing w:after="100"/>
              <w:jc w:val="center"/>
              <w:textAlignment w:val="center"/>
            </w:pPr>
            <w:r>
              <w:rPr>
                <w:b w:val="false"/>
              </w:rPr>
              <w:t>12</w:t>
            </w:r>
          </w:p>
        </w:tc>
        <w:tc>
          <w:tcPr>
            <w:vAlign w:val="center"/>
          </w:tcPr>
          <w:p>
            <w:pPr>
              <w:pStyle w:val="Normal"/>
              <w:spacing w:after="100"/>
              <w:jc w:val="center"/>
              <w:textAlignment w:val="center"/>
            </w:pPr>
            <w:r>
              <w:rPr>
                <w:b w:val="false"/>
              </w:rPr>
              <w:t>79.9</w:t>
            </w:r>
          </w:p>
        </w:tc>
        <w:tc>
          <w:tcPr>
            <w:vAlign w:val="center"/>
          </w:tcPr>
          <w:p>
            <w:pPr>
              <w:pStyle w:val="Normal"/>
              <w:spacing w:after="100"/>
              <w:jc w:val="center"/>
              <w:textAlignment w:val="center"/>
            </w:pPr>
            <w:r>
              <w:rPr>
                <w:b w:val="false"/>
              </w:rPr>
              <w:t>25.0</w:t>
            </w:r>
          </w:p>
        </w:tc>
        <w:tc>
          <w:tcPr>
            <w:vAlign w:val="center"/>
          </w:tcPr>
          <w:p>
            <w:pPr>
              <w:pStyle w:val="Normal"/>
              <w:spacing w:after="100"/>
              <w:jc w:val="center"/>
              <w:textAlignment w:val="center"/>
            </w:pPr>
            <w:r>
              <w:rPr>
                <w:b w:val="false"/>
              </w:rPr>
              <w:t>11.36 °C</w:t>
            </w:r>
          </w:p>
        </w:tc>
      </w:tr>
      <w:tr>
        <w:tc>
          <w:tcPr>
            <w:vAlign w:val="center"/>
          </w:tcPr>
          <w:p>
            <w:pPr>
              <w:pStyle w:val="Normal"/>
              <w:spacing w:after="100"/>
              <w:jc w:val="center"/>
              <w:textAlignment w:val="center"/>
            </w:pPr>
            <w:r>
              <w:rPr>
                <w:b w:val="true"/>
              </w:rPr>
              <w:t>Year</w:t>
            </w:r>
          </w:p>
        </w:tc>
        <w:tc>
          <w:tcPr>
            <w:vAlign w:val="center"/>
          </w:tcPr>
          <w:p>
            <w:pPr>
              <w:pStyle w:val="Normal"/>
              <w:spacing w:after="100"/>
              <w:jc w:val="center"/>
              <w:textAlignment w:val="center"/>
            </w:pPr>
            <w:r>
              <w:rPr>
                <w:b w:val="true"/>
              </w:rPr>
              <w:t>1888.4</w:t>
            </w:r>
          </w:p>
        </w:tc>
        <w:tc>
          <w:tcPr>
            <w:vAlign w:val="center"/>
          </w:tcPr>
          <w:p>
            <w:pPr>
              <w:pStyle w:val="Normal"/>
              <w:spacing w:after="100"/>
              <w:jc w:val="center"/>
              <w:textAlignment w:val="center"/>
            </w:pPr>
            <w:r>
              <w:rPr>
                <w:b w:val="true"/>
              </w:rPr>
              <w:t>590.1</w:t>
            </w:r>
          </w:p>
        </w:tc>
        <w:tc>
          <w:tcPr>
            <w:vAlign w:val="center"/>
          </w:tcPr>
          <w:p>
            <w:pPr>
              <w:pStyle w:val="Normal"/>
              <w:spacing w:after="100"/>
              <w:jc w:val="center"/>
              <w:textAlignment w:val="center"/>
            </w:pPr>
            <w:r>
              <w:rPr>
                <w:b w:val="true"/>
              </w:rPr>
              <w:t>18.1 °C</w:t>
            </w:r>
          </w:p>
        </w:tc>
      </w:tr>
    </w:tbl>
    <w:p w14:paraId="6AE0A735" w14:textId="77777777" w:rsidR="00903F96" w:rsidRPr="0098155F" w:rsidRDefault="00903F96" w:rsidP="00903F96">
      <w:pPr>
        <w:pStyle w:val="paragraph"/>
        <w:jc w:val="center"/>
        <w:rPr>
          <w:rFonts w:ascii="Arial" w:hAnsi="Arial" w:cs="Arial"/>
          <w:lang w:val="en-US"/>
        </w:rPr>
      </w:pPr>
      <w:r>
        <w:drawing>
          <wp:inline distT="0" distR="0" distB="0" distL="0">
            <wp:extent cx="5892800" cy="2971800"/>
            <wp:docPr id="11" name="Drawing 11" descr="Monthly resource.png"/>
            <a:graphic xmlns:a="http://schemas.openxmlformats.org/drawingml/2006/main">
              <a:graphicData uri="http://schemas.openxmlformats.org/drawingml/2006/picture">
                <pic:pic xmlns:pic="http://schemas.openxmlformats.org/drawingml/2006/picture">
                  <pic:nvPicPr>
                    <pic:cNvPr id="0" name="Picture 11" descr="Monthly resource.png"/>
                    <pic:cNvPicPr>
                      <a:picLocks noChangeAspect="true"/>
                    </pic:cNvPicPr>
                  </pic:nvPicPr>
                  <pic:blipFill>
                    <a:blip r:embed="rId24"/>
                    <a:stretch>
                      <a:fillRect/>
                    </a:stretch>
                  </pic:blipFill>
                  <pic:spPr>
                    <a:xfrm>
                      <a:off x="0" y="0"/>
                      <a:ext cx="5892800" cy="2971800"/>
                    </a:xfrm>
                    <a:prstGeom prst="rect">
                      <a:avLst/>
                    </a:prstGeom>
                  </pic:spPr>
                </pic:pic>
              </a:graphicData>
            </a:graphic>
          </wp:inline>
        </w:drawing>
      </w:r>
    </w:p>
    <w:p w14:paraId="477B981C" w14:textId="77777777" w:rsidR="00903F96" w:rsidRPr="0098155F" w:rsidRDefault="00903F96" w:rsidP="00903F96">
      <w:pPr>
        <w:pStyle w:val="NameTableImg"/>
        <w:rPr>
          <w:rFonts w:cs="Arial"/>
          <w:lang w:val="en-US"/>
        </w:rPr>
      </w:pPr>
      <w:r>
        <w:rPr>
          <w:b w:val="false"/>
          <w:i w:val="true"/>
        </w:rPr>
        <w:t>Figure 8. Solar resource chart</w:t>
      </w:r>
    </w:p>
    <w:p w14:paraId="6B874DC0" w14:textId="77777777" w:rsidR="00903F96" w:rsidRPr="0098155F" w:rsidRDefault="00903F96" w:rsidP="00903F96">
      <w:pPr>
        <w:pStyle w:val="Title2"/>
        <w:rPr>
          <w:rFonts w:cs="Arial"/>
          <w:lang w:val="en-US"/>
        </w:rPr>
      </w:pPr>
      <w:bookmarkStart w:id="24" w:name="_Hlk34064594"/>
      <w:r>
        <w:rPr>
          <w:rFonts w:ascii="Arial" w:hAnsi="Arial" w:cs="Arial" w:eastAsia="Arial"/>
          <w:b w:val="false"/>
          <w:sz w:val="28"/>
        </w:rPr>
        <w:t xml:space="preserve">3.3. </w:t>
      </w:r>
      <w:bookmarkStart w:id="9" w:name="9"/>
      <w:r>
        <w:rPr>
          <w:rFonts w:ascii="Arial" w:hAnsi="Arial" w:cs="Arial" w:eastAsia="Arial"/>
          <w:b w:val="false"/>
          <w:sz w:val="28"/>
        </w:rPr>
        <w:t>Surface albedo</w:t>
      </w:r>
      <w:bookmarkEnd w:id="9"/>
    </w:p>
    <w:p w14:paraId="7DAD6843" w14:textId="77777777" w:rsidR="00903F96" w:rsidRPr="0098155F" w:rsidRDefault="00903F96" w:rsidP="00903F96">
      <w:pPr>
        <w:pStyle w:val="paragraph"/>
        <w:rPr>
          <w:rFonts w:ascii="Arial" w:hAnsi="Arial" w:cs="Arial"/>
          <w:lang w:val="en-US"/>
        </w:rPr>
      </w:pPr>
      <w:r>
        <w:rPr>
          <w:b w:val="false"/>
        </w:rPr>
        <w:t>The surface albedo data used in the simulation was obtained from the MODIS (Moderate Resolution Imaging Spectroradiometer) sensor, which is a key instrument aboard the NASA Terra and Aqua satellites.</w:t>
      </w:r>
    </w:p>
    <w:p w14:paraId="0085D971" w14:textId="77777777" w:rsidR="00903F96" w:rsidRPr="0098155F" w:rsidRDefault="00903F96" w:rsidP="00903F96">
      <w:pPr>
        <w:pStyle w:val="paragraph"/>
        <w:rPr>
          <w:rFonts w:ascii="Arial" w:hAnsi="Arial" w:cs="Arial"/>
          <w:lang w:val="en-US"/>
        </w:rPr>
      </w:pPr>
      <w:r>
        <w:rPr>
          <w:b w:val="false"/>
        </w:rPr>
        <w:t>The data has a monthly temporal resolution and is derived from long term measurements taken from 2000 to 2017. The albedo value for each month is the average of all the available data values for that month.</w:t>
      </w:r>
    </w:p>
    <w:p w14:paraId="29F36459" w14:textId="77777777" w:rsidR="00903F96" w:rsidRPr="0098155F" w:rsidRDefault="00903F96" w:rsidP="00903F96">
      <w:pPr>
        <w:pStyle w:val="paragraph"/>
        <w:rPr>
          <w:rFonts w:ascii="Arial" w:hAnsi="Arial" w:cs="Arial"/>
          <w:lang w:val="en-US"/>
        </w:rPr>
      </w:pPr>
      <w:r>
        <w:rPr>
          <w:b w:val="false"/>
        </w:rPr>
        <w:t>The spatial resolution is 0.1 degrees in latitude and 0.1 degrees in longitude, which is equivalent to a grid of 11x11km at the equator. At locations further from the equator, the resolution in kilometers increases.</w:t>
      </w:r>
    </w:p>
    <w:p w14:paraId="0F8B385D" w14:textId="77777777" w:rsidR="00903F96" w:rsidRPr="0098155F" w:rsidRDefault="00903F96" w:rsidP="00903F96">
      <w:pPr>
        <w:pStyle w:val="paragraph"/>
        <w:rPr>
          <w:rFonts w:ascii="Arial" w:hAnsi="Arial" w:cs="Arial"/>
          <w:lang w:val="en-US"/>
        </w:rPr>
      </w:pPr>
      <w:bookmarkStart w:id="25" w:name="_Hlk107221501"/>
      <w:bookmarkEnd w:id="25"/>
      <w:r>
        <w:rPr>
          <w:b w:val="false"/>
        </w:rPr>
        <w:t>The average albedo value for the whole year was 16.95 %. The monthly albedo values are shown in Table 6.</w:t>
      </w:r>
    </w:p>
    <w:p w14:paraId="6AFE1196" w14:textId="77777777" w:rsidR="00903F96" w:rsidRPr="0098155F" w:rsidRDefault="00903F96" w:rsidP="00903F96">
      <w:pPr>
        <w:pStyle w:val="NameTableImg"/>
        <w:rPr>
          <w:rFonts w:cs="Arial"/>
          <w:lang w:val="en-US"/>
        </w:rPr>
      </w:pPr>
      <w:r>
        <w:rPr>
          <w:b w:val="false"/>
          <w:i w:val="true"/>
        </w:rPr>
        <w:t>Table 6. Monthly albedo values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5"/>
        <w:gridCol w:w="2835"/>
      </w:tblGrid>
      <w:tr w:rsidR="00BB5186" w:rsidRPr="00BB5186" w14:paraId="7DB38EE5" w14:textId="77777777" w:rsidTr="00BB5186">
        <w:trPr>
          <w:jc w:val="center"/>
        </w:trPr>
        <w:tc>
          <w:tcPr>
            <w:tcW w:w="5669" w:type="dxa"/>
            <w:gridSpan w:val="2"/>
            <w:shd w:val="clear" w:color="auto" w:fill="989E95"/>
            <w:vAlign w:val="center"/>
          </w:tcPr>
          <w:p w14:paraId="2FF5A479"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Pr>
                <w:b w:val="false"/>
              </w:rPr>
              <w:t>Monthly albedo values</w:t>
            </w:r>
          </w:p>
        </w:tc>
      </w:tr>
      <w:tr w:rsidR="00903F96" w:rsidRPr="0098155F" w14:paraId="009C67F9" w14:textId="77777777" w:rsidTr="0048682E">
        <w:trPr>
          <w:trHeight w:val="340"/>
          <w:jc w:val="center"/>
        </w:trPr>
        <w:tc>
          <w:tcPr>
            <w:tcW w:w="2835" w:type="dxa"/>
            <w:shd w:val="clear" w:color="auto" w:fill="auto"/>
            <w:vAlign w:val="center"/>
          </w:tcPr>
          <w:p w14:paraId="6C7DD855"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January</w:t>
            </w:r>
          </w:p>
        </w:tc>
        <w:tc>
          <w:tcPr>
            <w:tcW w:w="2835" w:type="dxa"/>
            <w:shd w:val="clear" w:color="auto" w:fill="auto"/>
            <w:vAlign w:val="center"/>
          </w:tcPr>
          <w:p w14:paraId="32E11982"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16.34 %</w:t>
            </w:r>
          </w:p>
        </w:tc>
      </w:tr>
      <w:tr w:rsidR="00903F96" w:rsidRPr="0098155F" w14:paraId="67C2DBC1" w14:textId="77777777" w:rsidTr="0048682E">
        <w:trPr>
          <w:trHeight w:val="340"/>
          <w:jc w:val="center"/>
        </w:trPr>
        <w:tc>
          <w:tcPr>
            <w:tcW w:w="2835" w:type="dxa"/>
            <w:shd w:val="clear" w:color="auto" w:fill="auto"/>
            <w:vAlign w:val="center"/>
          </w:tcPr>
          <w:p w14:paraId="0B4D6379"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February</w:t>
            </w:r>
          </w:p>
        </w:tc>
        <w:tc>
          <w:tcPr>
            <w:tcW w:w="2835" w:type="dxa"/>
            <w:shd w:val="clear" w:color="auto" w:fill="auto"/>
            <w:vAlign w:val="center"/>
          </w:tcPr>
          <w:p w14:paraId="32EDCC49"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16.59 %</w:t>
            </w:r>
          </w:p>
        </w:tc>
      </w:tr>
      <w:tr w:rsidR="00903F96" w:rsidRPr="0098155F" w14:paraId="3C1AB6A4" w14:textId="77777777" w:rsidTr="0048682E">
        <w:trPr>
          <w:trHeight w:val="340"/>
          <w:jc w:val="center"/>
        </w:trPr>
        <w:tc>
          <w:tcPr>
            <w:tcW w:w="2835" w:type="dxa"/>
            <w:shd w:val="clear" w:color="auto" w:fill="auto"/>
            <w:vAlign w:val="center"/>
          </w:tcPr>
          <w:p w14:paraId="39756B65"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March</w:t>
            </w:r>
          </w:p>
        </w:tc>
        <w:tc>
          <w:tcPr>
            <w:tcW w:w="2835" w:type="dxa"/>
            <w:shd w:val="clear" w:color="auto" w:fill="auto"/>
            <w:vAlign w:val="center"/>
          </w:tcPr>
          <w:p w14:paraId="68A5CF9D"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16.67 %</w:t>
            </w:r>
          </w:p>
        </w:tc>
      </w:tr>
      <w:tr w:rsidR="00903F96" w:rsidRPr="0098155F" w14:paraId="222A7D10" w14:textId="77777777" w:rsidTr="0048682E">
        <w:trPr>
          <w:trHeight w:val="340"/>
          <w:jc w:val="center"/>
        </w:trPr>
        <w:tc>
          <w:tcPr>
            <w:tcW w:w="2835" w:type="dxa"/>
            <w:shd w:val="clear" w:color="auto" w:fill="auto"/>
            <w:vAlign w:val="center"/>
          </w:tcPr>
          <w:p w14:paraId="67DD8E0A"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April</w:t>
            </w:r>
          </w:p>
        </w:tc>
        <w:tc>
          <w:tcPr>
            <w:tcW w:w="2835" w:type="dxa"/>
            <w:shd w:val="clear" w:color="auto" w:fill="auto"/>
            <w:vAlign w:val="center"/>
          </w:tcPr>
          <w:p w14:paraId="399EF504"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16.70 %</w:t>
            </w:r>
          </w:p>
        </w:tc>
      </w:tr>
      <w:tr w:rsidR="00903F96" w:rsidRPr="0098155F" w14:paraId="0B8DC0CB" w14:textId="77777777" w:rsidTr="0048682E">
        <w:trPr>
          <w:trHeight w:val="340"/>
          <w:jc w:val="center"/>
        </w:trPr>
        <w:tc>
          <w:tcPr>
            <w:tcW w:w="2835" w:type="dxa"/>
            <w:shd w:val="clear" w:color="auto" w:fill="auto"/>
            <w:vAlign w:val="center"/>
          </w:tcPr>
          <w:p w14:paraId="530C83C9"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May</w:t>
            </w:r>
          </w:p>
        </w:tc>
        <w:tc>
          <w:tcPr>
            <w:tcW w:w="2835" w:type="dxa"/>
            <w:shd w:val="clear" w:color="auto" w:fill="auto"/>
            <w:vAlign w:val="center"/>
          </w:tcPr>
          <w:p w14:paraId="22289FF8"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17.03 %</w:t>
            </w:r>
          </w:p>
        </w:tc>
      </w:tr>
      <w:tr w:rsidR="00903F96" w:rsidRPr="0098155F" w14:paraId="6FE825A3" w14:textId="77777777" w:rsidTr="0048682E">
        <w:trPr>
          <w:trHeight w:val="340"/>
          <w:jc w:val="center"/>
        </w:trPr>
        <w:tc>
          <w:tcPr>
            <w:tcW w:w="2835" w:type="dxa"/>
            <w:shd w:val="clear" w:color="auto" w:fill="auto"/>
            <w:vAlign w:val="center"/>
          </w:tcPr>
          <w:p w14:paraId="5829DB1A"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June</w:t>
            </w:r>
          </w:p>
        </w:tc>
        <w:tc>
          <w:tcPr>
            <w:tcW w:w="2835" w:type="dxa"/>
            <w:shd w:val="clear" w:color="auto" w:fill="auto"/>
            <w:vAlign w:val="center"/>
          </w:tcPr>
          <w:p w14:paraId="58C7467E"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17.59 %</w:t>
            </w:r>
          </w:p>
        </w:tc>
      </w:tr>
      <w:tr w:rsidR="00903F96" w:rsidRPr="0098155F" w14:paraId="5FD5F8CA" w14:textId="77777777" w:rsidTr="0048682E">
        <w:trPr>
          <w:trHeight w:val="340"/>
          <w:jc w:val="center"/>
        </w:trPr>
        <w:tc>
          <w:tcPr>
            <w:tcW w:w="2835" w:type="dxa"/>
            <w:shd w:val="clear" w:color="auto" w:fill="auto"/>
            <w:vAlign w:val="center"/>
          </w:tcPr>
          <w:p w14:paraId="37F8E490"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July</w:t>
            </w:r>
          </w:p>
        </w:tc>
        <w:tc>
          <w:tcPr>
            <w:tcW w:w="2835" w:type="dxa"/>
            <w:shd w:val="clear" w:color="auto" w:fill="auto"/>
            <w:vAlign w:val="center"/>
          </w:tcPr>
          <w:p w14:paraId="62653603"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17.99 %</w:t>
            </w:r>
          </w:p>
        </w:tc>
      </w:tr>
      <w:tr w:rsidR="00903F96" w:rsidRPr="0098155F" w14:paraId="0134B7C4" w14:textId="77777777" w:rsidTr="0048682E">
        <w:trPr>
          <w:trHeight w:val="340"/>
          <w:jc w:val="center"/>
        </w:trPr>
        <w:tc>
          <w:tcPr>
            <w:tcW w:w="2835" w:type="dxa"/>
            <w:shd w:val="clear" w:color="auto" w:fill="auto"/>
            <w:vAlign w:val="center"/>
          </w:tcPr>
          <w:p w14:paraId="2EB64635"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August</w:t>
            </w:r>
          </w:p>
        </w:tc>
        <w:tc>
          <w:tcPr>
            <w:tcW w:w="2835" w:type="dxa"/>
            <w:shd w:val="clear" w:color="auto" w:fill="auto"/>
            <w:vAlign w:val="center"/>
          </w:tcPr>
          <w:p w14:paraId="21B03D84"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18.09 %</w:t>
            </w:r>
          </w:p>
        </w:tc>
      </w:tr>
      <w:tr w:rsidR="00903F96" w:rsidRPr="0098155F" w14:paraId="7E3D4186" w14:textId="77777777" w:rsidTr="0048682E">
        <w:trPr>
          <w:trHeight w:val="340"/>
          <w:jc w:val="center"/>
        </w:trPr>
        <w:tc>
          <w:tcPr>
            <w:tcW w:w="2835" w:type="dxa"/>
            <w:shd w:val="clear" w:color="auto" w:fill="auto"/>
            <w:vAlign w:val="center"/>
          </w:tcPr>
          <w:p w14:paraId="5E7A8044"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lastRenderedPageBreak/>
              <w:t>September</w:t>
            </w:r>
          </w:p>
        </w:tc>
        <w:tc>
          <w:tcPr>
            <w:tcW w:w="2835" w:type="dxa"/>
            <w:shd w:val="clear" w:color="auto" w:fill="auto"/>
            <w:vAlign w:val="center"/>
          </w:tcPr>
          <w:p w14:paraId="1C979509"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17.36 %</w:t>
            </w:r>
          </w:p>
        </w:tc>
      </w:tr>
      <w:tr w:rsidR="00903F96" w:rsidRPr="0098155F" w14:paraId="2841CD9B" w14:textId="77777777" w:rsidTr="0048682E">
        <w:trPr>
          <w:trHeight w:val="340"/>
          <w:jc w:val="center"/>
        </w:trPr>
        <w:tc>
          <w:tcPr>
            <w:tcW w:w="2835" w:type="dxa"/>
            <w:shd w:val="clear" w:color="auto" w:fill="auto"/>
            <w:vAlign w:val="center"/>
          </w:tcPr>
          <w:p w14:paraId="0F07A7EB"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October</w:t>
            </w:r>
          </w:p>
        </w:tc>
        <w:tc>
          <w:tcPr>
            <w:tcW w:w="2835" w:type="dxa"/>
            <w:shd w:val="clear" w:color="auto" w:fill="auto"/>
            <w:vAlign w:val="center"/>
          </w:tcPr>
          <w:p w14:paraId="33C1AE20"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16.78 %</w:t>
            </w:r>
          </w:p>
        </w:tc>
      </w:tr>
      <w:tr w:rsidR="00903F96" w:rsidRPr="0098155F" w14:paraId="27DA876A" w14:textId="77777777" w:rsidTr="0048682E">
        <w:trPr>
          <w:trHeight w:val="340"/>
          <w:jc w:val="center"/>
        </w:trPr>
        <w:tc>
          <w:tcPr>
            <w:tcW w:w="2835" w:type="dxa"/>
            <w:shd w:val="clear" w:color="auto" w:fill="auto"/>
            <w:vAlign w:val="center"/>
          </w:tcPr>
          <w:p w14:paraId="7F796DD3"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November</w:t>
            </w:r>
          </w:p>
        </w:tc>
        <w:tc>
          <w:tcPr>
            <w:tcW w:w="2835" w:type="dxa"/>
            <w:shd w:val="clear" w:color="auto" w:fill="auto"/>
            <w:vAlign w:val="center"/>
          </w:tcPr>
          <w:p w14:paraId="70773288"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16.19 %</w:t>
            </w:r>
          </w:p>
        </w:tc>
      </w:tr>
      <w:tr w:rsidR="00903F96" w:rsidRPr="0098155F" w14:paraId="71ACB42E" w14:textId="77777777" w:rsidTr="0048682E">
        <w:trPr>
          <w:trHeight w:val="340"/>
          <w:jc w:val="center"/>
        </w:trPr>
        <w:tc>
          <w:tcPr>
            <w:tcW w:w="2835" w:type="dxa"/>
            <w:shd w:val="clear" w:color="auto" w:fill="auto"/>
            <w:vAlign w:val="center"/>
          </w:tcPr>
          <w:p w14:paraId="0589B8AA"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December</w:t>
            </w:r>
          </w:p>
        </w:tc>
        <w:tc>
          <w:tcPr>
            <w:tcW w:w="2835" w:type="dxa"/>
            <w:shd w:val="clear" w:color="auto" w:fill="auto"/>
            <w:vAlign w:val="center"/>
          </w:tcPr>
          <w:p w14:paraId="0F7E0C5B"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16.07 %</w:t>
            </w:r>
          </w:p>
        </w:tc>
      </w:tr>
      <w:tr w:rsidR="00903F96" w:rsidRPr="0098155F" w14:paraId="5581A4BC" w14:textId="77777777" w:rsidTr="00C96B85">
        <w:trPr>
          <w:trHeight w:val="340"/>
          <w:jc w:val="center"/>
        </w:trPr>
        <w:tc>
          <w:tcPr>
            <w:tcW w:w="2835" w:type="dxa"/>
            <w:shd w:val="clear" w:color="auto" w:fill="FFFFFF" w:themeFill="text1"/>
            <w:vAlign w:val="center"/>
          </w:tcPr>
          <w:p w14:paraId="0989409A" w14:textId="77777777" w:rsidR="00903F96" w:rsidRPr="0048682E" w:rsidRDefault="00903F96" w:rsidP="00C96B85">
            <w:pPr>
              <w:spacing w:after="100"/>
              <w:textAlignment w:val="center"/>
              <w:rPr>
                <w:rFonts w:ascii="Arial" w:hAnsi="Arial" w:cs="Arial"/>
                <w:b/>
                <w:bCs/>
                <w:sz w:val="24"/>
                <w:szCs w:val="24"/>
                <w:lang w:val="en-US"/>
              </w:rPr>
            </w:pPr>
            <w:r w:rsidRPr="0048682E">
              <w:rPr>
                <w:rFonts w:ascii="Arial" w:hAnsi="Arial" w:cs="Arial"/>
                <w:b/>
                <w:bCs/>
                <w:sz w:val="24"/>
                <w:szCs w:val="24"/>
                <w:lang w:val="en-US"/>
              </w:rPr>
              <w:t>Yearly mean value</w:t>
            </w:r>
          </w:p>
        </w:tc>
        <w:tc>
          <w:tcPr>
            <w:tcW w:w="2835" w:type="dxa"/>
            <w:shd w:val="clear" w:color="auto" w:fill="FFFFFF" w:themeFill="text1"/>
            <w:vAlign w:val="center"/>
          </w:tcPr>
          <w:p w14:paraId="717FF908" w14:textId="77777777" w:rsidR="00903F96" w:rsidRPr="0048682E" w:rsidRDefault="00903F96" w:rsidP="00C96B85">
            <w:pPr>
              <w:pStyle w:val=""/>
              <w:spacing w:after="100"/>
              <w:jc w:val="right"/>
              <w:textAlignment w:val="center"/>
              <w:rPr>
                <w:rFonts w:ascii="Arial" w:hAnsi="Arial" w:cs="Arial"/>
                <w:b/>
                <w:bCs/>
                <w:sz w:val="24"/>
                <w:szCs w:val="24"/>
                <w:lang w:val="en-US"/>
              </w:rPr>
            </w:pPr>
            <w:r>
              <w:rPr>
                <w:b w:val="true"/>
              </w:rPr>
              <w:t>16.95 %</w:t>
            </w:r>
          </w:p>
        </w:tc>
      </w:tr>
    </w:tbl>
    <w:p w14:paraId="6999B1D0" w14:textId="77777777" w:rsidR="00903F96" w:rsidRPr="0098155F" w:rsidRDefault="00903F96" w:rsidP="00903F96">
      <w:pPr>
        <w:rPr>
          <w:rFonts w:ascii="Arial" w:hAnsi="Arial" w:cs="Arial"/>
          <w:lang w:val="en-US"/>
        </w:rPr>
      </w:pPr>
      <w:r w:rsidRPr="0098155F">
        <w:rPr>
          <w:rFonts w:ascii="Arial" w:hAnsi="Arial" w:cs="Arial"/>
          <w:lang w:val="en-US"/>
        </w:rPr>
        <w:br w:type="page"/>
      </w:r>
    </w:p>
    <w:bookmarkEnd w:id="23"/>
    <w:bookmarkEnd w:id="24"/>
    <w:p w14:paraId="48475985" w14:textId="77777777" w:rsidR="00903F96" w:rsidRPr="0098155F" w:rsidRDefault="00903F96" w:rsidP="00903F96">
      <w:pPr>
        <w:pStyle w:val="Title1"/>
        <w:rPr>
          <w:rFonts w:cs="Arial"/>
          <w:b w:val="0"/>
          <w:bCs/>
          <w:szCs w:val="18"/>
          <w:lang w:val="en-US"/>
        </w:rPr>
      </w:pPr>
      <w:r>
        <w:rPr>
          <w:rFonts w:ascii="Arial" w:hAnsi="Arial" w:cs="Arial" w:eastAsia="Arial"/>
          <w:b w:val="true"/>
          <w:sz w:val="32"/>
        </w:rPr>
        <w:t xml:space="preserve">4. </w:t>
      </w:r>
      <w:bookmarkStart w:id="10" w:name="10"/>
      <w:r>
        <w:rPr>
          <w:rFonts w:ascii="Arial" w:hAnsi="Arial" w:cs="Arial" w:eastAsia="Arial"/>
          <w:b w:val="true"/>
          <w:sz w:val="32"/>
        </w:rPr>
        <w:t>DESCRIPTION OF THE PV PLANT</w:t>
      </w:r>
      <w:bookmarkEnd w:id="10"/>
    </w:p>
    <w:p w14:paraId="74421ECD" w14:textId="77777777" w:rsidR="00903F96" w:rsidRPr="0098155F" w:rsidRDefault="00903F96" w:rsidP="00903F96">
      <w:pPr>
        <w:pStyle w:val="Title2"/>
        <w:rPr>
          <w:rFonts w:cs="Arial"/>
          <w:lang w:val="en-US"/>
        </w:rPr>
      </w:pPr>
      <w:bookmarkStart w:id="26" w:name="_Toc512514515"/>
      <w:bookmarkEnd w:id="26"/>
      <w:r>
        <w:rPr>
          <w:rFonts w:ascii="Arial" w:hAnsi="Arial" w:cs="Arial" w:eastAsia="Arial"/>
          <w:b w:val="false"/>
          <w:sz w:val="28"/>
        </w:rPr>
        <w:t xml:space="preserve">4.1. </w:t>
      </w:r>
      <w:bookmarkStart w:id="11" w:name="11"/>
      <w:r>
        <w:rPr>
          <w:rFonts w:ascii="Arial" w:hAnsi="Arial" w:cs="Arial" w:eastAsia="Arial"/>
          <w:b w:val="false"/>
          <w:sz w:val="28"/>
        </w:rPr>
        <w:t>General description</w:t>
      </w:r>
      <w:bookmarkEnd w:id="11"/>
    </w:p>
    <w:p w14:paraId="27A4965C" w14:textId="77777777" w:rsidR="00903F96" w:rsidRPr="0098155F" w:rsidRDefault="00903F96" w:rsidP="00903F96">
      <w:pPr>
        <w:pStyle w:val="paragraph"/>
        <w:rPr>
          <w:rFonts w:ascii="Arial" w:hAnsi="Arial" w:cs="Arial"/>
          <w:lang w:val="en-US"/>
        </w:rPr>
      </w:pPr>
      <w:r>
        <w:rPr>
          <w:b w:val="false"/>
        </w:rPr>
        <w:t>The rated power of the PV Plant is 30.0 MWac and the Peak Power is 36.4 MWdc resulting in a DC/AC ratio of 1.21. The present description of the project could be subject to changes in the next stages of the project development. The main characteristics of the project are shown in Table 2.</w:t>
      </w:r>
    </w:p>
    <w:p w14:paraId="702912DF" w14:textId="77777777" w:rsidR="00903F96" w:rsidRPr="0098155F" w:rsidRDefault="00903F96" w:rsidP="00903F96">
      <w:pPr>
        <w:pStyle w:val="paragraph"/>
        <w:rPr>
          <w:rFonts w:ascii="Arial" w:hAnsi="Arial" w:cs="Arial"/>
          <w:lang w:val="en-US"/>
        </w:rPr>
      </w:pPr>
      <w:r w:rsidRPr="0098155F">
        <w:rPr>
          <w:rFonts w:ascii="Arial" w:hAnsi="Arial" w:cs="Arial"/>
          <w:lang w:val="en-US"/>
        </w:rPr>
        <w:t>The main equipment used to convert the solar energy to electricity is:</w:t>
      </w:r>
    </w:p>
    <w:p w14:paraId="72C5F1D7" w14:textId="77777777" w:rsidR="00903F96" w:rsidRPr="0098155F" w:rsidRDefault="00903F96" w:rsidP="00903F96">
      <w:pPr>
        <w:pStyle w:val="BulletsDoc"/>
        <w:numPr>
          <w:ilvl w:val="0"/>
          <w:numId w:val="8"/>
        </w:numPr>
        <w:ind w:left="714" w:hanging="357"/>
        <w:rPr>
          <w:rFonts w:ascii="Arial" w:hAnsi="Arial" w:cs="Arial"/>
        </w:rPr>
      </w:pPr>
      <w:r w:rsidRPr="0098155F">
        <w:rPr>
          <w:rFonts w:ascii="Arial" w:hAnsi="Arial" w:cs="Arial"/>
        </w:rPr>
        <w:t>Photovoltaic modules, which convert the solar radiation into direct current.</w:t>
      </w:r>
    </w:p>
    <w:p w14:paraId="2EDBB6A0" w14:textId="77777777" w:rsidR="00903F96" w:rsidRPr="0098155F" w:rsidRDefault="00903F96" w:rsidP="00903F96">
      <w:pPr>
        <w:pStyle w:val="BulletsDoc"/>
        <w:numPr>
          <w:ilvl w:val="0"/>
          <w:numId w:val="8"/>
        </w:numPr>
        <w:ind w:left="714" w:hanging="357"/>
        <w:rPr>
          <w:rFonts w:ascii="Arial" w:hAnsi="Arial" w:cs="Arial"/>
        </w:rPr>
      </w:pPr>
      <w:r>
        <w:rPr>
          <w:b w:val="false"/>
        </w:rPr>
        <w:t>The single-axis tracker, which supports and orients the PV modules to minimize the angle of incidence between the incoming sun rays and the PV modules surface during the day.</w:t>
      </w:r>
    </w:p>
    <w:p w14:paraId="34189834" w14:textId="77777777" w:rsidR="00903F96" w:rsidRPr="0098155F" w:rsidRDefault="00903F96" w:rsidP="00903F96">
      <w:pPr>
        <w:pStyle w:val="BulletsDoc"/>
        <w:numPr>
          <w:ilvl w:val="0"/>
          <w:numId w:val="8"/>
        </w:numPr>
        <w:ind w:left="714" w:hanging="357"/>
        <w:rPr>
          <w:rFonts w:ascii="Arial" w:hAnsi="Arial" w:cs="Arial"/>
        </w:rPr>
      </w:pPr>
      <w:r>
        <w:rPr>
          <w:b w:val="false"/>
        </w:rPr>
        <w:t>The string combiner boxes, which consolidate the output of the strings of photovoltaic modules before reaching the inverter.</w:t>
      </w:r>
    </w:p>
    <w:p w14:paraId="77AA9912" w14:textId="77777777" w:rsidR="00903F96" w:rsidRPr="0098155F" w:rsidRDefault="00903F96" w:rsidP="00903F96">
      <w:pPr>
        <w:pStyle w:val="BulletsDoc"/>
        <w:numPr>
          <w:ilvl w:val="0"/>
          <w:numId w:val="8"/>
        </w:numPr>
        <w:ind w:left="714" w:hanging="357"/>
        <w:rPr>
          <w:rFonts w:ascii="Arial" w:hAnsi="Arial" w:cs="Arial"/>
        </w:rPr>
      </w:pPr>
      <w:r>
        <w:rPr>
          <w:b w:val="false"/>
        </w:rPr>
        <w:t>Central inverters, which convert DC from the solar field to AC.</w:t>
      </w:r>
    </w:p>
    <w:p w14:paraId="5227A1AB" w14:textId="77777777" w:rsidR="00903F96" w:rsidRPr="0098155F" w:rsidRDefault="00903F96" w:rsidP="00903F96">
      <w:pPr>
        <w:pStyle w:val="BulletsDoc"/>
        <w:numPr>
          <w:ilvl w:val="0"/>
          <w:numId w:val="8"/>
        </w:numPr>
        <w:ind w:left="714" w:hanging="357"/>
        <w:rPr>
          <w:rFonts w:ascii="Arial" w:hAnsi="Arial" w:cs="Arial"/>
        </w:rPr>
      </w:pPr>
      <w:r w:rsidRPr="0098155F">
        <w:rPr>
          <w:rFonts w:ascii="Arial" w:hAnsi="Arial" w:cs="Arial"/>
        </w:rPr>
        <w:t>Power Transformers, which raise the voltage level from low to medium.</w:t>
      </w:r>
    </w:p>
    <w:p w14:paraId="5571F8FB" w14:textId="77777777" w:rsidR="00903F96" w:rsidRPr="0098155F" w:rsidRDefault="00903F96" w:rsidP="00903F96">
      <w:pPr>
        <w:pStyle w:val="BulletsDoc"/>
        <w:numPr>
          <w:ilvl w:val="0"/>
          <w:numId w:val="8"/>
        </w:numPr>
        <w:ind w:left="714" w:hanging="357"/>
        <w:rPr>
          <w:rFonts w:ascii="Arial" w:hAnsi="Arial" w:cs="Arial"/>
        </w:rPr>
      </w:pPr>
      <w:r w:rsidRPr="0098155F">
        <w:rPr>
          <w:rFonts w:ascii="Arial" w:hAnsi="Arial" w:cs="Arial"/>
        </w:rPr>
        <w:t>Power Stations, which hold the necessary equipment to convert the DC power to AC.</w:t>
      </w:r>
    </w:p>
    <w:p w14:paraId="1069A98D" w14:textId="77777777" w:rsidR="00903F96" w:rsidRPr="0098155F" w:rsidRDefault="00903F96" w:rsidP="00903F96">
      <w:pPr>
        <w:pStyle w:val="Title2"/>
        <w:rPr>
          <w:rFonts w:cs="Arial"/>
          <w:lang w:val="en-US"/>
        </w:rPr>
      </w:pPr>
      <w:r>
        <w:rPr>
          <w:rFonts w:ascii="Arial" w:hAnsi="Arial" w:cs="Arial" w:eastAsia="Arial"/>
          <w:b w:val="false"/>
          <w:sz w:val="28"/>
        </w:rPr>
        <w:t xml:space="preserve">4.2. </w:t>
      </w:r>
      <w:bookmarkStart w:id="12" w:name="12"/>
      <w:r>
        <w:rPr>
          <w:rFonts w:ascii="Arial" w:hAnsi="Arial" w:cs="Arial" w:eastAsia="Arial"/>
          <w:b w:val="false"/>
          <w:sz w:val="28"/>
        </w:rPr>
        <w:t>Photovoltaic module</w:t>
      </w:r>
      <w:bookmarkEnd w:id="12"/>
    </w:p>
    <w:p w14:paraId="409A3D12" w14:textId="77777777" w:rsidR="00903F96" w:rsidRPr="0098155F" w:rsidRDefault="00903F96" w:rsidP="00903F96">
      <w:pPr>
        <w:pStyle w:val="paragraph"/>
        <w:rPr>
          <w:rFonts w:ascii="Arial" w:hAnsi="Arial" w:cs="Arial"/>
          <w:lang w:val="en-US"/>
        </w:rPr>
      </w:pPr>
      <w:r>
        <w:rPr>
          <w:b w:val="false"/>
        </w:rPr>
        <w:t>The selected photovoltaic module is the General610 Bifacial model, manufactured by Generic (default). It has a peak power of 610.0 W, and the technology of the cells is Si-mono.</w:t>
      </w:r>
    </w:p>
    <w:p w14:paraId="7825B3E0" w14:textId="77777777" w:rsidR="00903F96" w:rsidRPr="0098155F" w:rsidRDefault="00903F96" w:rsidP="00903F96">
      <w:pPr>
        <w:pStyle w:val="paragraph"/>
        <w:rPr>
          <w:rFonts w:ascii="Arial" w:hAnsi="Arial" w:cs="Arial"/>
          <w:lang w:val="en-US"/>
        </w:rPr>
      </w:pPr>
      <w:r>
        <w:rPr>
          <w:b w:val="false"/>
        </w:rPr>
        <w:t>The features of the photovoltaic module are shown in Table 7.</w:t>
      </w:r>
    </w:p>
    <w:p w14:paraId="59729E7F" w14:textId="77777777" w:rsidR="00903F96" w:rsidRPr="0098155F" w:rsidRDefault="00903F96" w:rsidP="00903F96">
      <w:pPr>
        <w:pStyle w:val="paragraph"/>
        <w:rPr>
          <w:rFonts w:ascii="Arial" w:hAnsi="Arial" w:cs="Arial"/>
          <w:lang w:val="en-US"/>
        </w:rPr>
      </w:pPr>
      <w:proofErr w:type="spellStart"/>
      <w:proofErr w:type="spellEnd"/>
      <w:r>
        <w:rPr>
          <w:b w:val="false"/>
        </w:rPr>
        <w:t>The module has a bifaciality factor of 80.00 %.</w:t>
      </w:r>
    </w:p>
    <w:p w14:paraId="1D374D5F" w14:textId="77777777" w:rsidR="00903F96" w:rsidRPr="0098155F" w:rsidRDefault="00903F96" w:rsidP="00903F96">
      <w:pPr>
        <w:pStyle w:val="NameTableImg"/>
        <w:rPr>
          <w:rFonts w:cs="Arial"/>
          <w:lang w:val="en-US"/>
        </w:rPr>
      </w:pPr>
      <w:r>
        <w:rPr>
          <w:b w:val="false"/>
          <w:i w:val="true"/>
        </w:rPr>
        <w:t>Table 7. Photovoltaic module characteristics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903F96" w:rsidRPr="0098155F" w14:paraId="2FB36A4B" w14:textId="77777777" w:rsidTr="00BB5186">
        <w:trPr>
          <w:jc w:val="center"/>
        </w:trPr>
        <w:tc>
          <w:tcPr>
            <w:tcW w:w="7938" w:type="dxa"/>
            <w:gridSpan w:val="2"/>
            <w:shd w:val="clear" w:color="auto" w:fill="989E95"/>
            <w:vAlign w:val="center"/>
          </w:tcPr>
          <w:p w14:paraId="6DA00A2E"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Photovoltaic module characteristics</w:t>
            </w:r>
          </w:p>
        </w:tc>
      </w:tr>
      <w:tr w:rsidR="00903F96" w:rsidRPr="000D7300" w14:paraId="335A6A9B" w14:textId="77777777" w:rsidTr="000D7300">
        <w:trPr>
          <w:trHeight w:val="340"/>
          <w:jc w:val="center"/>
        </w:trPr>
        <w:tc>
          <w:tcPr>
            <w:tcW w:w="3969" w:type="dxa"/>
            <w:shd w:val="clear" w:color="auto" w:fill="B8BDB5"/>
            <w:vAlign w:val="center"/>
          </w:tcPr>
          <w:p w14:paraId="11018229" w14:textId="77777777" w:rsidR="00903F96" w:rsidRPr="000D7300" w:rsidRDefault="00903F96" w:rsidP="00C96B85">
            <w:pPr>
              <w:spacing w:after="100"/>
              <w:textAlignment w:val="center"/>
              <w:rPr>
                <w:rFonts w:ascii="Arial" w:hAnsi="Arial" w:cs="Arial"/>
                <w:b/>
                <w:sz w:val="24"/>
                <w:szCs w:val="24"/>
                <w:lang w:val="en-US"/>
              </w:rPr>
            </w:pPr>
            <w:r w:rsidRPr="000D7300">
              <w:rPr>
                <w:rFonts w:ascii="Arial" w:hAnsi="Arial" w:cs="Arial"/>
                <w:b/>
                <w:sz w:val="24"/>
                <w:szCs w:val="24"/>
                <w:lang w:val="en-US"/>
              </w:rPr>
              <w:t>Main characteristics</w:t>
            </w:r>
          </w:p>
        </w:tc>
        <w:tc>
          <w:tcPr>
            <w:tcW w:w="3969" w:type="dxa"/>
            <w:shd w:val="clear" w:color="auto" w:fill="B8BDB5"/>
            <w:vAlign w:val="center"/>
          </w:tcPr>
          <w:p w14:paraId="01EB1A3E" w14:textId="77777777" w:rsidR="00903F96" w:rsidRPr="000D7300" w:rsidRDefault="00903F96" w:rsidP="00C96B85">
            <w:pPr>
              <w:spacing w:after="100"/>
              <w:jc w:val="right"/>
              <w:textAlignment w:val="center"/>
              <w:rPr>
                <w:rFonts w:ascii="Arial" w:hAnsi="Arial" w:cs="Arial"/>
                <w:sz w:val="24"/>
                <w:szCs w:val="24"/>
                <w:lang w:val="en-US"/>
              </w:rPr>
            </w:pPr>
          </w:p>
        </w:tc>
      </w:tr>
      <w:tr w:rsidR="00903F96" w:rsidRPr="0098155F" w14:paraId="646D554C" w14:textId="77777777" w:rsidTr="00C96B85">
        <w:trPr>
          <w:trHeight w:val="340"/>
          <w:jc w:val="center"/>
        </w:trPr>
        <w:tc>
          <w:tcPr>
            <w:tcW w:w="3969" w:type="dxa"/>
            <w:shd w:val="clear" w:color="auto" w:fill="auto"/>
            <w:vAlign w:val="center"/>
          </w:tcPr>
          <w:p w14:paraId="2EB88AFD"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Module model</w:t>
            </w:r>
          </w:p>
        </w:tc>
        <w:tc>
          <w:tcPr>
            <w:tcW w:w="3969" w:type="dxa"/>
            <w:shd w:val="clear" w:color="auto" w:fill="auto"/>
            <w:vAlign w:val="center"/>
          </w:tcPr>
          <w:p w14:paraId="78B8CBBF"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General610</w:t>
            </w:r>
          </w:p>
        </w:tc>
      </w:tr>
      <w:tr w:rsidR="00903F96" w:rsidRPr="0098155F" w14:paraId="1DFA9D4D" w14:textId="77777777" w:rsidTr="00C96B85">
        <w:trPr>
          <w:trHeight w:val="340"/>
          <w:jc w:val="center"/>
        </w:trPr>
        <w:tc>
          <w:tcPr>
            <w:tcW w:w="3969" w:type="dxa"/>
            <w:shd w:val="clear" w:color="auto" w:fill="auto"/>
            <w:vAlign w:val="center"/>
          </w:tcPr>
          <w:p w14:paraId="516E28A3"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Manufacturer</w:t>
            </w:r>
          </w:p>
        </w:tc>
        <w:tc>
          <w:tcPr>
            <w:tcW w:w="3969" w:type="dxa"/>
            <w:shd w:val="clear" w:color="auto" w:fill="auto"/>
            <w:vAlign w:val="center"/>
          </w:tcPr>
          <w:p w14:paraId="0A19E1DD"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Generic (default)</w:t>
            </w:r>
          </w:p>
        </w:tc>
      </w:tr>
      <w:tr w:rsidR="00903F96" w:rsidRPr="0098155F" w14:paraId="7A2824BE" w14:textId="77777777" w:rsidTr="00C96B85">
        <w:trPr>
          <w:trHeight w:val="340"/>
          <w:jc w:val="center"/>
        </w:trPr>
        <w:tc>
          <w:tcPr>
            <w:tcW w:w="3969" w:type="dxa"/>
            <w:shd w:val="clear" w:color="auto" w:fill="auto"/>
            <w:vAlign w:val="center"/>
          </w:tcPr>
          <w:p w14:paraId="3271476C"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Technology</w:t>
            </w:r>
          </w:p>
        </w:tc>
        <w:tc>
          <w:tcPr>
            <w:tcW w:w="3969" w:type="dxa"/>
            <w:shd w:val="clear" w:color="auto" w:fill="auto"/>
            <w:vAlign w:val="center"/>
          </w:tcPr>
          <w:p w14:paraId="3ECDD9C5"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Si-mono</w:t>
            </w:r>
          </w:p>
        </w:tc>
      </w:tr>
      <w:tr w:rsidR="00903F96" w:rsidRPr="0098155F" w14:paraId="0254E734" w14:textId="77777777" w:rsidTr="00C96B85">
        <w:trPr>
          <w:trHeight w:val="340"/>
          <w:jc w:val="center"/>
        </w:trPr>
        <w:tc>
          <w:tcPr>
            <w:tcW w:w="3969" w:type="dxa"/>
            <w:shd w:val="clear" w:color="auto" w:fill="auto"/>
            <w:vAlign w:val="center"/>
          </w:tcPr>
          <w:p w14:paraId="7116867B"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Type of module</w:t>
            </w:r>
          </w:p>
        </w:tc>
        <w:tc>
          <w:tcPr>
            <w:tcW w:w="3969" w:type="dxa"/>
            <w:shd w:val="clear" w:color="auto" w:fill="auto"/>
            <w:vAlign w:val="center"/>
          </w:tcPr>
          <w:p w14:paraId="08320776"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Bifacial</w:t>
            </w:r>
          </w:p>
        </w:tc>
      </w:tr>
      <w:tr w:rsidR="00903F96" w:rsidRPr="0098155F" w14:paraId="6C5904B1" w14:textId="77777777" w:rsidTr="00C96B85">
        <w:trPr>
          <w:trHeight w:val="340"/>
          <w:jc w:val="center"/>
        </w:trPr>
        <w:tc>
          <w:tcPr>
            <w:tcW w:w="3969" w:type="dxa"/>
            <w:shd w:val="clear" w:color="auto" w:fill="auto"/>
            <w:vAlign w:val="center"/>
          </w:tcPr>
          <w:p w14:paraId="0E366540"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Maximum voltage</w:t>
            </w:r>
          </w:p>
        </w:tc>
        <w:tc>
          <w:tcPr>
            <w:tcW w:w="3969" w:type="dxa"/>
            <w:shd w:val="clear" w:color="auto" w:fill="auto"/>
            <w:vAlign w:val="center"/>
          </w:tcPr>
          <w:p w14:paraId="57D6F3EF"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1500 V</w:t>
            </w:r>
          </w:p>
        </w:tc>
      </w:tr>
      <w:tr w:rsidR="000D7300" w:rsidRPr="000D7300" w14:paraId="5D8C576C" w14:textId="77777777" w:rsidTr="000D7300">
        <w:trPr>
          <w:trHeight w:val="340"/>
          <w:jc w:val="center"/>
        </w:trPr>
        <w:tc>
          <w:tcPr>
            <w:tcW w:w="3969" w:type="dxa"/>
            <w:shd w:val="clear" w:color="auto" w:fill="B8BDB5"/>
            <w:vAlign w:val="center"/>
          </w:tcPr>
          <w:p w14:paraId="2E15F795" w14:textId="77777777" w:rsidR="00903F96" w:rsidRPr="0048682E" w:rsidRDefault="00903F96" w:rsidP="00C96B85">
            <w:pPr>
              <w:spacing w:after="100"/>
              <w:textAlignment w:val="center"/>
              <w:rPr>
                <w:rFonts w:ascii="Arial" w:hAnsi="Arial" w:cs="Arial"/>
                <w:b/>
                <w:sz w:val="24"/>
                <w:szCs w:val="24"/>
                <w:lang w:val="en-US"/>
              </w:rPr>
            </w:pPr>
            <w:r w:rsidRPr="0048682E">
              <w:rPr>
                <w:rFonts w:ascii="Arial" w:hAnsi="Arial" w:cs="Arial"/>
                <w:b/>
                <w:sz w:val="24"/>
                <w:szCs w:val="24"/>
                <w:lang w:val="en-US"/>
              </w:rPr>
              <w:t>Standard test conditions (STC)</w:t>
            </w:r>
          </w:p>
        </w:tc>
        <w:tc>
          <w:tcPr>
            <w:tcW w:w="3969" w:type="dxa"/>
            <w:shd w:val="clear" w:color="auto" w:fill="B8BDB5"/>
            <w:vAlign w:val="center"/>
          </w:tcPr>
          <w:p w14:paraId="1BC7DD95" w14:textId="77777777" w:rsidR="00903F96" w:rsidRPr="0048682E" w:rsidRDefault="00903F96" w:rsidP="00C96B85">
            <w:pPr>
              <w:spacing w:after="100"/>
              <w:jc w:val="right"/>
              <w:textAlignment w:val="center"/>
              <w:rPr>
                <w:rFonts w:ascii="Arial" w:hAnsi="Arial" w:cs="Arial"/>
                <w:b/>
                <w:sz w:val="24"/>
                <w:szCs w:val="24"/>
                <w:lang w:val="en-US"/>
              </w:rPr>
            </w:pPr>
          </w:p>
        </w:tc>
      </w:tr>
      <w:tr w:rsidR="00903F96" w:rsidRPr="0098155F" w14:paraId="28C56915" w14:textId="77777777" w:rsidTr="00C96B85">
        <w:trPr>
          <w:trHeight w:val="340"/>
          <w:jc w:val="center"/>
        </w:trPr>
        <w:tc>
          <w:tcPr>
            <w:tcW w:w="3969" w:type="dxa"/>
            <w:shd w:val="clear" w:color="auto" w:fill="FFFFFF" w:themeFill="text1"/>
            <w:vAlign w:val="center"/>
          </w:tcPr>
          <w:p w14:paraId="6C02B036"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Peak power</w:t>
            </w:r>
          </w:p>
        </w:tc>
        <w:tc>
          <w:tcPr>
            <w:tcW w:w="3969" w:type="dxa"/>
            <w:shd w:val="clear" w:color="auto" w:fill="FFFFFF" w:themeFill="text1"/>
            <w:vAlign w:val="center"/>
          </w:tcPr>
          <w:p w14:paraId="3E2EE9A0"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610.0 W</w:t>
            </w:r>
          </w:p>
        </w:tc>
      </w:tr>
      <w:tr w:rsidR="00903F96" w:rsidRPr="0098155F" w14:paraId="74EC256F" w14:textId="77777777" w:rsidTr="00C96B85">
        <w:trPr>
          <w:trHeight w:val="340"/>
          <w:jc w:val="center"/>
        </w:trPr>
        <w:tc>
          <w:tcPr>
            <w:tcW w:w="3969" w:type="dxa"/>
            <w:shd w:val="clear" w:color="auto" w:fill="FFFFFF" w:themeFill="text1"/>
            <w:vAlign w:val="center"/>
          </w:tcPr>
          <w:p w14:paraId="385D08D2"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lastRenderedPageBreak/>
              <w:t>Efficiency</w:t>
            </w:r>
          </w:p>
        </w:tc>
        <w:tc>
          <w:tcPr>
            <w:tcW w:w="3969" w:type="dxa"/>
            <w:shd w:val="clear" w:color="auto" w:fill="FFFFFF" w:themeFill="text1"/>
            <w:vAlign w:val="center"/>
          </w:tcPr>
          <w:p w14:paraId="642830FC"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21.85 %</w:t>
            </w:r>
          </w:p>
        </w:tc>
      </w:tr>
      <w:tr w:rsidR="00903F96" w:rsidRPr="0098155F" w14:paraId="588B477E" w14:textId="77777777" w:rsidTr="00C96B85">
        <w:trPr>
          <w:trHeight w:val="340"/>
          <w:jc w:val="center"/>
        </w:trPr>
        <w:tc>
          <w:tcPr>
            <w:tcW w:w="3969" w:type="dxa"/>
            <w:shd w:val="clear" w:color="auto" w:fill="FFFFFF" w:themeFill="text1"/>
            <w:vAlign w:val="center"/>
          </w:tcPr>
          <w:p w14:paraId="22651720"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MPP voltage</w:t>
            </w:r>
          </w:p>
        </w:tc>
        <w:tc>
          <w:tcPr>
            <w:tcW w:w="3969" w:type="dxa"/>
            <w:shd w:val="clear" w:color="auto" w:fill="FFFFFF" w:themeFill="text1"/>
            <w:vAlign w:val="center"/>
          </w:tcPr>
          <w:p w14:paraId="1B34ED96"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45.7 V</w:t>
            </w:r>
          </w:p>
        </w:tc>
      </w:tr>
      <w:tr w:rsidR="00903F96" w:rsidRPr="0098155F" w14:paraId="15D58FDE" w14:textId="77777777" w:rsidTr="00C96B85">
        <w:trPr>
          <w:trHeight w:val="340"/>
          <w:jc w:val="center"/>
        </w:trPr>
        <w:tc>
          <w:tcPr>
            <w:tcW w:w="3969" w:type="dxa"/>
            <w:shd w:val="clear" w:color="auto" w:fill="FFFFFF" w:themeFill="text1"/>
            <w:vAlign w:val="center"/>
          </w:tcPr>
          <w:p w14:paraId="724288DC"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MPP current</w:t>
            </w:r>
          </w:p>
        </w:tc>
        <w:tc>
          <w:tcPr>
            <w:tcW w:w="3969" w:type="dxa"/>
            <w:shd w:val="clear" w:color="auto" w:fill="FFFFFF" w:themeFill="text1"/>
            <w:vAlign w:val="center"/>
          </w:tcPr>
          <w:p w14:paraId="7D8942D3"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13.37 A</w:t>
            </w:r>
          </w:p>
        </w:tc>
      </w:tr>
      <w:tr w:rsidR="00903F96" w:rsidRPr="0098155F" w14:paraId="45C62170" w14:textId="77777777" w:rsidTr="00C96B85">
        <w:trPr>
          <w:trHeight w:val="340"/>
          <w:jc w:val="center"/>
        </w:trPr>
        <w:tc>
          <w:tcPr>
            <w:tcW w:w="3969" w:type="dxa"/>
            <w:shd w:val="clear" w:color="auto" w:fill="FFFFFF" w:themeFill="text1"/>
            <w:vAlign w:val="center"/>
          </w:tcPr>
          <w:p w14:paraId="3CFCEAD3"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Open circuit voltage</w:t>
            </w:r>
          </w:p>
        </w:tc>
        <w:tc>
          <w:tcPr>
            <w:tcW w:w="3969" w:type="dxa"/>
            <w:shd w:val="clear" w:color="auto" w:fill="FFFFFF" w:themeFill="text1"/>
            <w:vAlign w:val="center"/>
          </w:tcPr>
          <w:p w14:paraId="4DC97CD0"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55.3 V</w:t>
            </w:r>
          </w:p>
        </w:tc>
      </w:tr>
      <w:tr w:rsidR="00903F96" w:rsidRPr="0098155F" w14:paraId="5E541601" w14:textId="77777777" w:rsidTr="00C96B85">
        <w:trPr>
          <w:trHeight w:val="340"/>
          <w:jc w:val="center"/>
        </w:trPr>
        <w:tc>
          <w:tcPr>
            <w:tcW w:w="3969" w:type="dxa"/>
            <w:shd w:val="clear" w:color="auto" w:fill="FFFFFF" w:themeFill="text1"/>
            <w:vAlign w:val="center"/>
          </w:tcPr>
          <w:p w14:paraId="5CFD926A"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Short circuit current</w:t>
            </w:r>
          </w:p>
        </w:tc>
        <w:tc>
          <w:tcPr>
            <w:tcW w:w="3969" w:type="dxa"/>
            <w:shd w:val="clear" w:color="auto" w:fill="FFFFFF" w:themeFill="text1"/>
            <w:vAlign w:val="center"/>
          </w:tcPr>
          <w:p w14:paraId="06E6C65A"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14.03 A</w:t>
            </w:r>
          </w:p>
        </w:tc>
      </w:tr>
      <w:tr w:rsidR="00903F96" w:rsidRPr="000D7300" w14:paraId="6C2A0C5B" w14:textId="77777777" w:rsidTr="000D7300">
        <w:trPr>
          <w:trHeight w:val="340"/>
          <w:jc w:val="center"/>
        </w:trPr>
        <w:tc>
          <w:tcPr>
            <w:tcW w:w="3969" w:type="dxa"/>
            <w:shd w:val="clear" w:color="auto" w:fill="B8BDB5"/>
            <w:vAlign w:val="center"/>
          </w:tcPr>
          <w:p w14:paraId="5ADCFDC0" w14:textId="77777777" w:rsidR="00903F96" w:rsidRPr="0048682E" w:rsidRDefault="00903F96" w:rsidP="00C96B85">
            <w:pPr>
              <w:spacing w:after="100"/>
              <w:textAlignment w:val="center"/>
              <w:rPr>
                <w:rFonts w:ascii="Arial" w:hAnsi="Arial" w:cs="Arial"/>
                <w:b/>
                <w:sz w:val="24"/>
                <w:szCs w:val="24"/>
                <w:lang w:val="en-US"/>
              </w:rPr>
            </w:pPr>
            <w:r w:rsidRPr="0048682E">
              <w:rPr>
                <w:rFonts w:ascii="Arial" w:hAnsi="Arial" w:cs="Arial"/>
                <w:b/>
                <w:sz w:val="24"/>
                <w:szCs w:val="24"/>
                <w:lang w:val="en-US"/>
              </w:rPr>
              <w:t>Temperature coefficients</w:t>
            </w:r>
          </w:p>
        </w:tc>
        <w:tc>
          <w:tcPr>
            <w:tcW w:w="3969" w:type="dxa"/>
            <w:shd w:val="clear" w:color="auto" w:fill="B8BDB5"/>
            <w:vAlign w:val="center"/>
          </w:tcPr>
          <w:p w14:paraId="6AFFA356" w14:textId="77777777" w:rsidR="00903F96" w:rsidRPr="0048682E" w:rsidRDefault="00903F96" w:rsidP="00C96B85">
            <w:pPr>
              <w:spacing w:after="100"/>
              <w:jc w:val="right"/>
              <w:textAlignment w:val="center"/>
              <w:rPr>
                <w:rFonts w:ascii="Arial" w:hAnsi="Arial" w:cs="Arial"/>
                <w:b/>
                <w:sz w:val="24"/>
                <w:szCs w:val="24"/>
                <w:lang w:val="en-US"/>
              </w:rPr>
            </w:pPr>
          </w:p>
        </w:tc>
      </w:tr>
      <w:tr w:rsidR="00903F96" w:rsidRPr="0098155F" w14:paraId="7DDD3377" w14:textId="77777777" w:rsidTr="00C96B85">
        <w:trPr>
          <w:trHeight w:val="340"/>
          <w:jc w:val="center"/>
        </w:trPr>
        <w:tc>
          <w:tcPr>
            <w:tcW w:w="3969" w:type="dxa"/>
            <w:shd w:val="clear" w:color="auto" w:fill="FFFFFF" w:themeFill="text1"/>
            <w:vAlign w:val="center"/>
          </w:tcPr>
          <w:p w14:paraId="2428F17A"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Power coefficient</w:t>
            </w:r>
          </w:p>
        </w:tc>
        <w:tc>
          <w:tcPr>
            <w:tcW w:w="3969" w:type="dxa"/>
            <w:shd w:val="clear" w:color="auto" w:fill="FFFFFF" w:themeFill="text1"/>
            <w:vAlign w:val="center"/>
          </w:tcPr>
          <w:p w14:paraId="51C496E2"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-0.300 %/°C</w:t>
            </w:r>
          </w:p>
        </w:tc>
      </w:tr>
      <w:tr w:rsidR="00903F96" w:rsidRPr="0098155F" w14:paraId="72731A7C" w14:textId="77777777" w:rsidTr="00C96B85">
        <w:trPr>
          <w:trHeight w:val="340"/>
          <w:jc w:val="center"/>
        </w:trPr>
        <w:tc>
          <w:tcPr>
            <w:tcW w:w="3969" w:type="dxa"/>
            <w:shd w:val="clear" w:color="auto" w:fill="FFFFFF" w:themeFill="text1"/>
            <w:vAlign w:val="center"/>
          </w:tcPr>
          <w:p w14:paraId="2A0C547E"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Voltage coefficient</w:t>
            </w:r>
          </w:p>
        </w:tc>
        <w:tc>
          <w:tcPr>
            <w:tcW w:w="3969" w:type="dxa"/>
            <w:shd w:val="clear" w:color="auto" w:fill="FFFFFF" w:themeFill="text1"/>
            <w:vAlign w:val="center"/>
          </w:tcPr>
          <w:p w14:paraId="36122DC8"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-0.278 %/°C</w:t>
            </w:r>
          </w:p>
        </w:tc>
      </w:tr>
      <w:tr w:rsidR="00903F96" w:rsidRPr="0098155F" w14:paraId="6D6D0EEC" w14:textId="77777777" w:rsidTr="00C96B85">
        <w:trPr>
          <w:trHeight w:val="340"/>
          <w:jc w:val="center"/>
        </w:trPr>
        <w:tc>
          <w:tcPr>
            <w:tcW w:w="3969" w:type="dxa"/>
            <w:shd w:val="clear" w:color="auto" w:fill="FFFFFF" w:themeFill="text1"/>
            <w:vAlign w:val="center"/>
          </w:tcPr>
          <w:p w14:paraId="44CBF62A"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Current coefficient</w:t>
            </w:r>
          </w:p>
        </w:tc>
        <w:tc>
          <w:tcPr>
            <w:tcW w:w="3969" w:type="dxa"/>
            <w:shd w:val="clear" w:color="auto" w:fill="FFFFFF" w:themeFill="text1"/>
            <w:vAlign w:val="center"/>
          </w:tcPr>
          <w:p w14:paraId="5FAF917B"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 xml:space="preserve">0.046 %/°C </w:t>
            </w:r>
          </w:p>
        </w:tc>
      </w:tr>
      <w:tr w:rsidR="00903F96" w:rsidRPr="000D7300" w14:paraId="1CA1CBD4" w14:textId="77777777" w:rsidTr="000D7300">
        <w:trPr>
          <w:trHeight w:val="340"/>
          <w:jc w:val="center"/>
        </w:trPr>
        <w:tc>
          <w:tcPr>
            <w:tcW w:w="3969" w:type="dxa"/>
            <w:shd w:val="clear" w:color="auto" w:fill="B8BDB5"/>
            <w:vAlign w:val="center"/>
          </w:tcPr>
          <w:p w14:paraId="0BE25B83" w14:textId="77777777" w:rsidR="00903F96" w:rsidRPr="0048682E" w:rsidRDefault="00903F96" w:rsidP="00C96B85">
            <w:pPr>
              <w:spacing w:after="100"/>
              <w:textAlignment w:val="center"/>
              <w:rPr>
                <w:rFonts w:ascii="Arial" w:hAnsi="Arial" w:cs="Arial"/>
                <w:b/>
                <w:sz w:val="24"/>
                <w:szCs w:val="24"/>
                <w:lang w:val="en-US"/>
              </w:rPr>
            </w:pPr>
            <w:r w:rsidRPr="0048682E">
              <w:rPr>
                <w:rFonts w:ascii="Arial" w:hAnsi="Arial" w:cs="Arial"/>
                <w:b/>
                <w:sz w:val="24"/>
                <w:szCs w:val="24"/>
                <w:lang w:val="en-US"/>
              </w:rPr>
              <w:t>Mechanical characteristics</w:t>
            </w:r>
          </w:p>
        </w:tc>
        <w:tc>
          <w:tcPr>
            <w:tcW w:w="3969" w:type="dxa"/>
            <w:shd w:val="clear" w:color="auto" w:fill="B8BDB5"/>
            <w:vAlign w:val="center"/>
          </w:tcPr>
          <w:p w14:paraId="05DD7A19" w14:textId="77777777" w:rsidR="00903F96" w:rsidRPr="0048682E" w:rsidRDefault="00903F96" w:rsidP="00C96B85">
            <w:pPr>
              <w:spacing w:after="100"/>
              <w:jc w:val="right"/>
              <w:textAlignment w:val="center"/>
              <w:rPr>
                <w:rFonts w:ascii="Arial" w:hAnsi="Arial" w:cs="Arial"/>
                <w:b/>
                <w:sz w:val="24"/>
                <w:szCs w:val="24"/>
                <w:lang w:val="en-US"/>
              </w:rPr>
            </w:pPr>
          </w:p>
        </w:tc>
      </w:tr>
      <w:tr w:rsidR="00903F96" w:rsidRPr="0098155F" w14:paraId="3CAD2E10" w14:textId="77777777" w:rsidTr="00C96B85">
        <w:trPr>
          <w:trHeight w:val="340"/>
          <w:jc w:val="center"/>
        </w:trPr>
        <w:tc>
          <w:tcPr>
            <w:tcW w:w="3969" w:type="dxa"/>
            <w:shd w:val="clear" w:color="auto" w:fill="FFFFFF" w:themeFill="text1"/>
            <w:vAlign w:val="center"/>
          </w:tcPr>
          <w:p w14:paraId="06154715"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Length</w:t>
            </w:r>
          </w:p>
        </w:tc>
        <w:tc>
          <w:tcPr>
            <w:tcW w:w="3969" w:type="dxa"/>
            <w:shd w:val="clear" w:color="auto" w:fill="FFFFFF" w:themeFill="text1"/>
            <w:vAlign w:val="center"/>
          </w:tcPr>
          <w:p w14:paraId="7954938B"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2465.0 mm</w:t>
            </w:r>
          </w:p>
        </w:tc>
      </w:tr>
      <w:tr w:rsidR="00903F96" w:rsidRPr="0098155F" w14:paraId="0AC1A316" w14:textId="77777777" w:rsidTr="00C96B85">
        <w:trPr>
          <w:trHeight w:val="340"/>
          <w:jc w:val="center"/>
        </w:trPr>
        <w:tc>
          <w:tcPr>
            <w:tcW w:w="3969" w:type="dxa"/>
            <w:shd w:val="clear" w:color="auto" w:fill="FFFFFF" w:themeFill="text1"/>
            <w:vAlign w:val="center"/>
          </w:tcPr>
          <w:p w14:paraId="5ACCEB4F"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Width</w:t>
            </w:r>
          </w:p>
        </w:tc>
        <w:tc>
          <w:tcPr>
            <w:tcW w:w="3969" w:type="dxa"/>
            <w:shd w:val="clear" w:color="auto" w:fill="FFFFFF" w:themeFill="text1"/>
            <w:vAlign w:val="center"/>
          </w:tcPr>
          <w:p w14:paraId="026C2B31"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1134.0 mm</w:t>
            </w:r>
          </w:p>
        </w:tc>
      </w:tr>
      <w:tr w:rsidR="00903F96" w:rsidRPr="0098155F" w14:paraId="4C560FCE" w14:textId="77777777" w:rsidTr="00C96B85">
        <w:trPr>
          <w:trHeight w:val="340"/>
          <w:jc w:val="center"/>
        </w:trPr>
        <w:tc>
          <w:tcPr>
            <w:tcW w:w="3969" w:type="dxa"/>
            <w:shd w:val="clear" w:color="auto" w:fill="FFFFFF" w:themeFill="text1"/>
            <w:vAlign w:val="center"/>
          </w:tcPr>
          <w:p w14:paraId="419A43E2"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Thickness</w:t>
            </w:r>
          </w:p>
        </w:tc>
        <w:tc>
          <w:tcPr>
            <w:tcW w:w="3969" w:type="dxa"/>
            <w:shd w:val="clear" w:color="auto" w:fill="FFFFFF" w:themeFill="text1"/>
            <w:vAlign w:val="center"/>
          </w:tcPr>
          <w:p w14:paraId="562B0B1C"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30.0 mm</w:t>
            </w:r>
          </w:p>
        </w:tc>
      </w:tr>
      <w:tr w:rsidR="00903F96" w:rsidRPr="0098155F" w14:paraId="1702D7A3" w14:textId="77777777" w:rsidTr="00C96B85">
        <w:trPr>
          <w:trHeight w:val="340"/>
          <w:jc w:val="center"/>
        </w:trPr>
        <w:tc>
          <w:tcPr>
            <w:tcW w:w="3969" w:type="dxa"/>
            <w:shd w:val="clear" w:color="auto" w:fill="FFFFFF" w:themeFill="text1"/>
            <w:vAlign w:val="center"/>
          </w:tcPr>
          <w:p w14:paraId="1CA93B7D"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Weight</w:t>
            </w:r>
          </w:p>
        </w:tc>
        <w:tc>
          <w:tcPr>
            <w:tcW w:w="3969" w:type="dxa"/>
            <w:shd w:val="clear" w:color="auto" w:fill="FFFFFF" w:themeFill="text1"/>
            <w:vAlign w:val="center"/>
          </w:tcPr>
          <w:p w14:paraId="235BE23C"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34.6 kg</w:t>
            </w:r>
          </w:p>
        </w:tc>
      </w:tr>
    </w:tbl>
    <w:p w14:paraId="631758C3" w14:textId="77777777" w:rsidR="00903F96" w:rsidRPr="0098155F" w:rsidRDefault="00903F96" w:rsidP="00903F96">
      <w:pPr>
        <w:pStyle w:val="paragraph"/>
        <w:rPr>
          <w:rFonts w:ascii="Arial" w:hAnsi="Arial" w:cs="Arial"/>
          <w:lang w:val="en-US"/>
        </w:rPr>
      </w:pPr>
      <w:r>
        <w:rPr>
          <w:b w:val="false"/>
        </w:rPr>
        <w:t>An example picture of a Bifacial Si-mono module is shown in Figure 9.</w:t>
      </w:r>
    </w:p>
    <w:p w14:paraId="11B514CC" w14:textId="77777777" w:rsidR="00903F96" w:rsidRPr="0098155F" w:rsidRDefault="00903F96" w:rsidP="00903F96">
      <w:pPr>
        <w:pStyle w:val="paragraph"/>
        <w:jc w:val="center"/>
        <w:rPr>
          <w:rFonts w:ascii="Arial" w:hAnsi="Arial" w:cs="Arial"/>
          <w:lang w:val="en-US"/>
        </w:rPr>
      </w:pPr>
      <w:r>
        <w:drawing>
          <wp:inline distT="0" distR="0" distB="0" distL="0">
            <wp:extent cx="1981200" cy="2489200"/>
            <wp:docPr id="12" name="Drawing 12" descr="Photovoltaic module.jpg"/>
            <a:graphic xmlns:a="http://schemas.openxmlformats.org/drawingml/2006/main">
              <a:graphicData uri="http://schemas.openxmlformats.org/drawingml/2006/picture">
                <pic:pic xmlns:pic="http://schemas.openxmlformats.org/drawingml/2006/picture">
                  <pic:nvPicPr>
                    <pic:cNvPr id="0" name="Picture 12" descr="Photovoltaic module.jpg"/>
                    <pic:cNvPicPr>
                      <a:picLocks noChangeAspect="true"/>
                    </pic:cNvPicPr>
                  </pic:nvPicPr>
                  <pic:blipFill>
                    <a:blip r:embed="rId25"/>
                    <a:stretch>
                      <a:fillRect/>
                    </a:stretch>
                  </pic:blipFill>
                  <pic:spPr>
                    <a:xfrm>
                      <a:off x="0" y="0"/>
                      <a:ext cx="1981200" cy="2489200"/>
                    </a:xfrm>
                    <a:prstGeom prst="rect">
                      <a:avLst/>
                    </a:prstGeom>
                  </pic:spPr>
                </pic:pic>
              </a:graphicData>
            </a:graphic>
          </wp:inline>
        </w:drawing>
      </w:r>
    </w:p>
    <w:p w14:paraId="6AEB956C" w14:textId="77777777" w:rsidR="00903F96" w:rsidRPr="0098155F" w:rsidRDefault="00903F96" w:rsidP="00903F96">
      <w:pPr>
        <w:pStyle w:val="NameTableImg"/>
        <w:rPr>
          <w:rFonts w:cs="Arial"/>
          <w:lang w:val="en-US"/>
        </w:rPr>
      </w:pPr>
      <w:r>
        <w:rPr>
          <w:b w:val="false"/>
          <w:i w:val="true"/>
        </w:rPr>
        <w:t>Figure 9. Example of a Bifacial Si-mono photovoltaic module</w:t>
      </w:r>
    </w:p>
    <w:p w14:paraId="6AD03CBA" w14:textId="77777777" w:rsidR="00903F96" w:rsidRPr="0098155F" w:rsidRDefault="00903F96" w:rsidP="00903F96">
      <w:pPr>
        <w:pStyle w:val="Title2"/>
        <w:rPr>
          <w:rFonts w:cs="Arial"/>
          <w:lang w:val="en-US"/>
        </w:rPr>
      </w:pPr>
      <w:r>
        <w:rPr>
          <w:rFonts w:ascii="Arial" w:hAnsi="Arial" w:cs="Arial" w:eastAsia="Arial"/>
          <w:b w:val="false"/>
          <w:sz w:val="28"/>
        </w:rPr>
        <w:t xml:space="preserve">4.3. </w:t>
      </w:r>
      <w:bookmarkStart w:id="13" w:name="13"/>
      <w:r>
        <w:rPr>
          <w:rFonts w:ascii="Arial" w:hAnsi="Arial" w:cs="Arial" w:eastAsia="Arial"/>
          <w:b w:val="false"/>
          <w:sz w:val="28"/>
        </w:rPr>
        <w:t>Single axis N-S tracker</w:t>
      </w:r>
      <w:bookmarkEnd w:id="13"/>
    </w:p>
    <w:p w14:paraId="51B6AC5F" w14:textId="77777777" w:rsidR="00903F96" w:rsidRPr="0098155F" w:rsidRDefault="00903F96" w:rsidP="00903F96">
      <w:pPr>
        <w:pStyle w:val="paragraph"/>
        <w:rPr>
          <w:rFonts w:ascii="Arial" w:hAnsi="Arial" w:cs="Arial"/>
          <w:lang w:val="en-US"/>
        </w:rPr>
      </w:pPr>
      <w:r>
        <w:rPr>
          <w:b w:val="false"/>
        </w:rPr>
        <w:t>The PV solar modules will be mounted on North-South oriented one-axis solar trackers, integrated on metallic structures combining galvanized steel and aluminum parts, forming a structure fixed to the ground. An example of a single-axis tracker is shown in Figure 10.</w:t>
      </w:r>
    </w:p>
    <w:p w14:paraId="67FF9BA4" w14:textId="77777777" w:rsidR="00903F96" w:rsidRPr="0098155F" w:rsidRDefault="00903F96" w:rsidP="00903F96">
      <w:pPr>
        <w:pStyle w:val="paragraph"/>
        <w:jc w:val="center"/>
        <w:rPr>
          <w:rFonts w:ascii="Arial" w:hAnsi="Arial" w:cs="Arial"/>
          <w:lang w:val="en-US"/>
        </w:rPr>
      </w:pPr>
      <w:r>
        <w:drawing>
          <wp:inline distT="0" distR="0" distB="0" distL="0">
            <wp:extent cx="3238500" cy="1397000"/>
            <wp:docPr id="13" name="Drawing 13" descr="Tracker.png"/>
            <a:graphic xmlns:a="http://schemas.openxmlformats.org/drawingml/2006/main">
              <a:graphicData uri="http://schemas.openxmlformats.org/drawingml/2006/picture">
                <pic:pic xmlns:pic="http://schemas.openxmlformats.org/drawingml/2006/picture">
                  <pic:nvPicPr>
                    <pic:cNvPr id="0" name="Picture 13" descr="Tracker.png"/>
                    <pic:cNvPicPr>
                      <a:picLocks noChangeAspect="true"/>
                    </pic:cNvPicPr>
                  </pic:nvPicPr>
                  <pic:blipFill>
                    <a:blip r:embed="rId26"/>
                    <a:stretch>
                      <a:fillRect/>
                    </a:stretch>
                  </pic:blipFill>
                  <pic:spPr>
                    <a:xfrm>
                      <a:off x="0" y="0"/>
                      <a:ext cx="3238500" cy="1397000"/>
                    </a:xfrm>
                    <a:prstGeom prst="rect">
                      <a:avLst/>
                    </a:prstGeom>
                  </pic:spPr>
                </pic:pic>
              </a:graphicData>
            </a:graphic>
          </wp:inline>
        </w:drawing>
      </w:r>
    </w:p>
    <w:p w14:paraId="5402C854" w14:textId="77777777" w:rsidR="00903F96" w:rsidRPr="0098155F" w:rsidRDefault="00903F96" w:rsidP="00903F96">
      <w:pPr>
        <w:pStyle w:val="NameTableImg"/>
        <w:rPr>
          <w:rFonts w:cs="Arial"/>
          <w:lang w:val="en-US"/>
        </w:rPr>
      </w:pPr>
      <w:r>
        <w:rPr>
          <w:b w:val="false"/>
          <w:i w:val="true"/>
        </w:rPr>
        <w:t>Figure 10. Example of single-axis tracker</w:t>
      </w:r>
    </w:p>
    <w:p w14:paraId="09CC31FC" w14:textId="77777777" w:rsidR="00903F96" w:rsidRPr="0098155F" w:rsidRDefault="00903F96" w:rsidP="00903F96">
      <w:pPr>
        <w:pStyle w:val="paragraph"/>
        <w:rPr>
          <w:rFonts w:ascii="Arial" w:hAnsi="Arial" w:cs="Arial"/>
          <w:lang w:val="en-US"/>
        </w:rPr>
      </w:pPr>
      <w:r>
        <w:rPr>
          <w:b w:val="false"/>
        </w:rPr>
        <w:t>Single-axis trackers are designed to minimize the angle of incidence between the incoming sun rays and the photovoltaic panel plane of array. The tracking system consists of an electronic device capable of following the sun through the day. The main features of the tracking system are summarized in Table 8.</w:t>
      </w:r>
    </w:p>
    <w:p w14:paraId="79A6407F" w14:textId="77777777" w:rsidR="00903F96" w:rsidRPr="0098155F" w:rsidRDefault="00903F96" w:rsidP="00903F96">
      <w:pPr>
        <w:pStyle w:val="NameTableImg"/>
        <w:rPr>
          <w:rFonts w:cs="Arial"/>
          <w:lang w:val="en-US"/>
        </w:rPr>
      </w:pPr>
      <w:r>
        <w:rPr>
          <w:b w:val="false"/>
          <w:i w:val="true"/>
        </w:rPr>
        <w:t>Table 8. Main characteristics of the single-axis trackers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3685"/>
      </w:tblGrid>
      <w:tr w:rsidR="00903F96" w:rsidRPr="00400390" w14:paraId="3924F2CD" w14:textId="77777777" w:rsidTr="00BB5186">
        <w:trPr>
          <w:jc w:val="center"/>
        </w:trPr>
        <w:tc>
          <w:tcPr>
            <w:tcW w:w="7938" w:type="dxa"/>
            <w:gridSpan w:val="2"/>
            <w:shd w:val="clear" w:color="auto" w:fill="989E95"/>
            <w:vAlign w:val="center"/>
          </w:tcPr>
          <w:p w14:paraId="7A0551ED"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Pr>
                <w:b w:val="false"/>
              </w:rPr>
              <w:t>Single-axis tracker characteristics</w:t>
            </w:r>
          </w:p>
        </w:tc>
      </w:tr>
      <w:tr w:rsidR="00903F96" w:rsidRPr="0048682E" w14:paraId="7F1DC80C" w14:textId="77777777" w:rsidTr="0048682E">
        <w:trPr>
          <w:trHeight w:val="340"/>
          <w:jc w:val="center"/>
        </w:trPr>
        <w:tc>
          <w:tcPr>
            <w:tcW w:w="4253" w:type="dxa"/>
            <w:shd w:val="clear" w:color="auto" w:fill="auto"/>
            <w:vAlign w:val="center"/>
          </w:tcPr>
          <w:p w14:paraId="59836622"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Model</w:t>
            </w:r>
          </w:p>
        </w:tc>
        <w:tc>
          <w:tcPr>
            <w:tcW w:w="3685" w:type="dxa"/>
            <w:shd w:val="clear" w:color="auto" w:fill="auto"/>
            <w:vAlign w:val="center"/>
          </w:tcPr>
          <w:p w14:paraId="20F20104"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Generic tracker</w:t>
            </w:r>
          </w:p>
        </w:tc>
      </w:tr>
      <w:tr w:rsidR="00903F96" w:rsidRPr="0048682E" w14:paraId="63836EC2" w14:textId="77777777" w:rsidTr="0048682E">
        <w:trPr>
          <w:trHeight w:val="340"/>
          <w:jc w:val="center"/>
        </w:trPr>
        <w:tc>
          <w:tcPr>
            <w:tcW w:w="4253" w:type="dxa"/>
            <w:shd w:val="clear" w:color="auto" w:fill="auto"/>
            <w:vAlign w:val="center"/>
          </w:tcPr>
          <w:p w14:paraId="34906D25"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Manufacturer</w:t>
            </w:r>
          </w:p>
        </w:tc>
        <w:tc>
          <w:tcPr>
            <w:tcW w:w="3685" w:type="dxa"/>
            <w:shd w:val="clear" w:color="auto" w:fill="auto"/>
            <w:vAlign w:val="center"/>
          </w:tcPr>
          <w:p w14:paraId="23B7F6CA"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Generic (default)</w:t>
            </w:r>
          </w:p>
        </w:tc>
      </w:tr>
      <w:tr w:rsidR="00903F96" w:rsidRPr="0048682E" w14:paraId="6705BE94" w14:textId="77777777" w:rsidTr="0048682E">
        <w:trPr>
          <w:trHeight w:val="340"/>
          <w:jc w:val="center"/>
        </w:trPr>
        <w:tc>
          <w:tcPr>
            <w:tcW w:w="4253" w:type="dxa"/>
            <w:shd w:val="clear" w:color="auto" w:fill="auto"/>
            <w:vAlign w:val="center"/>
          </w:tcPr>
          <w:p w14:paraId="443CFE57"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Technology</w:t>
            </w:r>
          </w:p>
        </w:tc>
        <w:tc>
          <w:tcPr>
            <w:tcW w:w="3685" w:type="dxa"/>
            <w:shd w:val="clear" w:color="auto" w:fill="auto"/>
            <w:vAlign w:val="center"/>
          </w:tcPr>
          <w:p w14:paraId="72F61EBA"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Single-row</w:t>
            </w:r>
          </w:p>
        </w:tc>
      </w:tr>
      <w:tr w:rsidR="00903F96" w:rsidRPr="0048682E" w14:paraId="57A71EE4" w14:textId="77777777" w:rsidTr="0048682E">
        <w:trPr>
          <w:trHeight w:val="340"/>
          <w:jc w:val="center"/>
        </w:trPr>
        <w:tc>
          <w:tcPr>
            <w:tcW w:w="4253" w:type="dxa"/>
            <w:shd w:val="clear" w:color="auto" w:fill="auto"/>
            <w:vAlign w:val="center"/>
          </w:tcPr>
          <w:p w14:paraId="626D1B17"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Configuration</w:t>
            </w:r>
          </w:p>
        </w:tc>
        <w:tc>
          <w:tcPr>
            <w:tcW w:w="3685" w:type="dxa"/>
            <w:shd w:val="clear" w:color="auto" w:fill="auto"/>
            <w:vAlign w:val="center"/>
          </w:tcPr>
          <w:p w14:paraId="0EB52DB5"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1P (Portrait)</w:t>
            </w:r>
          </w:p>
        </w:tc>
      </w:tr>
      <w:tr w:rsidR="00903F96" w:rsidRPr="0048682E" w14:paraId="14906CAA" w14:textId="77777777" w:rsidTr="0048682E">
        <w:trPr>
          <w:trHeight w:val="340"/>
          <w:jc w:val="center"/>
        </w:trPr>
        <w:tc>
          <w:tcPr>
            <w:tcW w:w="4253" w:type="dxa"/>
            <w:shd w:val="clear" w:color="auto" w:fill="auto"/>
            <w:vAlign w:val="center"/>
          </w:tcPr>
          <w:p w14:paraId="4158FC20"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Tracking angle limits</w:t>
            </w:r>
          </w:p>
        </w:tc>
        <w:tc>
          <w:tcPr>
            <w:tcW w:w="3685" w:type="dxa"/>
            <w:shd w:val="clear" w:color="auto" w:fill="auto"/>
            <w:vAlign w:val="center"/>
          </w:tcPr>
          <w:p w14:paraId="0DCD35AA"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+60 / -60 °</w:t>
            </w:r>
          </w:p>
        </w:tc>
      </w:tr>
      <w:tr w:rsidR="00903F96" w:rsidRPr="0048682E" w14:paraId="794FAE83" w14:textId="77777777" w:rsidTr="0048682E">
        <w:trPr>
          <w:trHeight w:val="340"/>
          <w:jc w:val="center"/>
        </w:trPr>
        <w:tc>
          <w:tcPr>
            <w:tcW w:w="4253" w:type="dxa"/>
            <w:shd w:val="clear" w:color="auto" w:fill="auto"/>
            <w:vAlign w:val="center"/>
          </w:tcPr>
          <w:p w14:paraId="03A56830"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Number of modules per row</w:t>
            </w:r>
          </w:p>
        </w:tc>
        <w:tc>
          <w:tcPr>
            <w:tcW w:w="3685" w:type="dxa"/>
            <w:shd w:val="clear" w:color="auto" w:fill="auto"/>
            <w:vAlign w:val="center"/>
          </w:tcPr>
          <w:p w14:paraId="7B9AB647"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50 modules (maximum 60 modules)</w:t>
            </w:r>
          </w:p>
        </w:tc>
      </w:tr>
      <w:tr w:rsidR="00903F96" w:rsidRPr="0048682E" w14:paraId="7240129F" w14:textId="77777777" w:rsidTr="00C96B85">
        <w:trPr>
          <w:trHeight w:val="340"/>
          <w:jc w:val="center"/>
        </w:trPr>
        <w:tc>
          <w:tcPr>
            <w:tcW w:w="4253" w:type="dxa"/>
            <w:shd w:val="clear" w:color="auto" w:fill="auto"/>
            <w:vAlign w:val="center"/>
          </w:tcPr>
          <w:p w14:paraId="00E6C703"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lastRenderedPageBreak/>
              <w:t>Minimum ground clearance</w:t>
            </w:r>
          </w:p>
        </w:tc>
        <w:tc>
          <w:tcPr>
            <w:tcW w:w="3685" w:type="dxa"/>
            <w:shd w:val="clear" w:color="auto" w:fill="auto"/>
            <w:vAlign w:val="center"/>
          </w:tcPr>
          <w:p w14:paraId="306D7577"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0.5 m</w:t>
            </w:r>
          </w:p>
        </w:tc>
      </w:tr>
      <w:tr w:rsidR="00903F96" w:rsidRPr="0048682E" w14:paraId="3CE7EA4A" w14:textId="77777777" w:rsidTr="0048682E">
        <w:trPr>
          <w:trHeight w:val="340"/>
          <w:jc w:val="center"/>
        </w:trPr>
        <w:tc>
          <w:tcPr>
            <w:tcW w:w="4253" w:type="dxa"/>
            <w:shd w:val="clear" w:color="auto" w:fill="auto"/>
            <w:vAlign w:val="center"/>
          </w:tcPr>
          <w:p w14:paraId="1F17528A" w14:textId="77777777" w:rsidR="00903F96" w:rsidRPr="0048682E" w:rsidRDefault="00903F96" w:rsidP="00C96B85">
            <w:pPr>
              <w:spacing w:after="100"/>
              <w:textAlignment w:val="center"/>
              <w:rPr>
                <w:rFonts w:ascii="Arial" w:hAnsi="Arial" w:cs="Arial"/>
                <w:sz w:val="24"/>
                <w:szCs w:val="24"/>
                <w:lang w:val="en-US"/>
              </w:rPr>
            </w:pPr>
            <w:bookmarkStart w:id="27" w:name="_Hlk25226715"/>
            <w:r w:rsidRPr="0048682E">
              <w:rPr>
                <w:rFonts w:ascii="Arial" w:hAnsi="Arial" w:cs="Arial"/>
                <w:sz w:val="24"/>
                <w:szCs w:val="24"/>
                <w:lang w:val="en-US"/>
              </w:rPr>
              <w:t>Designed for</w:t>
            </w:r>
          </w:p>
        </w:tc>
        <w:tc>
          <w:tcPr>
            <w:tcW w:w="3685" w:type="dxa"/>
            <w:shd w:val="clear" w:color="auto" w:fill="auto"/>
            <w:vAlign w:val="center"/>
          </w:tcPr>
          <w:p w14:paraId="5CC6423C"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MONOFACIAL modules</w:t>
            </w:r>
          </w:p>
        </w:tc>
      </w:tr>
      <w:bookmarkEnd w:id="27"/>
      <w:tr w:rsidR="00903F96" w:rsidRPr="0048682E" w14:paraId="4CE7BE7E" w14:textId="77777777" w:rsidTr="0048682E">
        <w:trPr>
          <w:trHeight w:val="340"/>
          <w:jc w:val="center"/>
        </w:trPr>
        <w:tc>
          <w:tcPr>
            <w:tcW w:w="4253" w:type="dxa"/>
            <w:shd w:val="clear" w:color="auto" w:fill="auto"/>
            <w:vAlign w:val="center"/>
          </w:tcPr>
          <w:p w14:paraId="2813E157"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Motor gap</w:t>
            </w:r>
          </w:p>
        </w:tc>
        <w:tc>
          <w:tcPr>
            <w:tcW w:w="3685" w:type="dxa"/>
            <w:shd w:val="clear" w:color="auto" w:fill="auto"/>
            <w:vAlign w:val="center"/>
          </w:tcPr>
          <w:p w14:paraId="1DB892E3"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0.0 mm</w:t>
            </w:r>
          </w:p>
        </w:tc>
      </w:tr>
      <w:tr w:rsidR="00903F96" w:rsidRPr="0048682E" w14:paraId="7424E40D" w14:textId="77777777" w:rsidTr="0048682E">
        <w:trPr>
          <w:trHeight w:val="340"/>
          <w:jc w:val="center"/>
        </w:trPr>
        <w:tc>
          <w:tcPr>
            <w:tcW w:w="4253" w:type="dxa"/>
            <w:shd w:val="clear" w:color="auto" w:fill="auto"/>
            <w:vAlign w:val="center"/>
          </w:tcPr>
          <w:p w14:paraId="7183D22B"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Torque beam gap</w:t>
            </w:r>
          </w:p>
        </w:tc>
        <w:tc>
          <w:tcPr>
            <w:tcW w:w="3685" w:type="dxa"/>
            <w:shd w:val="clear" w:color="auto" w:fill="auto"/>
            <w:vAlign w:val="center"/>
          </w:tcPr>
          <w:p w14:paraId="6922B920"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0.0 mm</w:t>
            </w:r>
          </w:p>
        </w:tc>
      </w:tr>
      <w:tr w:rsidR="00903F96" w:rsidRPr="0048682E" w14:paraId="2FD5519F" w14:textId="77777777" w:rsidTr="0048682E">
        <w:trPr>
          <w:trHeight w:val="340"/>
          <w:jc w:val="center"/>
        </w:trPr>
        <w:tc>
          <w:tcPr>
            <w:tcW w:w="4253" w:type="dxa"/>
            <w:shd w:val="clear" w:color="auto" w:fill="auto"/>
            <w:vAlign w:val="center"/>
          </w:tcPr>
          <w:p w14:paraId="464DC859"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Gap between modules in the axis direction</w:t>
            </w:r>
          </w:p>
        </w:tc>
        <w:tc>
          <w:tcPr>
            <w:tcW w:w="3685" w:type="dxa"/>
            <w:shd w:val="clear" w:color="auto" w:fill="auto"/>
            <w:vAlign w:val="center"/>
          </w:tcPr>
          <w:p w14:paraId="310BE177"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20.0 mm</w:t>
            </w:r>
          </w:p>
        </w:tc>
      </w:tr>
      <w:tr w:rsidR="00903F96" w:rsidRPr="0048682E" w14:paraId="6061D060" w14:textId="77777777" w:rsidTr="0048682E">
        <w:trPr>
          <w:trHeight w:val="340"/>
          <w:jc w:val="center"/>
        </w:trPr>
        <w:tc>
          <w:tcPr>
            <w:tcW w:w="4253" w:type="dxa"/>
            <w:shd w:val="clear" w:color="auto" w:fill="auto"/>
            <w:vAlign w:val="center"/>
          </w:tcPr>
          <w:p w14:paraId="25A90DDD"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Gap between modules in the pitch direction</w:t>
            </w:r>
          </w:p>
        </w:tc>
        <w:tc>
          <w:tcPr>
            <w:tcW w:w="3685" w:type="dxa"/>
            <w:shd w:val="clear" w:color="auto" w:fill="auto"/>
            <w:vAlign w:val="center"/>
          </w:tcPr>
          <w:p w14:paraId="6185AD9A"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0.0 mm</w:t>
            </w:r>
          </w:p>
        </w:tc>
      </w:tr>
    </w:tbl>
    <w:p w14:paraId="2383CE24" w14:textId="77777777" w:rsidR="00903F96" w:rsidRPr="0098155F" w:rsidRDefault="00903F96" w:rsidP="00903F96">
      <w:pPr>
        <w:pStyle w:val="paragraph"/>
        <w:rPr>
          <w:rFonts w:ascii="Arial" w:hAnsi="Arial" w:cs="Arial"/>
          <w:lang w:val="en-US"/>
        </w:rPr>
      </w:pPr>
      <w:r>
        <w:rPr>
          <w:b w:val="false"/>
        </w:rPr>
        <w:t>The number of single-axis trackers installed are summarized in Table 9.</w:t>
      </w:r>
    </w:p>
    <w:p w14:paraId="1287F7B3" w14:textId="77777777" w:rsidR="00903F96" w:rsidRPr="0098155F" w:rsidRDefault="00903F96" w:rsidP="00903F96">
      <w:pPr>
        <w:pStyle w:val="NameTableImg"/>
        <w:rPr>
          <w:rFonts w:cs="Arial"/>
          <w:lang w:val="en-US"/>
        </w:rPr>
      </w:pPr>
      <w:r>
        <w:rPr>
          <w:b w:val="false"/>
          <w:i w:val="true"/>
        </w:rPr>
        <w:t>Table 9. Number of single-axis trackers installed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1843"/>
        <w:gridCol w:w="1418"/>
        <w:gridCol w:w="2693"/>
        <w:gridCol w:w="2693"/>
      </w:tblGrid>
      <w:tr w:rsidR="00BB5186" w:rsidRPr="00BB5186" w14:paraId="0BA3F90E" w14:textId="77777777" w:rsidTr="00BB5186">
        <w:trPr>
          <w:jc w:val="center"/>
        </w:trPr>
        <w:tc>
          <w:tcPr>
            <w:tcW w:w="1843" w:type="dxa"/>
            <w:shd w:val="clear" w:color="auto" w:fill="989E95"/>
            <w:vAlign w:val="center"/>
          </w:tcPr>
          <w:p w14:paraId="05363F7C" w14:textId="77777777" w:rsidR="00903F96" w:rsidRPr="00BB5186" w:rsidRDefault="00903F96" w:rsidP="00C96B85">
            <w:pPr>
              <w:pStyle w:val="paragraph"/>
              <w:spacing w:after="100"/>
              <w:jc w:val="center"/>
              <w:textAlignment w:val="center"/>
              <w:rPr>
                <w:rFonts w:ascii="Arial" w:hAnsi="Arial" w:cs="Arial"/>
                <w:bCs/>
                <w:sz w:val="28"/>
                <w:szCs w:val="28"/>
                <w:lang w:val="en-US"/>
              </w:rPr>
            </w:pPr>
            <w:r>
              <w:rPr>
                <w:b w:val="false"/>
              </w:rPr>
              <w:t>Strings per structure</w:t>
            </w:r>
          </w:p>
        </w:tc>
        <w:tc>
          <w:tcPr>
            <w:tcW w:w="1418" w:type="dxa"/>
            <w:shd w:val="clear" w:color="auto" w:fill="989E95"/>
            <w:vAlign w:val="center"/>
          </w:tcPr>
          <w:p w14:paraId="0D2E2708" w14:textId="77777777" w:rsidR="00903F96" w:rsidRPr="00BB5186" w:rsidRDefault="00903F96" w:rsidP="00C96B85">
            <w:pPr>
              <w:pStyle w:val="paragraph"/>
              <w:spacing w:after="100"/>
              <w:jc w:val="center"/>
              <w:textAlignment w:val="center"/>
              <w:rPr>
                <w:rFonts w:ascii="Arial" w:hAnsi="Arial" w:cs="Arial"/>
                <w:bCs/>
                <w:sz w:val="28"/>
                <w:szCs w:val="28"/>
                <w:lang w:val="en-US"/>
              </w:rPr>
            </w:pPr>
            <w:r w:rsidRPr="00BB5186">
              <w:rPr>
                <w:rFonts w:ascii="Arial" w:hAnsi="Arial" w:cs="Arial"/>
                <w:bCs/>
                <w:sz w:val="28"/>
                <w:szCs w:val="28"/>
                <w:lang w:val="en-US"/>
              </w:rPr>
              <w:t>Modules per structure</w:t>
            </w:r>
          </w:p>
        </w:tc>
        <w:tc>
          <w:tcPr>
            <w:tcW w:w="2693" w:type="dxa"/>
            <w:shd w:val="clear" w:color="auto" w:fill="989E95"/>
            <w:vAlign w:val="center"/>
          </w:tcPr>
          <w:p w14:paraId="3E9C0D1D" w14:textId="77777777" w:rsidR="00903F96" w:rsidRPr="00BB5186" w:rsidRDefault="00903F96" w:rsidP="00C96B85">
            <w:pPr>
              <w:pStyle w:val="paragraph"/>
              <w:spacing w:after="100"/>
              <w:jc w:val="center"/>
              <w:textAlignment w:val="center"/>
              <w:rPr>
                <w:rFonts w:ascii="Arial" w:hAnsi="Arial" w:cs="Arial"/>
                <w:bCs/>
                <w:sz w:val="28"/>
                <w:szCs w:val="28"/>
                <w:lang w:val="en-US"/>
              </w:rPr>
            </w:pPr>
            <w:r w:rsidRPr="00BB5186">
              <w:rPr>
                <w:rFonts w:ascii="Arial" w:hAnsi="Arial" w:cs="Arial"/>
                <w:bCs/>
                <w:sz w:val="28"/>
                <w:szCs w:val="28"/>
                <w:lang w:val="en-US"/>
              </w:rPr>
              <w:t>Length</w:t>
            </w:r>
          </w:p>
        </w:tc>
        <w:tc>
          <w:tcPr>
            <w:tcW w:w="2693" w:type="dxa"/>
            <w:shd w:val="clear" w:color="auto" w:fill="989E95"/>
            <w:vAlign w:val="center"/>
          </w:tcPr>
          <w:p w14:paraId="03AFD5A6" w14:textId="77777777" w:rsidR="00903F96" w:rsidRPr="00BB5186" w:rsidRDefault="00903F96" w:rsidP="00C96B85">
            <w:pPr>
              <w:pStyle w:val="paragraph"/>
              <w:spacing w:after="100"/>
              <w:jc w:val="center"/>
              <w:textAlignment w:val="center"/>
              <w:rPr>
                <w:rFonts w:ascii="Arial" w:hAnsi="Arial" w:cs="Arial"/>
                <w:bCs/>
                <w:sz w:val="28"/>
                <w:szCs w:val="28"/>
                <w:lang w:val="en-US"/>
              </w:rPr>
            </w:pPr>
            <w:r w:rsidRPr="00BB5186">
              <w:rPr>
                <w:rFonts w:ascii="Arial" w:hAnsi="Arial" w:cs="Arial"/>
                <w:bCs/>
                <w:sz w:val="28"/>
                <w:szCs w:val="28"/>
                <w:lang w:val="en-US"/>
              </w:rPr>
              <w:t>Quantity</w:t>
            </w:r>
          </w:p>
        </w:tc>
      </w:tr>
      <w:tr>
        <w:tc>
          <w:tcPr>
            <w:vAlign w:val="center"/>
          </w:tcPr>
          <w:p>
            <w:pPr>
              <w:pStyle w:val="Normal"/>
              <w:spacing w:after="100"/>
              <w:jc w:val="left"/>
              <w:textAlignment w:val="center"/>
            </w:pPr>
            <w:r>
              <w:rPr>
                <w:b w:val="false"/>
              </w:rPr>
              <w:t>2</w:t>
            </w:r>
          </w:p>
        </w:tc>
        <w:tc>
          <w:tcPr>
            <w:vAlign w:val="center"/>
          </w:tcPr>
          <w:p>
            <w:pPr>
              <w:pStyle w:val="Normal"/>
              <w:spacing w:after="100"/>
              <w:jc w:val="center"/>
              <w:textAlignment w:val="center"/>
            </w:pPr>
            <w:r>
              <w:rPr>
                <w:b w:val="false"/>
              </w:rPr>
              <w:t>50</w:t>
            </w:r>
          </w:p>
        </w:tc>
        <w:tc>
          <w:tcPr>
            <w:vAlign w:val="center"/>
          </w:tcPr>
          <w:p>
            <w:pPr>
              <w:pStyle w:val="Normal"/>
              <w:spacing w:after="100"/>
              <w:jc w:val="center"/>
              <w:textAlignment w:val="center"/>
            </w:pPr>
            <w:r>
              <w:rPr>
                <w:b w:val="false"/>
              </w:rPr>
              <w:t>57.68 m</w:t>
            </w:r>
          </w:p>
        </w:tc>
        <w:tc>
          <w:tcPr>
            <w:vAlign w:val="center"/>
          </w:tcPr>
          <w:p>
            <w:pPr>
              <w:pStyle w:val="Normal"/>
              <w:spacing w:after="100"/>
              <w:jc w:val="center"/>
              <w:textAlignment w:val="center"/>
            </w:pPr>
            <w:r>
              <w:rPr>
                <w:b w:val="false"/>
              </w:rPr>
              <w:t>1017</w:t>
            </w:r>
          </w:p>
        </w:tc>
      </w:tr>
      <w:tr>
        <w:tc>
          <w:tcPr>
            <w:vAlign w:val="center"/>
          </w:tcPr>
          <w:p>
            <w:pPr>
              <w:pStyle w:val="Normal"/>
              <w:spacing w:after="100"/>
              <w:jc w:val="left"/>
              <w:textAlignment w:val="center"/>
            </w:pPr>
            <w:r>
              <w:rPr>
                <w:b w:val="false"/>
              </w:rPr>
              <w:t>1</w:t>
            </w:r>
          </w:p>
        </w:tc>
        <w:tc>
          <w:tcPr>
            <w:vAlign w:val="center"/>
          </w:tcPr>
          <w:p>
            <w:pPr>
              <w:pStyle w:val="Normal"/>
              <w:spacing w:after="100"/>
              <w:jc w:val="center"/>
              <w:textAlignment w:val="center"/>
            </w:pPr>
            <w:r>
              <w:rPr>
                <w:b w:val="false"/>
              </w:rPr>
              <w:t>25</w:t>
            </w:r>
          </w:p>
        </w:tc>
        <w:tc>
          <w:tcPr>
            <w:vAlign w:val="center"/>
          </w:tcPr>
          <w:p>
            <w:pPr>
              <w:pStyle w:val="Normal"/>
              <w:spacing w:after="100"/>
              <w:jc w:val="center"/>
              <w:textAlignment w:val="center"/>
            </w:pPr>
            <w:r>
              <w:rPr>
                <w:b w:val="false"/>
              </w:rPr>
              <w:t>28.83 m</w:t>
            </w:r>
          </w:p>
        </w:tc>
        <w:tc>
          <w:tcPr>
            <w:vAlign w:val="center"/>
          </w:tcPr>
          <w:p>
            <w:pPr>
              <w:pStyle w:val="Normal"/>
              <w:spacing w:after="100"/>
              <w:jc w:val="center"/>
              <w:textAlignment w:val="center"/>
            </w:pPr>
            <w:r>
              <w:rPr>
                <w:b w:val="false"/>
              </w:rPr>
              <w:t>352</w:t>
            </w:r>
          </w:p>
        </w:tc>
      </w:tr>
    </w:tbl>
    <w:p w14:paraId="50FAA429" w14:textId="77777777" w:rsidR="00903F96" w:rsidRPr="0098155F" w:rsidRDefault="00903F96" w:rsidP="00903F96">
      <w:pPr>
        <w:pStyle w:val="paragraph"/>
        <w:rPr>
          <w:rFonts w:ascii="Arial" w:hAnsi="Arial" w:cs="Arial"/>
          <w:lang w:val="en-US"/>
        </w:rPr>
      </w:pPr>
    </w:p>
    <w:p w14:paraId="5CC691E9" w14:textId="77777777" w:rsidR="00903F96" w:rsidRPr="0098155F" w:rsidRDefault="00903F96" w:rsidP="00903F96">
      <w:pPr>
        <w:pStyle w:val="paragraph"/>
        <w:rPr>
          <w:rFonts w:ascii="Arial" w:hAnsi="Arial" w:cs="Arial"/>
          <w:lang w:val="en-US"/>
        </w:rPr>
      </w:pPr>
    </w:p>
    <w:p w14:paraId="5A8D826E" w14:textId="77777777" w:rsidR="00903F96" w:rsidRPr="0098155F" w:rsidRDefault="00903F96" w:rsidP="00903F96">
      <w:pPr>
        <w:pStyle w:val="paragraph"/>
        <w:rPr>
          <w:rFonts w:ascii="Arial" w:hAnsi="Arial" w:cs="Arial"/>
          <w:lang w:val="en-US"/>
        </w:rPr>
      </w:pPr>
    </w:p>
    <w:p w14:paraId="01D19DD1" w14:textId="77777777" w:rsidR="00903F96" w:rsidRPr="0098155F" w:rsidRDefault="00903F96" w:rsidP="00903F96">
      <w:pPr>
        <w:pStyle w:val="paragraph"/>
        <w:rPr>
          <w:rFonts w:ascii="Arial" w:hAnsi="Arial" w:cs="Arial"/>
          <w:lang w:val="en-US"/>
        </w:rPr>
      </w:pPr>
      <w:r>
        <w:rPr>
          <w:b w:val="false"/>
        </w:rPr>
        <w:t>Additional structure information can be found in Table 10.</w:t>
      </w:r>
    </w:p>
    <w:p w14:paraId="61A004F5" w14:textId="77777777" w:rsidR="00903F96" w:rsidRPr="0098155F" w:rsidRDefault="00903F96" w:rsidP="00903F96">
      <w:pPr>
        <w:pStyle w:val="NameTableImg"/>
        <w:rPr>
          <w:rFonts w:cs="Arial"/>
          <w:lang w:val="en-US"/>
        </w:rPr>
      </w:pPr>
      <w:r>
        <w:rPr>
          <w:b w:val="false"/>
          <w:i w:val="true"/>
        </w:rPr>
        <w:t>Table 10. Civil Characteristics</w:t>
      </w:r>
    </w:p>
    <w:tbl>
      <w:tblPr>
        <w:tblStyle w:val="TableGrid"/>
        <w:tblW w:w="941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1560"/>
        <w:gridCol w:w="850"/>
        <w:gridCol w:w="1602"/>
        <w:gridCol w:w="990"/>
        <w:gridCol w:w="1800"/>
        <w:gridCol w:w="1260"/>
        <w:gridCol w:w="1350"/>
      </w:tblGrid>
      <w:tr w:rsidR="00BB5186" w:rsidRPr="00BB5186" w14:paraId="76D31017" w14:textId="77777777" w:rsidTr="00635019">
        <w:trPr>
          <w:jc w:val="center"/>
        </w:trPr>
        <w:tc>
          <w:tcPr>
            <w:tcW w:w="1560" w:type="dxa"/>
            <w:shd w:val="clear" w:color="auto" w:fill="989E95"/>
            <w:vAlign w:val="center"/>
          </w:tcPr>
          <w:p w14:paraId="52EB2763"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Pr>
                <w:b w:val="false"/>
              </w:rPr>
              <w:t>Area Name</w:t>
            </w:r>
          </w:p>
        </w:tc>
        <w:tc>
          <w:tcPr>
            <w:tcW w:w="850" w:type="dxa"/>
            <w:shd w:val="clear" w:color="auto" w:fill="989E95"/>
            <w:vAlign w:val="center"/>
          </w:tcPr>
          <w:p w14:paraId="2252DF87"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Pitch</w:t>
            </w:r>
          </w:p>
        </w:tc>
        <w:tc>
          <w:tcPr>
            <w:tcW w:w="1602" w:type="dxa"/>
            <w:shd w:val="clear" w:color="auto" w:fill="989E95"/>
            <w:vAlign w:val="center"/>
          </w:tcPr>
          <w:p w14:paraId="6055FA5C"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Clearance</w:t>
            </w:r>
          </w:p>
        </w:tc>
        <w:tc>
          <w:tcPr>
            <w:tcW w:w="990" w:type="dxa"/>
            <w:shd w:val="clear" w:color="auto" w:fill="989E95"/>
            <w:vAlign w:val="center"/>
          </w:tcPr>
          <w:p w14:paraId="5D727DBA"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GCR</w:t>
            </w:r>
          </w:p>
        </w:tc>
        <w:tc>
          <w:tcPr>
            <w:tcW w:w="1800" w:type="dxa"/>
            <w:shd w:val="clear" w:color="auto" w:fill="989E95"/>
            <w:vAlign w:val="center"/>
          </w:tcPr>
          <w:p w14:paraId="0C4E2E67"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Distance between consecutive rows</w:t>
            </w:r>
          </w:p>
        </w:tc>
        <w:tc>
          <w:tcPr>
            <w:tcW w:w="1260" w:type="dxa"/>
            <w:shd w:val="clear" w:color="auto" w:fill="989E95"/>
            <w:vAlign w:val="center"/>
          </w:tcPr>
          <w:p w14:paraId="2E56D320"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Azimuth angle</w:t>
            </w:r>
          </w:p>
        </w:tc>
        <w:tc>
          <w:tcPr>
            <w:tcW w:w="1350" w:type="dxa"/>
            <w:shd w:val="clear" w:color="auto" w:fill="989E95"/>
            <w:vAlign w:val="center"/>
          </w:tcPr>
          <w:p w14:paraId="53EE44D2"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Tilt angle</w:t>
            </w:r>
          </w:p>
        </w:tc>
      </w:tr>
      <w:tr>
        <w:tc>
          <w:tcPr>
            <w:shd w:color="auto" w:val="clear" w:fill="ffffff"/>
            <w:vAlign w:val="center"/>
          </w:tcPr>
          <w:p>
            <w:pPr>
              <w:pStyle w:val="Normal"/>
              <w:spacing w:after="100"/>
              <w:jc w:val="center"/>
              <w:textAlignment w:val="center"/>
            </w:pPr>
            <w:r>
              <w:rPr>
                <w:b w:val="false"/>
              </w:rPr>
              <w:t>Area 2</w:t>
            </w:r>
          </w:p>
        </w:tc>
        <w:tc>
          <w:tcPr>
            <w:shd w:color="auto" w:val="clear" w:fill="ffffff"/>
            <w:vAlign w:val="center"/>
          </w:tcPr>
          <w:p>
            <w:pPr>
              <w:pStyle w:val="Normal"/>
              <w:spacing w:after="100"/>
              <w:jc w:val="center"/>
              <w:textAlignment w:val="center"/>
            </w:pPr>
            <w:r>
              <w:rPr>
                <w:b w:val="false"/>
              </w:rPr>
              <w:t>6.2 m</w:t>
            </w:r>
          </w:p>
        </w:tc>
        <w:tc>
          <w:tcPr>
            <w:shd w:color="auto" w:val="clear" w:fill="ffffff"/>
            <w:vAlign w:val="center"/>
          </w:tcPr>
          <w:p>
            <w:pPr>
              <w:pStyle w:val="Normal"/>
              <w:spacing w:after="100"/>
              <w:jc w:val="center"/>
              <w:textAlignment w:val="center"/>
            </w:pPr>
            <w:r>
              <w:rPr>
                <w:b w:val="false"/>
              </w:rPr>
              <w:t>3.74 m</w:t>
            </w:r>
          </w:p>
        </w:tc>
        <w:tc>
          <w:tcPr>
            <w:shd w:color="auto" w:val="clear" w:fill="ffffff"/>
            <w:vAlign w:val="center"/>
          </w:tcPr>
          <w:p>
            <w:pPr>
              <w:pStyle w:val="Normal"/>
              <w:spacing w:after="100"/>
              <w:jc w:val="center"/>
              <w:textAlignment w:val="center"/>
            </w:pPr>
            <w:r>
              <w:rPr>
                <w:b w:val="false"/>
              </w:rPr>
              <w:t>39.76%</w:t>
            </w:r>
          </w:p>
        </w:tc>
        <w:tc>
          <w:tcPr>
            <w:shd w:color="auto" w:val="clear" w:fill="ffffff"/>
            <w:vAlign w:val="center"/>
          </w:tcPr>
          <w:p>
            <w:pPr>
              <w:pStyle w:val="Normal"/>
              <w:spacing w:after="100"/>
              <w:jc w:val="center"/>
              <w:textAlignment w:val="center"/>
            </w:pPr>
            <w:r>
              <w:rPr>
                <w:b w:val="false"/>
              </w:rPr>
              <w:t>0.5 m</w:t>
            </w:r>
          </w:p>
        </w:tc>
        <w:tc>
          <w:tcPr>
            <w:shd w:color="auto" w:val="clear" w:fill="ffffff"/>
            <w:vAlign w:val="center"/>
          </w:tcPr>
          <w:p>
            <w:pPr>
              <w:pStyle w:val="Normal"/>
              <w:spacing w:after="100"/>
              <w:jc w:val="center"/>
              <w:textAlignment w:val="center"/>
            </w:pPr>
            <w:r>
              <w:rPr>
                <w:b w:val="false"/>
              </w:rPr>
              <w:t>0.0 °</w:t>
            </w:r>
          </w:p>
        </w:tc>
        <w:tc>
          <w:tcPr>
            <w:shd w:color="auto" w:val="clear" w:fill="ffffff"/>
            <w:vAlign w:val="center"/>
          </w:tcPr>
          <w:p>
            <w:pPr>
              <w:pStyle w:val="Normal"/>
              <w:spacing w:after="100"/>
              <w:jc w:val="center"/>
              <w:textAlignment w:val="center"/>
            </w:pPr>
            <w:r>
              <w:rPr>
                <w:b w:val="false"/>
              </w:rPr>
              <w:t>[-]</w:t>
            </w:r>
          </w:p>
        </w:tc>
      </w:tr>
      <w:tr>
        <w:tc>
          <w:tcPr>
            <w:shd w:color="auto" w:val="clear" w:fill="ffffff"/>
            <w:vAlign w:val="center"/>
          </w:tcPr>
          <w:p>
            <w:pPr>
              <w:pStyle w:val="Normal"/>
              <w:spacing w:after="100"/>
              <w:jc w:val="center"/>
              <w:textAlignment w:val="center"/>
            </w:pPr>
            <w:r>
              <w:rPr>
                <w:b w:val="false"/>
              </w:rPr>
              <w:t>Area 4</w:t>
            </w:r>
          </w:p>
        </w:tc>
        <w:tc>
          <w:tcPr>
            <w:shd w:color="auto" w:val="clear" w:fill="ffffff"/>
            <w:vAlign w:val="center"/>
          </w:tcPr>
          <w:p>
            <w:pPr>
              <w:pStyle w:val="Normal"/>
              <w:spacing w:after="100"/>
              <w:jc w:val="center"/>
              <w:textAlignment w:val="center"/>
            </w:pPr>
            <w:r>
              <w:rPr>
                <w:b w:val="false"/>
              </w:rPr>
              <w:t>6.2 m</w:t>
            </w:r>
          </w:p>
        </w:tc>
        <w:tc>
          <w:tcPr>
            <w:shd w:color="auto" w:val="clear" w:fill="ffffff"/>
            <w:vAlign w:val="center"/>
          </w:tcPr>
          <w:p>
            <w:pPr>
              <w:pStyle w:val="Normal"/>
              <w:spacing w:after="100"/>
              <w:jc w:val="center"/>
              <w:textAlignment w:val="center"/>
            </w:pPr>
            <w:r>
              <w:rPr>
                <w:b w:val="false"/>
              </w:rPr>
              <w:t>3.74 m</w:t>
            </w:r>
          </w:p>
        </w:tc>
        <w:tc>
          <w:tcPr>
            <w:shd w:color="auto" w:val="clear" w:fill="ffffff"/>
            <w:vAlign w:val="center"/>
          </w:tcPr>
          <w:p>
            <w:pPr>
              <w:pStyle w:val="Normal"/>
              <w:spacing w:after="100"/>
              <w:jc w:val="center"/>
              <w:textAlignment w:val="center"/>
            </w:pPr>
            <w:r>
              <w:rPr>
                <w:b w:val="false"/>
              </w:rPr>
              <w:t>39.76%</w:t>
            </w:r>
          </w:p>
        </w:tc>
        <w:tc>
          <w:tcPr>
            <w:shd w:color="auto" w:val="clear" w:fill="ffffff"/>
            <w:vAlign w:val="center"/>
          </w:tcPr>
          <w:p>
            <w:pPr>
              <w:pStyle w:val="Normal"/>
              <w:spacing w:after="100"/>
              <w:jc w:val="center"/>
              <w:textAlignment w:val="center"/>
            </w:pPr>
            <w:r>
              <w:rPr>
                <w:b w:val="false"/>
              </w:rPr>
              <w:t>0.5 m</w:t>
            </w:r>
          </w:p>
        </w:tc>
        <w:tc>
          <w:tcPr>
            <w:shd w:color="auto" w:val="clear" w:fill="ffffff"/>
            <w:vAlign w:val="center"/>
          </w:tcPr>
          <w:p>
            <w:pPr>
              <w:pStyle w:val="Normal"/>
              <w:spacing w:after="100"/>
              <w:jc w:val="center"/>
              <w:textAlignment w:val="center"/>
            </w:pPr>
            <w:r>
              <w:rPr>
                <w:b w:val="false"/>
              </w:rPr>
              <w:t>0.0 °</w:t>
            </w:r>
          </w:p>
        </w:tc>
        <w:tc>
          <w:tcPr>
            <w:shd w:color="auto" w:val="clear" w:fill="ffffff"/>
            <w:vAlign w:val="center"/>
          </w:tcPr>
          <w:p>
            <w:pPr>
              <w:pStyle w:val="Normal"/>
              <w:spacing w:after="100"/>
              <w:jc w:val="center"/>
              <w:textAlignment w:val="center"/>
            </w:pPr>
            <w:r>
              <w:rPr>
                <w:b w:val="false"/>
              </w:rPr>
              <w:t>[-]</w:t>
            </w:r>
          </w:p>
        </w:tc>
      </w:tr>
      <w:tr>
        <w:tc>
          <w:tcPr>
            <w:shd w:color="auto" w:val="clear" w:fill="ffffff"/>
            <w:vAlign w:val="center"/>
          </w:tcPr>
          <w:p>
            <w:pPr>
              <w:pStyle w:val="Normal"/>
              <w:spacing w:after="100"/>
              <w:jc w:val="center"/>
              <w:textAlignment w:val="center"/>
            </w:pPr>
            <w:r>
              <w:rPr>
                <w:b w:val="false"/>
              </w:rPr>
              <w:t>Area 3</w:t>
            </w:r>
          </w:p>
        </w:tc>
        <w:tc>
          <w:tcPr>
            <w:shd w:color="auto" w:val="clear" w:fill="ffffff"/>
            <w:vAlign w:val="center"/>
          </w:tcPr>
          <w:p>
            <w:pPr>
              <w:pStyle w:val="Normal"/>
              <w:spacing w:after="100"/>
              <w:jc w:val="center"/>
              <w:textAlignment w:val="center"/>
            </w:pPr>
            <w:r>
              <w:rPr>
                <w:b w:val="false"/>
              </w:rPr>
              <w:t>6.2 m</w:t>
            </w:r>
          </w:p>
        </w:tc>
        <w:tc>
          <w:tcPr>
            <w:shd w:color="auto" w:val="clear" w:fill="ffffff"/>
            <w:vAlign w:val="center"/>
          </w:tcPr>
          <w:p>
            <w:pPr>
              <w:pStyle w:val="Normal"/>
              <w:spacing w:after="100"/>
              <w:jc w:val="center"/>
              <w:textAlignment w:val="center"/>
            </w:pPr>
            <w:r>
              <w:rPr>
                <w:b w:val="false"/>
              </w:rPr>
              <w:t>3.74 m</w:t>
            </w:r>
          </w:p>
        </w:tc>
        <w:tc>
          <w:tcPr>
            <w:shd w:color="auto" w:val="clear" w:fill="ffffff"/>
            <w:vAlign w:val="center"/>
          </w:tcPr>
          <w:p>
            <w:pPr>
              <w:pStyle w:val="Normal"/>
              <w:spacing w:after="100"/>
              <w:jc w:val="center"/>
              <w:textAlignment w:val="center"/>
            </w:pPr>
            <w:r>
              <w:rPr>
                <w:b w:val="false"/>
              </w:rPr>
              <w:t>39.76%</w:t>
            </w:r>
          </w:p>
        </w:tc>
        <w:tc>
          <w:tcPr>
            <w:shd w:color="auto" w:val="clear" w:fill="ffffff"/>
            <w:vAlign w:val="center"/>
          </w:tcPr>
          <w:p>
            <w:pPr>
              <w:pStyle w:val="Normal"/>
              <w:spacing w:after="100"/>
              <w:jc w:val="center"/>
              <w:textAlignment w:val="center"/>
            </w:pPr>
            <w:r>
              <w:rPr>
                <w:b w:val="false"/>
              </w:rPr>
              <w:t>0.5 m</w:t>
            </w:r>
          </w:p>
        </w:tc>
        <w:tc>
          <w:tcPr>
            <w:shd w:color="auto" w:val="clear" w:fill="ffffff"/>
            <w:vAlign w:val="center"/>
          </w:tcPr>
          <w:p>
            <w:pPr>
              <w:pStyle w:val="Normal"/>
              <w:spacing w:after="100"/>
              <w:jc w:val="center"/>
              <w:textAlignment w:val="center"/>
            </w:pPr>
            <w:r>
              <w:rPr>
                <w:b w:val="false"/>
              </w:rPr>
              <w:t>0.0 °</w:t>
            </w:r>
          </w:p>
        </w:tc>
        <w:tc>
          <w:tcPr>
            <w:shd w:color="auto" w:val="clear" w:fill="ffffff"/>
            <w:vAlign w:val="center"/>
          </w:tcPr>
          <w:p>
            <w:pPr>
              <w:pStyle w:val="Normal"/>
              <w:spacing w:after="100"/>
              <w:jc w:val="center"/>
              <w:textAlignment w:val="center"/>
            </w:pPr>
            <w:r>
              <w:rPr>
                <w:b w:val="false"/>
              </w:rPr>
              <w:t>[-]</w:t>
            </w:r>
          </w:p>
        </w:tc>
      </w:tr>
      <w:tr>
        <w:tc>
          <w:tcPr>
            <w:shd w:color="auto" w:val="clear" w:fill="ffffff"/>
            <w:vAlign w:val="center"/>
          </w:tcPr>
          <w:p>
            <w:pPr>
              <w:pStyle w:val="Normal"/>
              <w:spacing w:after="100"/>
              <w:jc w:val="center"/>
              <w:textAlignment w:val="center"/>
            </w:pPr>
            <w:r>
              <w:rPr>
                <w:b w:val="false"/>
              </w:rPr>
              <w:t>Area 1</w:t>
            </w:r>
          </w:p>
        </w:tc>
        <w:tc>
          <w:tcPr>
            <w:shd w:color="auto" w:val="clear" w:fill="ffffff"/>
            <w:vAlign w:val="center"/>
          </w:tcPr>
          <w:p>
            <w:pPr>
              <w:pStyle w:val="Normal"/>
              <w:spacing w:after="100"/>
              <w:jc w:val="center"/>
              <w:textAlignment w:val="center"/>
            </w:pPr>
            <w:r>
              <w:rPr>
                <w:b w:val="false"/>
              </w:rPr>
              <w:t>6.2 m</w:t>
            </w:r>
          </w:p>
        </w:tc>
        <w:tc>
          <w:tcPr>
            <w:shd w:color="auto" w:val="clear" w:fill="ffffff"/>
            <w:vAlign w:val="center"/>
          </w:tcPr>
          <w:p>
            <w:pPr>
              <w:pStyle w:val="Normal"/>
              <w:spacing w:after="100"/>
              <w:jc w:val="center"/>
              <w:textAlignment w:val="center"/>
            </w:pPr>
            <w:r>
              <w:rPr>
                <w:b w:val="false"/>
              </w:rPr>
              <w:t>3.74 m</w:t>
            </w:r>
          </w:p>
        </w:tc>
        <w:tc>
          <w:tcPr>
            <w:shd w:color="auto" w:val="clear" w:fill="ffffff"/>
            <w:vAlign w:val="center"/>
          </w:tcPr>
          <w:p>
            <w:pPr>
              <w:pStyle w:val="Normal"/>
              <w:spacing w:after="100"/>
              <w:jc w:val="center"/>
              <w:textAlignment w:val="center"/>
            </w:pPr>
            <w:r>
              <w:rPr>
                <w:b w:val="false"/>
              </w:rPr>
              <w:t>39.76%</w:t>
            </w:r>
          </w:p>
        </w:tc>
        <w:tc>
          <w:tcPr>
            <w:shd w:color="auto" w:val="clear" w:fill="ffffff"/>
            <w:vAlign w:val="center"/>
          </w:tcPr>
          <w:p>
            <w:pPr>
              <w:pStyle w:val="Normal"/>
              <w:spacing w:after="100"/>
              <w:jc w:val="center"/>
              <w:textAlignment w:val="center"/>
            </w:pPr>
            <w:r>
              <w:rPr>
                <w:b w:val="false"/>
              </w:rPr>
              <w:t>0.5 m</w:t>
            </w:r>
          </w:p>
        </w:tc>
        <w:tc>
          <w:tcPr>
            <w:shd w:color="auto" w:val="clear" w:fill="ffffff"/>
            <w:vAlign w:val="center"/>
          </w:tcPr>
          <w:p>
            <w:pPr>
              <w:pStyle w:val="Normal"/>
              <w:spacing w:after="100"/>
              <w:jc w:val="center"/>
              <w:textAlignment w:val="center"/>
            </w:pPr>
            <w:r>
              <w:rPr>
                <w:b w:val="false"/>
              </w:rPr>
              <w:t>0.0 °</w:t>
            </w:r>
          </w:p>
        </w:tc>
        <w:tc>
          <w:tcPr>
            <w:shd w:color="auto" w:val="clear" w:fill="ffffff"/>
            <w:vAlign w:val="center"/>
          </w:tcPr>
          <w:p>
            <w:pPr>
              <w:pStyle w:val="Normal"/>
              <w:spacing w:after="100"/>
              <w:jc w:val="center"/>
              <w:textAlignment w:val="center"/>
            </w:pPr>
            <w:r>
              <w:rPr>
                <w:b w:val="false"/>
              </w:rPr>
              <w:t>[-]</w:t>
            </w:r>
          </w:p>
        </w:tc>
      </w:tr>
    </w:tbl>
    <w:p w14:paraId="1A1D4076" w14:textId="77777777" w:rsidR="00903F96" w:rsidRPr="0098155F" w:rsidRDefault="00903F96" w:rsidP="00903F96">
      <w:pPr>
        <w:pStyle w:val="paragraph"/>
        <w:rPr>
          <w:rFonts w:ascii="Arial" w:hAnsi="Arial" w:cs="Arial"/>
          <w:lang w:val="en-US"/>
        </w:rPr>
      </w:pPr>
      <w:bookmarkStart w:id="28" w:name="_Hlk128384948"/>
    </w:p>
    <w:p w14:paraId="6F3EBD51" w14:textId="77777777" w:rsidR="00903F96" w:rsidRPr="0098155F" w:rsidRDefault="00903F96" w:rsidP="00903F96">
      <w:pPr>
        <w:pStyle w:val="paragraph"/>
        <w:rPr>
          <w:rFonts w:ascii="Arial" w:hAnsi="Arial" w:cs="Arial"/>
          <w:lang w:val="en-US"/>
        </w:rPr>
      </w:pPr>
      <w:r>
        <w:rPr>
          <w:b w:val="false"/>
        </w:rPr>
        <w:t>The details for the low voltage electrically grouped areas are shown in Table 11.</w:t>
      </w:r>
    </w:p>
    <w:p w14:paraId="54F1AD15" w14:textId="77777777" w:rsidR="00903F96" w:rsidRPr="0098155F" w:rsidRDefault="00903F96" w:rsidP="00903F96">
      <w:pPr>
        <w:pStyle w:val="NameTableImg"/>
        <w:rPr>
          <w:rFonts w:cs="Arial"/>
          <w:lang w:val="en-US"/>
        </w:rPr>
      </w:pPr>
      <w:r>
        <w:rPr>
          <w:b w:val="false"/>
          <w:i w:val="true"/>
        </w:rPr>
        <w:t>Table 11. Electrical configuration characteristics per group of areas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2397"/>
        <w:gridCol w:w="1383"/>
        <w:gridCol w:w="1620"/>
        <w:gridCol w:w="1800"/>
      </w:tblGrid>
      <w:tr w:rsidR="00BB5186" w:rsidRPr="00BB5186" w14:paraId="0700602E" w14:textId="77777777" w:rsidTr="00BB5186">
        <w:trPr>
          <w:jc w:val="center"/>
        </w:trPr>
        <w:tc>
          <w:tcPr>
            <w:tcW w:w="2397" w:type="dxa"/>
            <w:shd w:val="clear" w:color="auto" w:fill="989E95"/>
            <w:vAlign w:val="center"/>
          </w:tcPr>
          <w:p w14:paraId="5689E4C1"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Pr>
                <w:b w:val="false"/>
              </w:rPr>
              <w:t>Group of Areas</w:t>
            </w:r>
          </w:p>
        </w:tc>
        <w:tc>
          <w:tcPr>
            <w:tcW w:w="1383" w:type="dxa"/>
            <w:shd w:val="clear" w:color="auto" w:fill="989E95"/>
            <w:vAlign w:val="center"/>
          </w:tcPr>
          <w:p w14:paraId="0319B00F" w14:textId="707F5A1C"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Rated</w:t>
            </w:r>
            <w:r w:rsidR="00635019">
              <w:rPr>
                <w:rFonts w:ascii="Arial" w:hAnsi="Arial" w:cs="Arial"/>
                <w:bCs/>
                <w:sz w:val="28"/>
                <w:szCs w:val="24"/>
                <w:lang w:val="en-US"/>
              </w:rPr>
              <w:t xml:space="preserve"> </w:t>
            </w:r>
            <w:r w:rsidRPr="00BB5186">
              <w:rPr>
                <w:rFonts w:ascii="Arial" w:hAnsi="Arial" w:cs="Arial"/>
                <w:bCs/>
                <w:sz w:val="28"/>
                <w:szCs w:val="24"/>
                <w:lang w:val="en-US"/>
              </w:rPr>
              <w:t>Power</w:t>
            </w:r>
          </w:p>
        </w:tc>
        <w:tc>
          <w:tcPr>
            <w:tcW w:w="1620" w:type="dxa"/>
            <w:shd w:val="clear" w:color="auto" w:fill="989E95"/>
            <w:vAlign w:val="center"/>
          </w:tcPr>
          <w:p w14:paraId="0B83F12A"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Peak Power</w:t>
            </w:r>
          </w:p>
        </w:tc>
        <w:tc>
          <w:tcPr>
            <w:tcW w:w="1800" w:type="dxa"/>
            <w:shd w:val="clear" w:color="auto" w:fill="989E95"/>
            <w:vAlign w:val="center"/>
          </w:tcPr>
          <w:p w14:paraId="5FC79733"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DC/AC Ratio</w:t>
            </w:r>
          </w:p>
        </w:tc>
      </w:tr>
      <w:bookmarkEnd w:id="28"/>
      <w:tr>
        <w:tc>
          <w:tcPr>
            <w:shd w:color="auto" w:val="clear" w:fill="ffffff"/>
            <w:vAlign w:val="center"/>
          </w:tcPr>
          <w:p>
            <w:pPr>
              <w:pStyle w:val="Normal"/>
              <w:spacing w:after="100"/>
              <w:jc w:val="center"/>
              <w:textAlignment w:val="center"/>
            </w:pPr>
            <w:r>
              <w:rPr>
                <w:b w:val="false"/>
              </w:rPr>
              <w:t>Area4</w:t>
            </w:r>
          </w:p>
        </w:tc>
        <w:tc>
          <w:tcPr>
            <w:shd w:color="auto" w:val="clear" w:fill="ffffff"/>
            <w:vAlign w:val="center"/>
          </w:tcPr>
          <w:p>
            <w:pPr>
              <w:pStyle w:val="Normal"/>
              <w:spacing w:after="100"/>
              <w:jc w:val="center"/>
              <w:textAlignment w:val="center"/>
            </w:pPr>
            <w:r>
              <w:rPr>
                <w:b w:val="false"/>
              </w:rPr>
              <w:t>4620.0 kWac</w:t>
            </w:r>
          </w:p>
        </w:tc>
        <w:tc>
          <w:tcPr>
            <w:shd w:color="auto" w:val="clear" w:fill="ffffff"/>
            <w:vAlign w:val="center"/>
          </w:tcPr>
          <w:p>
            <w:pPr>
              <w:pStyle w:val="Normal"/>
              <w:spacing w:after="100"/>
              <w:jc w:val="center"/>
              <w:textAlignment w:val="center"/>
            </w:pPr>
            <w:r>
              <w:rPr>
                <w:b w:val="false"/>
              </w:rPr>
              <w:t>6222.0 kWdc</w:t>
            </w:r>
          </w:p>
        </w:tc>
        <w:tc>
          <w:tcPr>
            <w:shd w:color="auto" w:val="clear" w:fill="ffffff"/>
            <w:vAlign w:val="center"/>
          </w:tcPr>
          <w:p>
            <w:pPr>
              <w:pStyle w:val="Normal"/>
              <w:spacing w:after="100"/>
              <w:jc w:val="center"/>
              <w:textAlignment w:val="center"/>
            </w:pPr>
            <w:r>
              <w:rPr>
                <w:b w:val="false"/>
              </w:rPr>
              <w:t>1.35</w:t>
            </w:r>
          </w:p>
        </w:tc>
      </w:tr>
      <w:tr>
        <w:tc>
          <w:tcPr>
            <w:shd w:color="auto" w:val="clear" w:fill="ffffff"/>
            <w:vAlign w:val="center"/>
          </w:tcPr>
          <w:p>
            <w:pPr>
              <w:pStyle w:val="Normal"/>
              <w:spacing w:after="100"/>
              <w:jc w:val="center"/>
              <w:textAlignment w:val="center"/>
            </w:pPr>
            <w:r>
              <w:rPr>
                <w:b w:val="false"/>
              </w:rPr>
              <w:t>Area3</w:t>
            </w:r>
          </w:p>
        </w:tc>
        <w:tc>
          <w:tcPr>
            <w:shd w:color="auto" w:val="clear" w:fill="ffffff"/>
            <w:vAlign w:val="center"/>
          </w:tcPr>
          <w:p>
            <w:pPr>
              <w:pStyle w:val="Normal"/>
              <w:spacing w:after="100"/>
              <w:jc w:val="center"/>
              <w:textAlignment w:val="center"/>
            </w:pPr>
            <w:r>
              <w:rPr>
                <w:b w:val="false"/>
              </w:rPr>
              <w:t>16.2 MWac</w:t>
            </w:r>
          </w:p>
        </w:tc>
        <w:tc>
          <w:tcPr>
            <w:shd w:color="auto" w:val="clear" w:fill="ffffff"/>
            <w:vAlign w:val="center"/>
          </w:tcPr>
          <w:p>
            <w:pPr>
              <w:pStyle w:val="Normal"/>
              <w:spacing w:after="100"/>
              <w:jc w:val="center"/>
              <w:textAlignment w:val="center"/>
            </w:pPr>
            <w:r>
              <w:rPr>
                <w:b w:val="false"/>
              </w:rPr>
              <w:t>18.8 MWdc</w:t>
            </w:r>
          </w:p>
        </w:tc>
        <w:tc>
          <w:tcPr>
            <w:shd w:color="auto" w:val="clear" w:fill="ffffff"/>
            <w:vAlign w:val="center"/>
          </w:tcPr>
          <w:p>
            <w:pPr>
              <w:pStyle w:val="Normal"/>
              <w:spacing w:after="100"/>
              <w:jc w:val="center"/>
              <w:textAlignment w:val="center"/>
            </w:pPr>
            <w:r>
              <w:rPr>
                <w:b w:val="false"/>
              </w:rPr>
              <w:t>1.17</w:t>
            </w:r>
          </w:p>
        </w:tc>
      </w:tr>
      <w:tr>
        <w:tc>
          <w:tcPr>
            <w:shd w:color="auto" w:val="clear" w:fill="ffffff"/>
            <w:vAlign w:val="center"/>
          </w:tcPr>
          <w:p>
            <w:pPr>
              <w:pStyle w:val="Normal"/>
              <w:spacing w:after="100"/>
              <w:jc w:val="center"/>
              <w:textAlignment w:val="center"/>
            </w:pPr>
            <w:r>
              <w:rPr>
                <w:b w:val="false"/>
              </w:rPr>
              <w:t>Area2, Area1</w:t>
            </w:r>
          </w:p>
        </w:tc>
        <w:tc>
          <w:tcPr>
            <w:shd w:color="auto" w:val="clear" w:fill="ffffff"/>
            <w:vAlign w:val="center"/>
          </w:tcPr>
          <w:p>
            <w:pPr>
              <w:pStyle w:val="Normal"/>
              <w:spacing w:after="100"/>
              <w:jc w:val="center"/>
              <w:textAlignment w:val="center"/>
            </w:pPr>
            <w:r>
              <w:rPr>
                <w:b w:val="false"/>
              </w:rPr>
              <w:t>9240.0 kWac</w:t>
            </w:r>
          </w:p>
        </w:tc>
        <w:tc>
          <w:tcPr>
            <w:shd w:color="auto" w:val="clear" w:fill="ffffff"/>
            <w:vAlign w:val="center"/>
          </w:tcPr>
          <w:p>
            <w:pPr>
              <w:pStyle w:val="Normal"/>
              <w:spacing w:after="100"/>
              <w:jc w:val="center"/>
              <w:textAlignment w:val="center"/>
            </w:pPr>
            <w:r>
              <w:rPr>
                <w:b w:val="false"/>
              </w:rPr>
              <w:t>11.3 MWdc</w:t>
            </w:r>
          </w:p>
        </w:tc>
        <w:tc>
          <w:tcPr>
            <w:shd w:color="auto" w:val="clear" w:fill="ffffff"/>
            <w:vAlign w:val="center"/>
          </w:tcPr>
          <w:p>
            <w:pPr>
              <w:pStyle w:val="Normal"/>
              <w:spacing w:after="100"/>
              <w:jc w:val="center"/>
              <w:textAlignment w:val="center"/>
            </w:pPr>
            <w:r>
              <w:rPr>
                <w:b w:val="false"/>
              </w:rPr>
              <w:t>1.22</w:t>
            </w:r>
          </w:p>
        </w:tc>
      </w:tr>
    </w:tbl>
    <w:p w14:paraId="3476750A" w14:textId="77777777" w:rsidR="00903F96" w:rsidRPr="0098155F" w:rsidRDefault="00903F96" w:rsidP="00903F96">
      <w:pPr>
        <w:pStyle w:val="paragraph"/>
        <w:rPr>
          <w:rFonts w:ascii="Arial" w:hAnsi="Arial" w:cs="Arial"/>
          <w:lang w:val="en-US"/>
        </w:rPr>
      </w:pPr>
    </w:p>
    <w:p w14:paraId="3F74E08B" w14:textId="77777777" w:rsidR="00903F96" w:rsidRPr="0098155F" w:rsidRDefault="00903F96" w:rsidP="00903F96">
      <w:pPr>
        <w:pStyle w:val="paragraph"/>
        <w:rPr>
          <w:rFonts w:ascii="Arial" w:hAnsi="Arial" w:cs="Arial"/>
          <w:lang w:val="en-US"/>
        </w:rPr>
      </w:pPr>
    </w:p>
    <w:p w14:paraId="4C21D976" w14:textId="77777777" w:rsidR="00903F96" w:rsidRPr="0098155F" w:rsidRDefault="00903F96" w:rsidP="00903F96">
      <w:pPr>
        <w:pStyle w:val="NameTableImg"/>
        <w:jc w:val="left"/>
        <w:rPr>
          <w:rFonts w:cs="Arial"/>
          <w:lang w:val="en-US"/>
        </w:rPr>
      </w:pPr>
    </w:p>
    <w:p w14:paraId="49A066B3" w14:textId="77777777" w:rsidR="00903F96" w:rsidRPr="0098155F" w:rsidRDefault="00903F96" w:rsidP="00903F96">
      <w:pPr>
        <w:pStyle w:val="Title2"/>
        <w:rPr>
          <w:rFonts w:cs="Arial"/>
          <w:lang w:val="en-US"/>
        </w:rPr>
      </w:pPr>
      <w:r>
        <w:rPr>
          <w:rFonts w:ascii="Arial" w:hAnsi="Arial" w:cs="Arial" w:eastAsia="Arial"/>
          <w:b w:val="false"/>
          <w:sz w:val="28"/>
        </w:rPr>
        <w:t xml:space="preserve">4.4. </w:t>
      </w:r>
      <w:bookmarkStart w:id="14" w:name="14"/>
      <w:r>
        <w:rPr>
          <w:rFonts w:ascii="Arial" w:hAnsi="Arial" w:cs="Arial" w:eastAsia="Arial"/>
          <w:b w:val="false"/>
          <w:sz w:val="28"/>
        </w:rPr>
        <w:t>String combiner box</w:t>
      </w:r>
      <w:bookmarkEnd w:id="14"/>
    </w:p>
    <w:p w14:paraId="2990AAE9" w14:textId="77777777" w:rsidR="00903F96" w:rsidRPr="0098155F" w:rsidRDefault="00903F96" w:rsidP="00903F96">
      <w:pPr>
        <w:pStyle w:val="paragraph"/>
        <w:rPr>
          <w:rFonts w:ascii="Arial" w:hAnsi="Arial" w:cs="Arial"/>
          <w:lang w:val="en-US"/>
        </w:rPr>
      </w:pPr>
      <w:r>
        <w:rPr>
          <w:b w:val="false"/>
        </w:rPr>
        <w:t>The string boxes collect the power generated by the DC array, connect the strings in parallel to the inverter, and provide electrical protection to the PV field. To match the number of inputs of the inverters, several parallel strings will be concentrated to function as a single circuit. Junction boxes shall be installed with a fuse per string to protect each array. Overvoltage DC dischargers will be installed, and one DC switch will be situated in the output line. Additionally, a communication system may be installed to monitor the string current and voltage.</w:t>
      </w:r>
    </w:p>
    <w:p w14:paraId="2DF963DE" w14:textId="77777777" w:rsidR="00903F96" w:rsidRPr="0098155F" w:rsidRDefault="00903F96" w:rsidP="00903F96">
      <w:pPr>
        <w:pStyle w:val="paragraph"/>
        <w:rPr>
          <w:rFonts w:ascii="Arial" w:hAnsi="Arial" w:cs="Arial"/>
          <w:lang w:val="en-US"/>
        </w:rPr>
      </w:pPr>
      <w:r>
        <w:rPr>
          <w:b w:val="false"/>
        </w:rPr>
        <w:t>An example of a string box is shown in Figure 11.</w:t>
      </w:r>
    </w:p>
    <w:p w14:paraId="53791077" w14:textId="77777777" w:rsidR="00903F96" w:rsidRPr="0098155F" w:rsidRDefault="00903F96" w:rsidP="00903F96">
      <w:pPr>
        <w:pStyle w:val="paragraph"/>
        <w:jc w:val="center"/>
        <w:rPr>
          <w:rFonts w:ascii="Arial" w:hAnsi="Arial" w:cs="Arial"/>
          <w:lang w:val="en-US"/>
        </w:rPr>
      </w:pPr>
      <w:r>
        <w:drawing>
          <wp:inline distT="0" distR="0" distB="0" distL="0">
            <wp:extent cx="2362200" cy="2489200"/>
            <wp:docPr id="14" name="Drawing 14" descr="Junction box.png"/>
            <a:graphic xmlns:a="http://schemas.openxmlformats.org/drawingml/2006/main">
              <a:graphicData uri="http://schemas.openxmlformats.org/drawingml/2006/picture">
                <pic:pic xmlns:pic="http://schemas.openxmlformats.org/drawingml/2006/picture">
                  <pic:nvPicPr>
                    <pic:cNvPr id="0" name="Picture 14" descr="Junction box.png"/>
                    <pic:cNvPicPr>
                      <a:picLocks noChangeAspect="true"/>
                    </pic:cNvPicPr>
                  </pic:nvPicPr>
                  <pic:blipFill>
                    <a:blip r:embed="rId27"/>
                    <a:stretch>
                      <a:fillRect/>
                    </a:stretch>
                  </pic:blipFill>
                  <pic:spPr>
                    <a:xfrm>
                      <a:off x="0" y="0"/>
                      <a:ext cx="2362200" cy="2489200"/>
                    </a:xfrm>
                    <a:prstGeom prst="rect">
                      <a:avLst/>
                    </a:prstGeom>
                  </pic:spPr>
                </pic:pic>
              </a:graphicData>
            </a:graphic>
          </wp:inline>
        </w:drawing>
      </w:r>
    </w:p>
    <w:p w14:paraId="667996BF" w14:textId="77777777" w:rsidR="00903F96" w:rsidRPr="0098155F" w:rsidRDefault="00903F96" w:rsidP="00903F96">
      <w:pPr>
        <w:pStyle w:val="NameTableImg"/>
        <w:rPr>
          <w:rFonts w:cs="Arial"/>
          <w:lang w:val="en-US"/>
        </w:rPr>
      </w:pPr>
      <w:r>
        <w:rPr>
          <w:b w:val="false"/>
          <w:i w:val="true"/>
        </w:rPr>
        <w:t>Figure 11. Example string box (Schneider Electric)</w:t>
      </w:r>
    </w:p>
    <w:p w14:paraId="6198FE58" w14:textId="77777777" w:rsidR="00903F96" w:rsidRPr="0098155F" w:rsidRDefault="00903F96" w:rsidP="00903F96">
      <w:pPr>
        <w:pStyle w:val="paragraph"/>
        <w:rPr>
          <w:rFonts w:ascii="Arial" w:hAnsi="Arial" w:cs="Arial"/>
          <w:lang w:val="en-US"/>
        </w:rPr>
      </w:pPr>
      <w:r>
        <w:rPr>
          <w:b w:val="false"/>
        </w:rPr>
        <w:t xml:space="preserve">The string boxes will be installed in a shaded area and shall be easily accessible to facilitate maintenance. They will be placed behind the PV modules and use existing structure poles if possible, so that they remain shaded and to prevent damage caused by rainwater or other meteorological phenomena. </w:t>
      </w:r>
    </w:p>
    <w:p w14:paraId="45625175" w14:textId="77777777" w:rsidR="00903F96" w:rsidRPr="0098155F" w:rsidRDefault="00903F96" w:rsidP="00903F96">
      <w:pPr>
        <w:pStyle w:val="paragraph"/>
        <w:rPr>
          <w:rFonts w:ascii="Arial" w:hAnsi="Arial" w:cs="Arial"/>
          <w:lang w:val="en-US"/>
        </w:rPr>
      </w:pPr>
      <w:r>
        <w:rPr>
          <w:b w:val="false"/>
        </w:rPr>
        <w:t>The main features of the string box are shown in Table 12.</w:t>
      </w:r>
    </w:p>
    <w:p w14:paraId="67DBC706" w14:textId="77777777" w:rsidR="00903F96" w:rsidRPr="0098155F" w:rsidRDefault="00903F96" w:rsidP="00903F96">
      <w:pPr>
        <w:pStyle w:val="NameTableImg"/>
        <w:rPr>
          <w:rFonts w:cs="Arial"/>
          <w:lang w:val="en-US"/>
        </w:rPr>
      </w:pPr>
      <w:r>
        <w:rPr>
          <w:b w:val="false"/>
          <w:i w:val="true"/>
        </w:rPr>
        <w:t>Table 12. Main string box characteristics</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1418"/>
        <w:gridCol w:w="1276"/>
        <w:gridCol w:w="1559"/>
        <w:gridCol w:w="1134"/>
        <w:gridCol w:w="1276"/>
        <w:gridCol w:w="1133"/>
        <w:gridCol w:w="1843"/>
      </w:tblGrid>
      <w:tr w:rsidR="00BB5186" w:rsidRPr="00BB5186" w14:paraId="74574D05" w14:textId="77777777" w:rsidTr="00635019">
        <w:trPr>
          <w:jc w:val="center"/>
        </w:trPr>
        <w:tc>
          <w:tcPr>
            <w:tcW w:w="1418" w:type="dxa"/>
            <w:shd w:val="clear" w:color="auto" w:fill="989E95"/>
            <w:vAlign w:val="center"/>
          </w:tcPr>
          <w:p w14:paraId="756F22FE"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Pr>
                <w:b w:val="false"/>
              </w:rPr>
              <w:t>String box</w:t>
            </w:r>
          </w:p>
        </w:tc>
        <w:tc>
          <w:tcPr>
            <w:tcW w:w="1276" w:type="dxa"/>
            <w:shd w:val="clear" w:color="auto" w:fill="989E95"/>
            <w:vAlign w:val="center"/>
          </w:tcPr>
          <w:p w14:paraId="439E671B"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lastRenderedPageBreak/>
              <w:t>Quantity</w:t>
            </w:r>
          </w:p>
        </w:tc>
        <w:tc>
          <w:tcPr>
            <w:tcW w:w="1559" w:type="dxa"/>
            <w:shd w:val="clear" w:color="auto" w:fill="989E95"/>
            <w:vAlign w:val="center"/>
          </w:tcPr>
          <w:p w14:paraId="2EE641F7"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Inputs</w:t>
            </w:r>
          </w:p>
        </w:tc>
        <w:tc>
          <w:tcPr>
            <w:tcW w:w="1134" w:type="dxa"/>
            <w:shd w:val="clear" w:color="auto" w:fill="989E95"/>
            <w:vAlign w:val="center"/>
          </w:tcPr>
          <w:p w14:paraId="527D5B53"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Power</w:t>
            </w:r>
          </w:p>
        </w:tc>
        <w:tc>
          <w:tcPr>
            <w:tcW w:w="1276" w:type="dxa"/>
            <w:shd w:val="clear" w:color="auto" w:fill="989E95"/>
            <w:vAlign w:val="center"/>
          </w:tcPr>
          <w:p w14:paraId="2E255AA4"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Fuse Current</w:t>
            </w:r>
          </w:p>
        </w:tc>
        <w:tc>
          <w:tcPr>
            <w:tcW w:w="1133" w:type="dxa"/>
            <w:shd w:val="clear" w:color="auto" w:fill="989E95"/>
            <w:vAlign w:val="center"/>
          </w:tcPr>
          <w:p w14:paraId="6A131719"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Switch current</w:t>
            </w:r>
          </w:p>
        </w:tc>
        <w:tc>
          <w:tcPr>
            <w:tcW w:w="1843" w:type="dxa"/>
            <w:shd w:val="clear" w:color="auto" w:fill="989E95"/>
            <w:vAlign w:val="center"/>
          </w:tcPr>
          <w:p w14:paraId="796A0BE5"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Overvoltage Arrester</w:t>
            </w:r>
          </w:p>
        </w:tc>
      </w:tr>
      <w:tr>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116</w:t>
            </w:r>
          </w:p>
        </w:tc>
        <w:tc>
          <w:tcPr>
            <w:vAlign w:val="center"/>
          </w:tcPr>
          <w:p>
            <w:pPr>
              <w:pStyle w:val="Normal"/>
              <w:spacing w:after="100"/>
              <w:jc w:val="center"/>
              <w:textAlignment w:val="center"/>
            </w:pPr>
            <w:r>
              <w:rPr>
                <w:b w:val="false"/>
              </w:rPr>
              <w:t>16 string</w:t>
            </w:r>
          </w:p>
        </w:tc>
        <w:tc>
          <w:tcPr>
            <w:vAlign w:val="center"/>
          </w:tcPr>
          <w:p>
            <w:pPr>
              <w:pStyle w:val="Normal"/>
              <w:spacing w:after="100"/>
              <w:jc w:val="center"/>
              <w:textAlignment w:val="center"/>
            </w:pPr>
            <w:r>
              <w:rPr>
                <w:b w:val="false"/>
              </w:rPr>
              <w:t>244.0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19</w:t>
            </w:r>
          </w:p>
        </w:tc>
        <w:tc>
          <w:tcPr>
            <w:vAlign w:val="center"/>
          </w:tcPr>
          <w:p>
            <w:pPr>
              <w:pStyle w:val="Normal"/>
              <w:spacing w:after="100"/>
              <w:jc w:val="center"/>
              <w:textAlignment w:val="center"/>
            </w:pPr>
            <w:r>
              <w:rPr>
                <w:b w:val="false"/>
              </w:rPr>
              <w:t>8 string</w:t>
            </w:r>
          </w:p>
        </w:tc>
        <w:tc>
          <w:tcPr>
            <w:vAlign w:val="center"/>
          </w:tcPr>
          <w:p>
            <w:pPr>
              <w:pStyle w:val="Normal"/>
              <w:spacing w:after="100"/>
              <w:jc w:val="center"/>
              <w:textAlignment w:val="center"/>
            </w:pPr>
            <w:r>
              <w:rPr>
                <w:b w:val="false"/>
              </w:rPr>
              <w:t>122.0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3</w:t>
            </w:r>
          </w:p>
        </w:tc>
        <w:tc>
          <w:tcPr>
            <w:vAlign w:val="center"/>
          </w:tcPr>
          <w:p>
            <w:pPr>
              <w:pStyle w:val="Normal"/>
              <w:spacing w:after="100"/>
              <w:jc w:val="center"/>
              <w:textAlignment w:val="center"/>
            </w:pPr>
            <w:r>
              <w:rPr>
                <w:b w:val="false"/>
              </w:rPr>
              <w:t>13</w:t>
            </w:r>
          </w:p>
        </w:tc>
        <w:tc>
          <w:tcPr>
            <w:vAlign w:val="center"/>
          </w:tcPr>
          <w:p>
            <w:pPr>
              <w:pStyle w:val="Normal"/>
              <w:spacing w:after="100"/>
              <w:jc w:val="center"/>
              <w:textAlignment w:val="center"/>
            </w:pPr>
            <w:r>
              <w:rPr>
                <w:b w:val="false"/>
              </w:rPr>
              <w:t>15 string</w:t>
            </w:r>
          </w:p>
        </w:tc>
        <w:tc>
          <w:tcPr>
            <w:vAlign w:val="center"/>
          </w:tcPr>
          <w:p>
            <w:pPr>
              <w:pStyle w:val="Normal"/>
              <w:spacing w:after="100"/>
              <w:jc w:val="center"/>
              <w:textAlignment w:val="center"/>
            </w:pPr>
            <w:r>
              <w:rPr>
                <w:b w:val="false"/>
              </w:rPr>
              <w:t>228.8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4</w:t>
            </w:r>
          </w:p>
        </w:tc>
        <w:tc>
          <w:tcPr>
            <w:vAlign w:val="center"/>
          </w:tcPr>
          <w:p>
            <w:pPr>
              <w:pStyle w:val="Normal"/>
              <w:spacing w:after="100"/>
              <w:jc w:val="center"/>
              <w:textAlignment w:val="center"/>
            </w:pPr>
            <w:r>
              <w:rPr>
                <w:b w:val="false"/>
              </w:rPr>
              <w:t>9</w:t>
            </w:r>
          </w:p>
        </w:tc>
        <w:tc>
          <w:tcPr>
            <w:vAlign w:val="center"/>
          </w:tcPr>
          <w:p>
            <w:pPr>
              <w:pStyle w:val="Normal"/>
              <w:spacing w:after="100"/>
              <w:jc w:val="center"/>
              <w:textAlignment w:val="center"/>
            </w:pPr>
            <w:r>
              <w:rPr>
                <w:b w:val="false"/>
              </w:rPr>
              <w:t>10 string</w:t>
            </w:r>
          </w:p>
        </w:tc>
        <w:tc>
          <w:tcPr>
            <w:vAlign w:val="center"/>
          </w:tcPr>
          <w:p>
            <w:pPr>
              <w:pStyle w:val="Normal"/>
              <w:spacing w:after="100"/>
              <w:jc w:val="center"/>
              <w:textAlignment w:val="center"/>
            </w:pPr>
            <w:r>
              <w:rPr>
                <w:b w:val="false"/>
              </w:rPr>
              <w:t>152.5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5</w:t>
            </w:r>
          </w:p>
        </w:tc>
        <w:tc>
          <w:tcPr>
            <w:vAlign w:val="center"/>
          </w:tcPr>
          <w:p>
            <w:pPr>
              <w:pStyle w:val="Normal"/>
              <w:spacing w:after="100"/>
              <w:jc w:val="center"/>
              <w:textAlignment w:val="center"/>
            </w:pPr>
            <w:r>
              <w:rPr>
                <w:b w:val="false"/>
              </w:rPr>
              <w:t>7</w:t>
            </w:r>
          </w:p>
        </w:tc>
        <w:tc>
          <w:tcPr>
            <w:vAlign w:val="center"/>
          </w:tcPr>
          <w:p>
            <w:pPr>
              <w:pStyle w:val="Normal"/>
              <w:spacing w:after="100"/>
              <w:jc w:val="center"/>
              <w:textAlignment w:val="center"/>
            </w:pPr>
            <w:r>
              <w:rPr>
                <w:b w:val="false"/>
              </w:rPr>
              <w:t>9 string</w:t>
            </w:r>
          </w:p>
        </w:tc>
        <w:tc>
          <w:tcPr>
            <w:vAlign w:val="center"/>
          </w:tcPr>
          <w:p>
            <w:pPr>
              <w:pStyle w:val="Normal"/>
              <w:spacing w:after="100"/>
              <w:jc w:val="center"/>
              <w:textAlignment w:val="center"/>
            </w:pPr>
            <w:r>
              <w:rPr>
                <w:b w:val="false"/>
              </w:rPr>
              <w:t>137.3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6</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7 string</w:t>
            </w:r>
          </w:p>
        </w:tc>
        <w:tc>
          <w:tcPr>
            <w:vAlign w:val="center"/>
          </w:tcPr>
          <w:p>
            <w:pPr>
              <w:pStyle w:val="Normal"/>
              <w:spacing w:after="100"/>
              <w:jc w:val="center"/>
              <w:textAlignment w:val="center"/>
            </w:pPr>
            <w:r>
              <w:rPr>
                <w:b w:val="false"/>
              </w:rPr>
              <w:t>106.8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7</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12 string</w:t>
            </w:r>
          </w:p>
        </w:tc>
        <w:tc>
          <w:tcPr>
            <w:vAlign w:val="center"/>
          </w:tcPr>
          <w:p>
            <w:pPr>
              <w:pStyle w:val="Normal"/>
              <w:spacing w:after="100"/>
              <w:jc w:val="center"/>
              <w:textAlignment w:val="center"/>
            </w:pPr>
            <w:r>
              <w:rPr>
                <w:b w:val="false"/>
              </w:rPr>
              <w:t>183.0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8</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11 string</w:t>
            </w:r>
          </w:p>
        </w:tc>
        <w:tc>
          <w:tcPr>
            <w:vAlign w:val="center"/>
          </w:tcPr>
          <w:p>
            <w:pPr>
              <w:pStyle w:val="Normal"/>
              <w:spacing w:after="100"/>
              <w:jc w:val="center"/>
              <w:textAlignment w:val="center"/>
            </w:pPr>
            <w:r>
              <w:rPr>
                <w:b w:val="false"/>
              </w:rPr>
              <w:t>167.8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bl>
    <w:p w14:paraId="5432AA55" w14:textId="77777777" w:rsidR="00903F96" w:rsidRPr="0098155F" w:rsidRDefault="00903F96" w:rsidP="00903F96">
      <w:pPr>
        <w:pStyle w:val="NameTableImg"/>
        <w:jc w:val="left"/>
        <w:rPr>
          <w:rFonts w:cs="Arial"/>
          <w:lang w:val="en-US"/>
        </w:rPr>
      </w:pPr>
    </w:p>
    <w:p w14:paraId="1A426950" w14:textId="77777777" w:rsidR="00903F96" w:rsidRPr="0098155F" w:rsidRDefault="00903F96" w:rsidP="00903F96">
      <w:pPr>
        <w:pStyle w:val="NameTableImg"/>
        <w:jc w:val="left"/>
        <w:rPr>
          <w:rFonts w:cs="Arial"/>
          <w:lang w:val="en-US"/>
        </w:rPr>
      </w:pPr>
    </w:p>
    <w:p w14:paraId="00CEE1C1" w14:textId="77777777" w:rsidR="00903F96" w:rsidRPr="0098155F" w:rsidRDefault="00903F96" w:rsidP="00903F96">
      <w:pPr>
        <w:pStyle w:val="Title2"/>
        <w:rPr>
          <w:rFonts w:cs="Arial"/>
          <w:lang w:val="en-US"/>
        </w:rPr>
      </w:pPr>
      <w:r>
        <w:rPr>
          <w:rFonts w:ascii="Arial" w:hAnsi="Arial" w:cs="Arial" w:eastAsia="Arial"/>
          <w:b w:val="false"/>
          <w:sz w:val="28"/>
        </w:rPr>
        <w:t xml:space="preserve">4.5. </w:t>
      </w:r>
      <w:bookmarkStart w:id="15" w:name="15"/>
      <w:r>
        <w:rPr>
          <w:rFonts w:ascii="Arial" w:hAnsi="Arial" w:cs="Arial" w:eastAsia="Arial"/>
          <w:b w:val="false"/>
          <w:sz w:val="28"/>
        </w:rPr>
        <w:t>Central inverter</w:t>
      </w:r>
      <w:bookmarkEnd w:id="15"/>
    </w:p>
    <w:p w14:paraId="66AC8467" w14:textId="77777777" w:rsidR="00903F96" w:rsidRPr="0098155F" w:rsidRDefault="00903F96" w:rsidP="00903F96">
      <w:pPr>
        <w:pStyle w:val="paragraph"/>
        <w:rPr>
          <w:rFonts w:ascii="Arial" w:hAnsi="Arial" w:cs="Arial"/>
          <w:lang w:val="en-US"/>
        </w:rPr>
      </w:pPr>
      <w:r w:rsidRPr="0098155F">
        <w:rPr>
          <w:rFonts w:ascii="Arial" w:hAnsi="Arial" w:cs="Arial"/>
          <w:lang w:val="en-US"/>
        </w:rPr>
        <w:t>The inverter converts the direct current produced by the photovoltaic modules to alternating current. It is composed of the following elements:</w:t>
      </w:r>
    </w:p>
    <w:p w14:paraId="036053DA" w14:textId="77777777" w:rsidR="00903F96" w:rsidRPr="0098155F" w:rsidRDefault="00903F96" w:rsidP="00903F96">
      <w:pPr>
        <w:pStyle w:val="BulletsDoc"/>
        <w:numPr>
          <w:ilvl w:val="0"/>
          <w:numId w:val="8"/>
        </w:numPr>
        <w:ind w:left="714" w:hanging="357"/>
        <w:rPr>
          <w:rFonts w:ascii="Arial" w:hAnsi="Arial" w:cs="Arial"/>
        </w:rPr>
      </w:pPr>
      <w:r w:rsidRPr="0098155F">
        <w:rPr>
          <w:rFonts w:ascii="Arial" w:hAnsi="Arial" w:cs="Arial"/>
        </w:rPr>
        <w:t>One or several DC-to-AC power conversion stages, each equipped with a maximum power point tracking system (MPPT). The MPPT will vary the voltage of the DC array to maximize the production depending on the operating conditions.</w:t>
      </w:r>
    </w:p>
    <w:p w14:paraId="217D87B2" w14:textId="77777777" w:rsidR="00903F96" w:rsidRPr="0098155F" w:rsidRDefault="00903F96" w:rsidP="00903F96">
      <w:pPr>
        <w:pStyle w:val="BulletsDoc"/>
        <w:numPr>
          <w:ilvl w:val="0"/>
          <w:numId w:val="8"/>
        </w:numPr>
        <w:ind w:left="714" w:hanging="357"/>
        <w:rPr>
          <w:rFonts w:ascii="Arial" w:hAnsi="Arial" w:cs="Arial"/>
        </w:rPr>
      </w:pPr>
      <w:r w:rsidRPr="0098155F">
        <w:rPr>
          <w:rFonts w:ascii="Arial" w:hAnsi="Arial" w:cs="Arial"/>
        </w:rPr>
        <w:t>Protection components against high working temperatures, over or under voltage, over or under-frequencies, minimum operating current, mains failure of transformer, anti-islanding protection, protection against voltage gaps, etc. In addition to the protections for the safety of the staff personnel.</w:t>
      </w:r>
    </w:p>
    <w:p w14:paraId="67CB85AA" w14:textId="77777777" w:rsidR="00903F96" w:rsidRPr="0098155F" w:rsidRDefault="00903F96" w:rsidP="00903F96">
      <w:pPr>
        <w:pStyle w:val="BulletsDoc"/>
        <w:numPr>
          <w:ilvl w:val="0"/>
          <w:numId w:val="8"/>
        </w:numPr>
        <w:ind w:left="714" w:hanging="357"/>
        <w:rPr>
          <w:rFonts w:ascii="Arial" w:hAnsi="Arial" w:cs="Arial"/>
        </w:rPr>
      </w:pPr>
      <w:r>
        <w:rPr>
          <w:b w:val="false"/>
        </w:rPr>
        <w:t>A monitoring system, which has the function of relaying data regarding the inverter operation to the owner (current, voltage, power, etc.) and external data from monitoring of the strings in the DC array (if a string monitoring system is present).</w:t>
      </w:r>
    </w:p>
    <w:p w14:paraId="05D3A7F9" w14:textId="77777777" w:rsidR="00903F96" w:rsidRPr="0098155F" w:rsidRDefault="00903F96" w:rsidP="00903F96">
      <w:pPr>
        <w:pStyle w:val="paragraph"/>
        <w:rPr>
          <w:rFonts w:ascii="Arial" w:hAnsi="Arial" w:cs="Arial"/>
          <w:lang w:val="en-US"/>
        </w:rPr>
      </w:pPr>
      <w:r>
        <w:rPr>
          <w:b w:val="false"/>
        </w:rPr>
        <w:t>In Figure 15 a commonly used photovoltaic inverter for utility-scale PV plants is shown.</w:t>
      </w:r>
    </w:p>
    <w:p w14:paraId="23DFAD70" w14:textId="77777777" w:rsidR="00903F96" w:rsidRPr="0098155F" w:rsidRDefault="00903F96" w:rsidP="00903F96">
      <w:pPr>
        <w:pStyle w:val="paragraph"/>
        <w:jc w:val="center"/>
        <w:rPr>
          <w:rFonts w:ascii="Arial" w:hAnsi="Arial" w:cs="Arial"/>
          <w:lang w:val="en-US"/>
        </w:rPr>
      </w:pPr>
      <w:r>
        <w:drawing>
          <wp:inline distT="0" distR="0" distB="0" distL="0">
            <wp:extent cx="3238500" cy="2235200"/>
            <wp:docPr id="15" name="Drawing 15" descr="Central inverter.png"/>
            <a:graphic xmlns:a="http://schemas.openxmlformats.org/drawingml/2006/main">
              <a:graphicData uri="http://schemas.openxmlformats.org/drawingml/2006/picture">
                <pic:pic xmlns:pic="http://schemas.openxmlformats.org/drawingml/2006/picture">
                  <pic:nvPicPr>
                    <pic:cNvPr id="0" name="Picture 15" descr="Central inverter.png"/>
                    <pic:cNvPicPr>
                      <a:picLocks noChangeAspect="true"/>
                    </pic:cNvPicPr>
                  </pic:nvPicPr>
                  <pic:blipFill>
                    <a:blip r:embed="rId28"/>
                    <a:stretch>
                      <a:fillRect/>
                    </a:stretch>
                  </pic:blipFill>
                  <pic:spPr>
                    <a:xfrm>
                      <a:off x="0" y="0"/>
                      <a:ext cx="3238500" cy="2235200"/>
                    </a:xfrm>
                    <a:prstGeom prst="rect">
                      <a:avLst/>
                    </a:prstGeom>
                  </pic:spPr>
                </pic:pic>
              </a:graphicData>
            </a:graphic>
          </wp:inline>
        </w:drawing>
      </w:r>
    </w:p>
    <w:p w14:paraId="570D5B15" w14:textId="77777777" w:rsidR="00903F96" w:rsidRPr="0098155F" w:rsidRDefault="00903F96" w:rsidP="00903F96">
      <w:pPr>
        <w:pStyle w:val="NameTableImg"/>
        <w:rPr>
          <w:rFonts w:cs="Arial"/>
          <w:lang w:val="en-US"/>
        </w:rPr>
      </w:pPr>
      <w:r>
        <w:rPr>
          <w:b w:val="false"/>
          <w:i w:val="true"/>
        </w:rPr>
        <w:t>Figure 12. Example of central photovoltaic inverter (ABB)</w:t>
      </w:r>
    </w:p>
    <w:p w14:paraId="22237571" w14:textId="77777777" w:rsidR="00903F96" w:rsidRPr="0098155F" w:rsidRDefault="00903F96" w:rsidP="00903F96">
      <w:pPr>
        <w:pStyle w:val="paragraph"/>
        <w:rPr>
          <w:rFonts w:ascii="Arial" w:hAnsi="Arial" w:cs="Arial"/>
          <w:lang w:val="en-US"/>
        </w:rPr>
      </w:pPr>
      <w:r>
        <w:rPr>
          <w:b w:val="false"/>
        </w:rPr>
        <w:t>The main characteristics of the selected inverter are shown in Table 13.</w:t>
      </w:r>
    </w:p>
    <w:p w14:paraId="235C2A5E" w14:textId="77777777" w:rsidR="00903F96" w:rsidRPr="0098155F" w:rsidRDefault="00903F96" w:rsidP="00903F96">
      <w:pPr>
        <w:pStyle w:val="NameTableImg"/>
        <w:rPr>
          <w:rFonts w:cs="Arial"/>
          <w:lang w:val="en-US"/>
        </w:rPr>
      </w:pPr>
      <w:proofErr w:type="spellStart"/>
      <w:proofErr w:type="spellEnd"/>
      <w:r>
        <w:rPr>
          <w:b w:val="false"/>
          <w:i w:val="true"/>
        </w:rPr>
        <w:t>Table 13. Inverter characteristics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BB5186" w:rsidRPr="00BB5186" w14:paraId="1772CCFB" w14:textId="77777777" w:rsidTr="00BB5186">
        <w:trPr>
          <w:jc w:val="center"/>
        </w:trPr>
        <w:tc>
          <w:tcPr>
            <w:tcW w:w="7938" w:type="dxa"/>
            <w:gridSpan w:val="2"/>
            <w:shd w:val="clear" w:color="auto" w:fill="989E95"/>
            <w:vAlign w:val="center"/>
          </w:tcPr>
          <w:p w14:paraId="21D22F71" w14:textId="77777777" w:rsidR="00903F96" w:rsidRPr="00BB5186" w:rsidRDefault="00903F96" w:rsidP="00C96B85">
            <w:pPr>
              <w:pStyle w:val="paragraph"/>
              <w:spacing w:after="100"/>
              <w:jc w:val="center"/>
              <w:textAlignment w:val="center"/>
              <w:rPr>
                <w:rFonts w:ascii="Arial" w:hAnsi="Arial" w:cs="Arial"/>
                <w:bCs/>
                <w:sz w:val="28"/>
                <w:szCs w:val="24"/>
                <w:lang w:val="en-US"/>
              </w:rPr>
            </w:pPr>
            <w:proofErr w:type="spellStart"/>
            <w:bookmarkStart w:id="29" w:name="_Hlk513460472"/>
            <w:proofErr w:type="spellEnd"/>
            <w:bookmarkEnd w:id="29"/>
            <w:r>
              <w:rPr>
                <w:b w:val="false"/>
              </w:rPr>
              <w:t>Inverter characteristics</w:t>
            </w:r>
          </w:p>
        </w:tc>
      </w:tr>
      <w:tr w:rsidR="00903F96" w:rsidRPr="000D7300" w14:paraId="63CF4EB3" w14:textId="77777777" w:rsidTr="000D7300">
        <w:trPr>
          <w:trHeight w:val="340"/>
          <w:jc w:val="center"/>
        </w:trPr>
        <w:tc>
          <w:tcPr>
            <w:tcW w:w="3969" w:type="dxa"/>
            <w:shd w:val="clear" w:color="auto" w:fill="B8BDB5"/>
            <w:vAlign w:val="center"/>
          </w:tcPr>
          <w:p w14:paraId="2A2E853D" w14:textId="77777777" w:rsidR="00903F96" w:rsidRPr="000D7300" w:rsidRDefault="00903F96" w:rsidP="00C96B85">
            <w:pPr>
              <w:spacing w:after="100"/>
              <w:textAlignment w:val="center"/>
              <w:rPr>
                <w:rFonts w:ascii="Arial" w:hAnsi="Arial" w:cs="Arial"/>
                <w:b/>
                <w:sz w:val="24"/>
                <w:szCs w:val="24"/>
                <w:lang w:val="en-US"/>
              </w:rPr>
            </w:pPr>
            <w:r w:rsidRPr="000D7300">
              <w:rPr>
                <w:rFonts w:ascii="Arial" w:hAnsi="Arial" w:cs="Arial"/>
                <w:b/>
                <w:sz w:val="24"/>
                <w:szCs w:val="24"/>
                <w:lang w:val="en-US"/>
              </w:rPr>
              <w:t>Main characteristics</w:t>
            </w:r>
          </w:p>
        </w:tc>
        <w:tc>
          <w:tcPr>
            <w:tcW w:w="3969" w:type="dxa"/>
            <w:shd w:val="clear" w:color="auto" w:fill="B8BDB5"/>
            <w:vAlign w:val="center"/>
          </w:tcPr>
          <w:p w14:paraId="55BA36A6" w14:textId="77777777" w:rsidR="00903F96" w:rsidRPr="000D7300" w:rsidRDefault="00903F96" w:rsidP="00C96B85">
            <w:pPr>
              <w:spacing w:after="100"/>
              <w:jc w:val="right"/>
              <w:textAlignment w:val="center"/>
              <w:rPr>
                <w:rFonts w:ascii="Arial" w:hAnsi="Arial" w:cs="Arial"/>
                <w:sz w:val="24"/>
                <w:szCs w:val="24"/>
                <w:lang w:val="en-US"/>
              </w:rPr>
            </w:pPr>
          </w:p>
        </w:tc>
      </w:tr>
      <w:tr w:rsidR="00903F96" w:rsidRPr="0098155F" w14:paraId="090662C7" w14:textId="77777777" w:rsidTr="00C96B85">
        <w:trPr>
          <w:trHeight w:val="340"/>
          <w:jc w:val="center"/>
        </w:trPr>
        <w:tc>
          <w:tcPr>
            <w:tcW w:w="3969" w:type="dxa"/>
            <w:shd w:val="clear" w:color="auto" w:fill="auto"/>
            <w:vAlign w:val="center"/>
          </w:tcPr>
          <w:p w14:paraId="230B2569"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Inverter model</w:t>
            </w:r>
          </w:p>
        </w:tc>
        <w:tc>
          <w:tcPr>
            <w:tcW w:w="3969" w:type="dxa"/>
            <w:shd w:val="clear" w:color="auto" w:fill="auto"/>
            <w:vAlign w:val="center"/>
          </w:tcPr>
          <w:p w14:paraId="7DA6F4B3"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Generic 2310</w:t>
            </w:r>
          </w:p>
        </w:tc>
      </w:tr>
      <w:tr w:rsidR="00903F96" w:rsidRPr="0098155F" w14:paraId="723FF42D" w14:textId="77777777" w:rsidTr="00C96B85">
        <w:trPr>
          <w:trHeight w:val="340"/>
          <w:jc w:val="center"/>
        </w:trPr>
        <w:tc>
          <w:tcPr>
            <w:tcW w:w="3969" w:type="dxa"/>
            <w:shd w:val="clear" w:color="auto" w:fill="auto"/>
            <w:vAlign w:val="center"/>
          </w:tcPr>
          <w:p w14:paraId="5508278F"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Inverter type</w:t>
            </w:r>
          </w:p>
        </w:tc>
        <w:tc>
          <w:tcPr>
            <w:tcW w:w="3969" w:type="dxa"/>
            <w:shd w:val="clear" w:color="auto" w:fill="auto"/>
            <w:vAlign w:val="center"/>
          </w:tcPr>
          <w:p w14:paraId="34E28CCA"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CENTRAL</w:t>
            </w:r>
          </w:p>
        </w:tc>
      </w:tr>
      <w:tr w:rsidR="00903F96" w:rsidRPr="0098155F" w14:paraId="13A738A8" w14:textId="77777777" w:rsidTr="00C96B85">
        <w:trPr>
          <w:trHeight w:val="340"/>
          <w:jc w:val="center"/>
        </w:trPr>
        <w:tc>
          <w:tcPr>
            <w:tcW w:w="3969" w:type="dxa"/>
            <w:shd w:val="clear" w:color="auto" w:fill="auto"/>
            <w:vAlign w:val="center"/>
          </w:tcPr>
          <w:p w14:paraId="1A87578A"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Manufacturer</w:t>
            </w:r>
          </w:p>
        </w:tc>
        <w:tc>
          <w:tcPr>
            <w:tcW w:w="3969" w:type="dxa"/>
            <w:shd w:val="clear" w:color="auto" w:fill="auto"/>
            <w:vAlign w:val="center"/>
          </w:tcPr>
          <w:p w14:paraId="5535FFE8"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Generic (default)</w:t>
            </w:r>
          </w:p>
        </w:tc>
      </w:tr>
      <w:tr w:rsidR="00903F96" w:rsidRPr="0098155F" w14:paraId="0F2F524C" w14:textId="77777777" w:rsidTr="00C96B85">
        <w:trPr>
          <w:trHeight w:val="340"/>
          <w:jc w:val="center"/>
        </w:trPr>
        <w:tc>
          <w:tcPr>
            <w:tcW w:w="3969" w:type="dxa"/>
            <w:shd w:val="clear" w:color="auto" w:fill="auto"/>
            <w:vAlign w:val="center"/>
          </w:tcPr>
          <w:p w14:paraId="1135428D"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Maximum DC to AC conversion efficiency</w:t>
            </w:r>
          </w:p>
        </w:tc>
        <w:tc>
          <w:tcPr>
            <w:tcW w:w="3969" w:type="dxa"/>
            <w:shd w:val="clear" w:color="auto" w:fill="auto"/>
            <w:vAlign w:val="center"/>
          </w:tcPr>
          <w:p w14:paraId="4346D392"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98.72 %</w:t>
            </w:r>
          </w:p>
        </w:tc>
      </w:tr>
      <w:tr w:rsidR="00903F96" w:rsidRPr="000D7300" w14:paraId="3103C2D2" w14:textId="77777777" w:rsidTr="000D7300">
        <w:trPr>
          <w:trHeight w:val="340"/>
          <w:jc w:val="center"/>
        </w:trPr>
        <w:tc>
          <w:tcPr>
            <w:tcW w:w="3969" w:type="dxa"/>
            <w:shd w:val="clear" w:color="auto" w:fill="B8BDB5"/>
            <w:vAlign w:val="center"/>
          </w:tcPr>
          <w:p w14:paraId="2574E150" w14:textId="77777777" w:rsidR="00903F96" w:rsidRPr="0048682E" w:rsidRDefault="00903F96" w:rsidP="00C96B85">
            <w:pPr>
              <w:spacing w:after="100"/>
              <w:textAlignment w:val="center"/>
              <w:rPr>
                <w:rFonts w:ascii="Arial" w:hAnsi="Arial" w:cs="Arial"/>
                <w:b/>
                <w:sz w:val="24"/>
                <w:szCs w:val="24"/>
                <w:lang w:val="en-US"/>
              </w:rPr>
            </w:pPr>
            <w:r w:rsidRPr="0048682E">
              <w:rPr>
                <w:rFonts w:ascii="Arial" w:hAnsi="Arial" w:cs="Arial"/>
                <w:b/>
                <w:sz w:val="24"/>
                <w:szCs w:val="24"/>
                <w:lang w:val="en-US"/>
              </w:rPr>
              <w:t>Input side (DC)</w:t>
            </w:r>
          </w:p>
        </w:tc>
        <w:tc>
          <w:tcPr>
            <w:tcW w:w="3969" w:type="dxa"/>
            <w:shd w:val="clear" w:color="auto" w:fill="B8BDB5"/>
            <w:vAlign w:val="center"/>
          </w:tcPr>
          <w:p w14:paraId="0FF47A48" w14:textId="77777777" w:rsidR="00903F96" w:rsidRPr="0048682E" w:rsidRDefault="00903F96" w:rsidP="00C96B85">
            <w:pPr>
              <w:spacing w:after="100"/>
              <w:jc w:val="right"/>
              <w:textAlignment w:val="center"/>
              <w:rPr>
                <w:rFonts w:ascii="Arial" w:hAnsi="Arial" w:cs="Arial"/>
                <w:b/>
                <w:sz w:val="24"/>
                <w:szCs w:val="24"/>
                <w:lang w:val="en-US"/>
              </w:rPr>
            </w:pPr>
          </w:p>
        </w:tc>
      </w:tr>
      <w:tr w:rsidR="00903F96" w:rsidRPr="0098155F" w14:paraId="4C03473E" w14:textId="77777777" w:rsidTr="00C96B85">
        <w:trPr>
          <w:trHeight w:val="340"/>
          <w:jc w:val="center"/>
        </w:trPr>
        <w:tc>
          <w:tcPr>
            <w:tcW w:w="3969" w:type="dxa"/>
            <w:shd w:val="clear" w:color="auto" w:fill="FFFFFF" w:themeFill="text1"/>
            <w:vAlign w:val="center"/>
          </w:tcPr>
          <w:p w14:paraId="7855C1A3"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MPPT search range</w:t>
            </w:r>
          </w:p>
        </w:tc>
        <w:tc>
          <w:tcPr>
            <w:tcW w:w="3969" w:type="dxa"/>
            <w:shd w:val="clear" w:color="auto" w:fill="FFFFFF" w:themeFill="text1"/>
            <w:vAlign w:val="center"/>
          </w:tcPr>
          <w:p w14:paraId="0CF271C5"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891 - 1310 V</w:t>
            </w:r>
          </w:p>
        </w:tc>
      </w:tr>
      <w:tr w:rsidR="00903F96" w:rsidRPr="0098155F" w14:paraId="54CC350F" w14:textId="77777777" w:rsidTr="00C96B85">
        <w:trPr>
          <w:trHeight w:val="340"/>
          <w:jc w:val="center"/>
        </w:trPr>
        <w:tc>
          <w:tcPr>
            <w:tcW w:w="3969" w:type="dxa"/>
            <w:shd w:val="clear" w:color="auto" w:fill="FFFFFF" w:themeFill="text1"/>
            <w:vAlign w:val="center"/>
          </w:tcPr>
          <w:p w14:paraId="34D0E39A" w14:textId="77777777" w:rsidR="00903F96" w:rsidRPr="0048682E" w:rsidRDefault="00903F96" w:rsidP="00C96B85">
            <w:pPr>
              <w:spacing w:after="100"/>
              <w:textAlignment w:val="center"/>
              <w:rPr>
                <w:rFonts w:ascii="Arial" w:hAnsi="Arial" w:cs="Arial"/>
                <w:sz w:val="24"/>
                <w:szCs w:val="24"/>
                <w:lang w:val="en-US"/>
              </w:rPr>
            </w:pPr>
            <w:r w:rsidRPr="0048682E">
              <w:rPr>
                <w:rFonts w:ascii="Arial" w:hAnsi="Arial" w:cs="Arial"/>
                <w:sz w:val="24"/>
                <w:szCs w:val="24"/>
                <w:lang w:val="en-US"/>
              </w:rPr>
              <w:t>Maximum input voltage</w:t>
            </w:r>
          </w:p>
        </w:tc>
        <w:tc>
          <w:tcPr>
            <w:tcW w:w="3969" w:type="dxa"/>
            <w:shd w:val="clear" w:color="auto" w:fill="FFFFFF" w:themeFill="text1"/>
            <w:vAlign w:val="center"/>
          </w:tcPr>
          <w:p w14:paraId="4CB848C3" w14:textId="77777777" w:rsidR="00903F96" w:rsidRPr="0048682E" w:rsidRDefault="00903F96" w:rsidP="00C96B85">
            <w:pPr>
              <w:pStyle w:val=""/>
              <w:spacing w:after="100"/>
              <w:jc w:val="right"/>
              <w:textAlignment w:val="center"/>
              <w:rPr>
                <w:rFonts w:ascii="Arial" w:hAnsi="Arial" w:cs="Arial"/>
                <w:sz w:val="24"/>
                <w:szCs w:val="24"/>
                <w:lang w:val="en-US"/>
              </w:rPr>
            </w:pPr>
            <w:r>
              <w:rPr>
                <w:b w:val="false"/>
              </w:rPr>
              <w:t>1500 V</w:t>
            </w:r>
          </w:p>
        </w:tc>
      </w:tr>
      <w:tr w:rsidR="00903F96" w:rsidRPr="000D7300" w14:paraId="1A10D1CB" w14:textId="77777777" w:rsidTr="000D7300">
        <w:trPr>
          <w:trHeight w:val="340"/>
          <w:jc w:val="center"/>
        </w:trPr>
        <w:tc>
          <w:tcPr>
            <w:tcW w:w="3969" w:type="dxa"/>
            <w:shd w:val="clear" w:color="auto" w:fill="B8BDB5"/>
            <w:vAlign w:val="center"/>
          </w:tcPr>
          <w:p w14:paraId="391C6095" w14:textId="77777777" w:rsidR="00903F96" w:rsidRPr="0048682E" w:rsidRDefault="00903F96" w:rsidP="00C96B85">
            <w:pPr>
              <w:spacing w:after="100"/>
              <w:textAlignment w:val="center"/>
              <w:rPr>
                <w:rFonts w:ascii="Arial" w:hAnsi="Arial" w:cs="Arial"/>
                <w:b/>
                <w:sz w:val="24"/>
                <w:szCs w:val="24"/>
                <w:lang w:val="en-US"/>
              </w:rPr>
            </w:pPr>
            <w:r w:rsidRPr="0048682E">
              <w:rPr>
                <w:rFonts w:ascii="Arial" w:hAnsi="Arial" w:cs="Arial"/>
                <w:b/>
                <w:sz w:val="24"/>
                <w:szCs w:val="24"/>
                <w:lang w:val="en-US"/>
              </w:rPr>
              <w:t>Output side (AC)</w:t>
            </w:r>
          </w:p>
        </w:tc>
        <w:tc>
          <w:tcPr>
            <w:tcW w:w="3969" w:type="dxa"/>
            <w:shd w:val="clear" w:color="auto" w:fill="B8BDB5"/>
            <w:vAlign w:val="center"/>
          </w:tcPr>
          <w:p w14:paraId="10B20FB2" w14:textId="77777777" w:rsidR="00903F96" w:rsidRPr="0048682E" w:rsidRDefault="00903F96" w:rsidP="00C96B85">
            <w:pPr>
              <w:spacing w:after="100"/>
              <w:jc w:val="right"/>
              <w:textAlignment w:val="center"/>
              <w:rPr>
                <w:rFonts w:ascii="Arial" w:hAnsi="Arial" w:cs="Arial"/>
                <w:b/>
                <w:sz w:val="24"/>
                <w:szCs w:val="24"/>
                <w:lang w:val="en-US"/>
              </w:rPr>
            </w:pPr>
          </w:p>
        </w:tc>
      </w:tr>
      <w:tr w:rsidR="00903F96" w:rsidRPr="0098155F" w14:paraId="78C3D7A6" w14:textId="77777777" w:rsidTr="00C96B85">
        <w:trPr>
          <w:trHeight w:val="340"/>
          <w:jc w:val="center"/>
        </w:trPr>
        <w:tc>
          <w:tcPr>
            <w:tcW w:w="3969" w:type="dxa"/>
            <w:shd w:val="clear" w:color="auto" w:fill="FFFFFF" w:themeFill="text1"/>
            <w:vAlign w:val="center"/>
          </w:tcPr>
          <w:p w14:paraId="124D2015" w14:textId="77777777" w:rsidR="00903F96" w:rsidRPr="0048682E" w:rsidRDefault="00903F96" w:rsidP="00C96B85">
            <w:pPr>
              <w:spacing w:after="100"/>
              <w:textAlignment w:val="center"/>
              <w:rPr>
                <w:rFonts w:ascii="Arial" w:hAnsi="Arial" w:cs="Arial"/>
                <w:sz w:val="24"/>
                <w:szCs w:val="24"/>
              </w:rPr>
            </w:pPr>
            <w:r w:rsidRPr="0048682E">
              <w:rPr>
                <w:rFonts w:ascii="Arial" w:hAnsi="Arial" w:cs="Arial"/>
                <w:sz w:val="24"/>
                <w:szCs w:val="24"/>
                <w:lang w:val="en-US"/>
              </w:rPr>
              <w:t>Rated power</w:t>
            </w:r>
          </w:p>
        </w:tc>
        <w:tc>
          <w:tcPr>
            <w:tcW w:w="3969" w:type="dxa"/>
            <w:shd w:val="clear" w:color="auto" w:fill="FFFFFF" w:themeFill="text1"/>
            <w:vAlign w:val="center"/>
          </w:tcPr>
          <w:p w14:paraId="33D4761C" w14:textId="77777777" w:rsidR="00903F96" w:rsidRPr="0048682E" w:rsidRDefault="00903F96" w:rsidP="00C96B85">
            <w:pPr>
              <w:pStyle w:val=""/>
              <w:spacing w:after="100"/>
              <w:jc w:val="right"/>
              <w:textAlignment w:val="center"/>
              <w:rPr>
                <w:rFonts w:ascii="Arial" w:hAnsi="Arial" w:cs="Arial"/>
                <w:sz w:val="24"/>
                <w:szCs w:val="24"/>
              </w:rPr>
            </w:pPr>
            <w:r>
              <w:rPr>
                <w:b w:val="false"/>
              </w:rPr>
              <w:t>2310.0 kVA</w:t>
            </w:r>
          </w:p>
        </w:tc>
      </w:tr>
      <w:tr w:rsidR="00903F96" w:rsidRPr="0098155F" w14:paraId="1D4643DB" w14:textId="77777777" w:rsidTr="00C96B85">
        <w:trPr>
          <w:trHeight w:val="340"/>
          <w:jc w:val="center"/>
        </w:trPr>
        <w:tc>
          <w:tcPr>
            <w:tcW w:w="3969" w:type="dxa"/>
            <w:shd w:val="clear" w:color="auto" w:fill="FFFFFF" w:themeFill="text1"/>
            <w:vAlign w:val="center"/>
          </w:tcPr>
          <w:p w14:paraId="0C350673" w14:textId="2EF00E41" w:rsidR="00903F96" w:rsidRPr="0048682E" w:rsidRDefault="00292BEA" w:rsidP="00C96B85">
            <w:pPr>
              <w:spacing w:after="100"/>
              <w:textAlignment w:val="center"/>
              <w:rPr>
                <w:rFonts w:ascii="Arial" w:hAnsi="Arial" w:cs="Arial"/>
                <w:sz w:val="24"/>
                <w:szCs w:val="24"/>
              </w:rPr>
            </w:pPr>
            <w:bookmarkStart w:id="30" w:name="_Hlk20731421"/>
            <w:r w:rsidRPr="0048682E">
              <w:rPr>
                <w:rFonts w:ascii="Arial" w:hAnsi="Arial" w:cs="Arial"/>
                <w:sz w:val="24"/>
                <w:szCs w:val="24"/>
                <w:lang w:val="en-US"/>
              </w:rPr>
              <w:t>Maximum Power (datasheet)</w:t>
            </w:r>
          </w:p>
        </w:tc>
        <w:tc>
          <w:tcPr>
            <w:tcW w:w="3969" w:type="dxa"/>
            <w:shd w:val="clear" w:color="auto" w:fill="FFFFFF" w:themeFill="text1"/>
            <w:vAlign w:val="center"/>
          </w:tcPr>
          <w:p w14:paraId="69452917" w14:textId="77777777" w:rsidR="00903F96" w:rsidRPr="0048682E" w:rsidRDefault="00903F96" w:rsidP="00C96B85">
            <w:pPr>
              <w:pStyle w:val=""/>
              <w:spacing w:after="100"/>
              <w:jc w:val="right"/>
              <w:textAlignment w:val="center"/>
              <w:rPr>
                <w:rFonts w:ascii="Arial" w:hAnsi="Arial" w:cs="Arial"/>
                <w:sz w:val="24"/>
                <w:szCs w:val="24"/>
              </w:rPr>
            </w:pPr>
            <w:r>
              <w:rPr>
                <w:b w:val="false"/>
              </w:rPr>
              <w:t>2310.0 kVA</w:t>
            </w:r>
          </w:p>
        </w:tc>
      </w:tr>
      <w:tr w:rsidR="00903F96" w:rsidRPr="0098155F" w14:paraId="586B4410" w14:textId="77777777" w:rsidTr="00C96B85">
        <w:trPr>
          <w:trHeight w:val="340"/>
          <w:jc w:val="center"/>
        </w:trPr>
        <w:tc>
          <w:tcPr>
            <w:tcW w:w="3969" w:type="dxa"/>
            <w:shd w:val="clear" w:color="auto" w:fill="FFFFFF" w:themeFill="text1"/>
            <w:vAlign w:val="center"/>
          </w:tcPr>
          <w:p w14:paraId="2BA5DCA3" w14:textId="567C1464" w:rsidR="00903F96" w:rsidRPr="0048682E" w:rsidRDefault="00292BEA" w:rsidP="00C96B85">
            <w:pPr>
              <w:spacing w:after="100"/>
              <w:textAlignment w:val="center"/>
              <w:rPr>
                <w:rFonts w:ascii="Arial" w:hAnsi="Arial" w:cs="Arial"/>
                <w:sz w:val="24"/>
                <w:szCs w:val="24"/>
              </w:rPr>
            </w:pPr>
            <w:r w:rsidRPr="0048682E">
              <w:rPr>
                <w:rFonts w:ascii="Arial" w:hAnsi="Arial" w:cs="Arial"/>
                <w:sz w:val="24"/>
                <w:szCs w:val="24"/>
                <w:lang w:val="en-US"/>
              </w:rPr>
              <w:t>Nominal Power (datasheet)</w:t>
            </w:r>
          </w:p>
        </w:tc>
        <w:tc>
          <w:tcPr>
            <w:tcW w:w="3969" w:type="dxa"/>
            <w:shd w:val="clear" w:color="auto" w:fill="FFFFFF" w:themeFill="text1"/>
            <w:vAlign w:val="center"/>
          </w:tcPr>
          <w:p w14:paraId="150E15E9" w14:textId="77777777" w:rsidR="00903F96" w:rsidRPr="0048682E" w:rsidRDefault="00903F96" w:rsidP="00C96B85">
            <w:pPr>
              <w:pStyle w:val=""/>
              <w:spacing w:after="100"/>
              <w:jc w:val="right"/>
              <w:textAlignment w:val="center"/>
              <w:rPr>
                <w:rFonts w:ascii="Arial" w:hAnsi="Arial" w:cs="Arial"/>
                <w:sz w:val="24"/>
                <w:szCs w:val="24"/>
              </w:rPr>
            </w:pPr>
            <w:r>
              <w:rPr>
                <w:b w:val="false"/>
              </w:rPr>
              <w:t>2310.0 kVA</w:t>
            </w:r>
          </w:p>
        </w:tc>
      </w:tr>
      <w:bookmarkEnd w:id="30"/>
      <w:tr w:rsidR="00903F96" w:rsidRPr="0098155F" w14:paraId="2DCF5C97" w14:textId="77777777" w:rsidTr="00C96B85">
        <w:trPr>
          <w:trHeight w:val="340"/>
          <w:jc w:val="center"/>
        </w:trPr>
        <w:tc>
          <w:tcPr>
            <w:tcW w:w="3969" w:type="dxa"/>
            <w:shd w:val="clear" w:color="auto" w:fill="FFFFFF" w:themeFill="text1"/>
            <w:vAlign w:val="center"/>
          </w:tcPr>
          <w:p w14:paraId="261F1166" w14:textId="77777777" w:rsidR="00903F96" w:rsidRPr="0048682E" w:rsidRDefault="00903F96" w:rsidP="00C96B85">
            <w:pPr>
              <w:spacing w:after="100"/>
              <w:textAlignment w:val="center"/>
              <w:rPr>
                <w:rFonts w:ascii="Arial" w:hAnsi="Arial" w:cs="Arial"/>
                <w:sz w:val="24"/>
                <w:szCs w:val="24"/>
              </w:rPr>
            </w:pPr>
            <w:r w:rsidRPr="0048682E">
              <w:rPr>
                <w:rFonts w:ascii="Arial" w:hAnsi="Arial" w:cs="Arial"/>
                <w:sz w:val="24"/>
                <w:szCs w:val="24"/>
                <w:lang w:val="en-US"/>
              </w:rPr>
              <w:t>Output voltage</w:t>
            </w:r>
          </w:p>
        </w:tc>
        <w:tc>
          <w:tcPr>
            <w:tcW w:w="3969" w:type="dxa"/>
            <w:shd w:val="clear" w:color="auto" w:fill="FFFFFF" w:themeFill="text1"/>
            <w:vAlign w:val="center"/>
          </w:tcPr>
          <w:p w14:paraId="10EB4C00" w14:textId="77777777" w:rsidR="00903F96" w:rsidRPr="0048682E" w:rsidRDefault="00903F96" w:rsidP="00C96B85">
            <w:pPr>
              <w:pStyle w:val=""/>
              <w:spacing w:after="100"/>
              <w:jc w:val="right"/>
              <w:textAlignment w:val="center"/>
              <w:rPr>
                <w:rFonts w:ascii="Arial" w:hAnsi="Arial" w:cs="Arial"/>
                <w:sz w:val="24"/>
                <w:szCs w:val="24"/>
              </w:rPr>
            </w:pPr>
            <w:r>
              <w:rPr>
                <w:b w:val="false"/>
              </w:rPr>
              <w:t>630 V</w:t>
            </w:r>
          </w:p>
        </w:tc>
      </w:tr>
      <w:tr w:rsidR="00903F96" w:rsidRPr="0098155F" w14:paraId="2C09EC78" w14:textId="77777777" w:rsidTr="00C96B85">
        <w:trPr>
          <w:trHeight w:val="340"/>
          <w:jc w:val="center"/>
        </w:trPr>
        <w:tc>
          <w:tcPr>
            <w:tcW w:w="3969" w:type="dxa"/>
            <w:shd w:val="clear" w:color="auto" w:fill="FFFFFF" w:themeFill="text1"/>
            <w:vAlign w:val="center"/>
          </w:tcPr>
          <w:p w14:paraId="071FD65D" w14:textId="77777777" w:rsidR="00903F96" w:rsidRPr="0048682E" w:rsidRDefault="00903F96" w:rsidP="00C96B85">
            <w:pPr>
              <w:spacing w:after="100"/>
              <w:textAlignment w:val="center"/>
              <w:rPr>
                <w:rFonts w:ascii="Arial" w:hAnsi="Arial" w:cs="Arial"/>
                <w:sz w:val="24"/>
                <w:szCs w:val="24"/>
              </w:rPr>
            </w:pPr>
            <w:r w:rsidRPr="0048682E">
              <w:rPr>
                <w:rFonts w:ascii="Arial" w:hAnsi="Arial" w:cs="Arial"/>
                <w:sz w:val="24"/>
                <w:szCs w:val="24"/>
                <w:lang w:val="en-US"/>
              </w:rPr>
              <w:t>Output frequency</w:t>
            </w:r>
          </w:p>
        </w:tc>
        <w:tc>
          <w:tcPr>
            <w:tcW w:w="3969" w:type="dxa"/>
            <w:shd w:val="clear" w:color="auto" w:fill="FFFFFF" w:themeFill="text1"/>
            <w:vAlign w:val="center"/>
          </w:tcPr>
          <w:p w14:paraId="6B6F6887" w14:textId="77777777" w:rsidR="00903F96" w:rsidRPr="0048682E" w:rsidRDefault="00903F96" w:rsidP="00C96B85">
            <w:pPr>
              <w:pStyle w:val=""/>
              <w:spacing w:after="100"/>
              <w:jc w:val="right"/>
              <w:textAlignment w:val="center"/>
              <w:rPr>
                <w:rFonts w:ascii="Arial" w:hAnsi="Arial" w:cs="Arial"/>
                <w:sz w:val="24"/>
                <w:szCs w:val="24"/>
              </w:rPr>
            </w:pPr>
            <w:r>
              <w:rPr>
                <w:b w:val="false"/>
              </w:rPr>
              <w:t xml:space="preserve">50 Hz </w:t>
            </w:r>
          </w:p>
        </w:tc>
      </w:tr>
    </w:tbl>
    <w:p w14:paraId="5335C00A" w14:textId="77777777" w:rsidR="00D676A2" w:rsidRPr="0098155F" w:rsidRDefault="00D676A2" w:rsidP="00D676A2">
      <w:pPr>
        <w:pStyle w:val="NameTableImg"/>
        <w:spacing w:before="240"/>
        <w:rPr>
          <w:rFonts w:cs="Arial"/>
          <w:lang w:val="en-US"/>
        </w:rPr>
      </w:pPr>
      <w:bookmarkStart w:id="31" w:name="_Hlk73002694"/>
      <w:bookmarkStart w:id="32" w:name="_Hlk73001238"/>
      <w:bookmarkStart w:id="33" w:name="_Hlk138173168"/>
      <w:r>
        <w:rPr>
          <w:b w:val="false"/>
          <w:i w:val="true"/>
        </w:rPr>
        <w:t>Table 14. Inverters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1701"/>
        <w:gridCol w:w="1276"/>
        <w:gridCol w:w="3119"/>
        <w:gridCol w:w="1135"/>
        <w:gridCol w:w="1418"/>
      </w:tblGrid>
      <w:tr w:rsidR="00BB5186" w:rsidRPr="00BB5186" w14:paraId="03EAFCC6" w14:textId="77777777" w:rsidTr="00635019">
        <w:trPr>
          <w:jc w:val="center"/>
        </w:trPr>
        <w:tc>
          <w:tcPr>
            <w:tcW w:w="1701" w:type="dxa"/>
            <w:shd w:val="clear" w:color="auto" w:fill="989E95"/>
            <w:vAlign w:val="center"/>
          </w:tcPr>
          <w:p w14:paraId="50152A8E" w14:textId="40C7AFA3" w:rsidR="00D676A2" w:rsidRPr="00BB5186" w:rsidRDefault="00D676A2" w:rsidP="00C14CED">
            <w:pPr>
              <w:pStyle w:val="paragraph"/>
              <w:spacing w:after="100"/>
              <w:jc w:val="center"/>
              <w:textAlignment w:val="center"/>
              <w:rPr>
                <w:rFonts w:ascii="Arial" w:hAnsi="Arial" w:cs="Arial"/>
                <w:bCs/>
                <w:sz w:val="28"/>
                <w:szCs w:val="24"/>
                <w:lang w:val="en-US"/>
              </w:rPr>
            </w:pPr>
            <w:bookmarkStart w:id="34" w:name="_Hlk105146949"/>
            <w:bookmarkEnd w:id="31"/>
            <w:r>
              <w:rPr>
                <w:b w:val="false"/>
              </w:rPr>
              <w:t>Inverter</w:t>
            </w:r>
          </w:p>
        </w:tc>
        <w:tc>
          <w:tcPr>
            <w:tcW w:w="1276" w:type="dxa"/>
            <w:shd w:val="clear" w:color="auto" w:fill="989E95"/>
            <w:vAlign w:val="center"/>
          </w:tcPr>
          <w:p w14:paraId="570E6B24" w14:textId="77777777" w:rsidR="00D676A2" w:rsidRPr="00BB5186" w:rsidRDefault="00D676A2" w:rsidP="00C14CED">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Quantity</w:t>
            </w:r>
          </w:p>
        </w:tc>
        <w:tc>
          <w:tcPr>
            <w:tcW w:w="3119" w:type="dxa"/>
            <w:shd w:val="clear" w:color="auto" w:fill="989E95"/>
            <w:vAlign w:val="center"/>
          </w:tcPr>
          <w:p w14:paraId="5F3130F3" w14:textId="77777777" w:rsidR="00D676A2" w:rsidRPr="00BB5186" w:rsidRDefault="00D676A2" w:rsidP="00C14CED">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DC inputs</w:t>
            </w:r>
          </w:p>
        </w:tc>
        <w:tc>
          <w:tcPr>
            <w:tcW w:w="1135" w:type="dxa"/>
            <w:shd w:val="clear" w:color="auto" w:fill="989E95"/>
            <w:vAlign w:val="center"/>
          </w:tcPr>
          <w:p w14:paraId="7D2FB131" w14:textId="77777777" w:rsidR="00D676A2" w:rsidRPr="00BB5186" w:rsidRDefault="00D676A2" w:rsidP="00C14CED">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Power DC</w:t>
            </w:r>
          </w:p>
        </w:tc>
        <w:tc>
          <w:tcPr>
            <w:tcW w:w="1418" w:type="dxa"/>
            <w:shd w:val="clear" w:color="auto" w:fill="989E95"/>
            <w:vAlign w:val="center"/>
          </w:tcPr>
          <w:p w14:paraId="29AD999E" w14:textId="77777777" w:rsidR="00D676A2" w:rsidRPr="00BB5186" w:rsidRDefault="00D676A2" w:rsidP="00C14CED">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DC/AC ratio</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 xml:space="preserve">1 String Box of 15 string
1 String Box of 10 string
3 String Box of 8 string
8 String Box of 16 string
</w:t>
            </w:r>
          </w:p>
        </w:tc>
        <w:tc>
          <w:tcPr>
            <w:vAlign w:val="center"/>
          </w:tcPr>
          <w:p>
            <w:pPr>
              <w:pStyle w:val="Normal"/>
              <w:spacing w:after="100"/>
              <w:jc w:val="center"/>
              <w:textAlignment w:val="center"/>
            </w:pPr>
            <w:r>
              <w:rPr>
                <w:b w:val="false"/>
              </w:rPr>
              <w:t>2699 kW</w:t>
            </w:r>
          </w:p>
        </w:tc>
        <w:tc>
          <w:tcPr>
            <w:vAlign w:val="center"/>
          </w:tcPr>
          <w:p>
            <w:pPr>
              <w:pStyle w:val="Normal"/>
              <w:spacing w:after="100"/>
              <w:jc w:val="center"/>
              <w:textAlignment w:val="center"/>
            </w:pPr>
            <w:r>
              <w:rPr>
                <w:b w:val="false"/>
              </w:rPr>
              <w:t>1.169</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 xml:space="preserve">1 String Box of 9 string
1 String Box of 8 string
1 String Box of 15 string
9 String Box of 16 string
</w:t>
            </w:r>
          </w:p>
        </w:tc>
        <w:tc>
          <w:tcPr>
            <w:vAlign w:val="center"/>
          </w:tcPr>
          <w:p>
            <w:pPr>
              <w:pStyle w:val="Normal"/>
              <w:spacing w:after="100"/>
              <w:jc w:val="center"/>
              <w:textAlignment w:val="center"/>
            </w:pPr>
            <w:r>
              <w:rPr>
                <w:b w:val="false"/>
              </w:rPr>
              <w:t>2684 kW</w:t>
            </w:r>
          </w:p>
        </w:tc>
        <w:tc>
          <w:tcPr>
            <w:vAlign w:val="center"/>
          </w:tcPr>
          <w:p>
            <w:pPr>
              <w:pStyle w:val="Normal"/>
              <w:spacing w:after="100"/>
              <w:jc w:val="center"/>
              <w:textAlignment w:val="center"/>
            </w:pPr>
            <w:r>
              <w:rPr>
                <w:b w:val="false"/>
              </w:rPr>
              <w:t>1.162</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8 string
1 String Box of 10 string
1 String Box of 12 string
10 String Box of 16 string
1 String Box of 15 string
</w:t>
            </w:r>
          </w:p>
        </w:tc>
        <w:tc>
          <w:tcPr>
            <w:vAlign w:val="center"/>
          </w:tcPr>
          <w:p>
            <w:pPr>
              <w:pStyle w:val="Normal"/>
              <w:spacing w:after="100"/>
              <w:jc w:val="center"/>
              <w:textAlignment w:val="center"/>
            </w:pPr>
            <w:r>
              <w:rPr>
                <w:b w:val="false"/>
              </w:rPr>
              <w:t>3126 kW</w:t>
            </w:r>
          </w:p>
        </w:tc>
        <w:tc>
          <w:tcPr>
            <w:vAlign w:val="center"/>
          </w:tcPr>
          <w:p>
            <w:pPr>
              <w:pStyle w:val="Normal"/>
              <w:spacing w:after="100"/>
              <w:jc w:val="center"/>
              <w:textAlignment w:val="center"/>
            </w:pPr>
            <w:r>
              <w:rPr>
                <w:b w:val="false"/>
              </w:rPr>
              <w:t>1.353</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11 string
12 String Box of 16 string
</w:t>
            </w:r>
          </w:p>
        </w:tc>
        <w:tc>
          <w:tcPr>
            <w:vAlign w:val="center"/>
          </w:tcPr>
          <w:p>
            <w:pPr>
              <w:pStyle w:val="Normal"/>
              <w:spacing w:after="100"/>
              <w:jc w:val="center"/>
              <w:textAlignment w:val="center"/>
            </w:pPr>
            <w:r>
              <w:rPr>
                <w:b w:val="false"/>
              </w:rPr>
              <w:t>3096 kW</w:t>
            </w:r>
          </w:p>
        </w:tc>
        <w:tc>
          <w:tcPr>
            <w:vAlign w:val="center"/>
          </w:tcPr>
          <w:p>
            <w:pPr>
              <w:pStyle w:val="Normal"/>
              <w:spacing w:after="100"/>
              <w:jc w:val="center"/>
              <w:textAlignment w:val="center"/>
            </w:pPr>
            <w:r>
              <w:rPr>
                <w:b w:val="false"/>
              </w:rPr>
              <w:t>1.340</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8 string
2 String Box of 9 string
10 String Box of 16 string
</w:t>
            </w:r>
          </w:p>
        </w:tc>
        <w:tc>
          <w:tcPr>
            <w:vAlign w:val="center"/>
          </w:tcPr>
          <w:p>
            <w:pPr>
              <w:pStyle w:val="Normal"/>
              <w:spacing w:after="100"/>
              <w:jc w:val="center"/>
              <w:textAlignment w:val="center"/>
            </w:pPr>
            <w:r>
              <w:rPr>
                <w:b w:val="false"/>
              </w:rPr>
              <w:t>2837 kW</w:t>
            </w:r>
          </w:p>
        </w:tc>
        <w:tc>
          <w:tcPr>
            <w:vAlign w:val="center"/>
          </w:tcPr>
          <w:p>
            <w:pPr>
              <w:pStyle w:val="Normal"/>
              <w:spacing w:after="100"/>
              <w:jc w:val="center"/>
              <w:textAlignment w:val="center"/>
            </w:pPr>
            <w:r>
              <w:rPr>
                <w:b w:val="false"/>
              </w:rPr>
              <w:t>1.228</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15 string
1 String Box of 9 string
1 String Box of 8 string
1 String Box of 10 string
9 String Box of 16 string
</w:t>
            </w:r>
          </w:p>
        </w:tc>
        <w:tc>
          <w:tcPr>
            <w:vAlign w:val="center"/>
          </w:tcPr>
          <w:p>
            <w:pPr>
              <w:pStyle w:val="Normal"/>
              <w:spacing w:after="100"/>
              <w:jc w:val="center"/>
              <w:textAlignment w:val="center"/>
            </w:pPr>
            <w:r>
              <w:rPr>
                <w:b w:val="false"/>
              </w:rPr>
              <w:t>2837 kW</w:t>
            </w:r>
          </w:p>
        </w:tc>
        <w:tc>
          <w:tcPr>
            <w:vAlign w:val="center"/>
          </w:tcPr>
          <w:p>
            <w:pPr>
              <w:pStyle w:val="Normal"/>
              <w:spacing w:after="100"/>
              <w:jc w:val="center"/>
              <w:textAlignment w:val="center"/>
            </w:pPr>
            <w:r>
              <w:rPr>
                <w:b w:val="false"/>
              </w:rPr>
              <w:t>1.228</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2 String Box of 10 string
7 String Box of 16 string
1 String Box of 8 string
3 String Box of 15 string
</w:t>
            </w:r>
          </w:p>
        </w:tc>
        <w:tc>
          <w:tcPr>
            <w:vAlign w:val="center"/>
          </w:tcPr>
          <w:p>
            <w:pPr>
              <w:pStyle w:val="Normal"/>
              <w:spacing w:after="100"/>
              <w:jc w:val="center"/>
              <w:textAlignment w:val="center"/>
            </w:pPr>
            <w:r>
              <w:rPr>
                <w:b w:val="false"/>
              </w:rPr>
              <w:t>2821 kW</w:t>
            </w:r>
          </w:p>
        </w:tc>
        <w:tc>
          <w:tcPr>
            <w:vAlign w:val="center"/>
          </w:tcPr>
          <w:p>
            <w:pPr>
              <w:pStyle w:val="Normal"/>
              <w:spacing w:after="100"/>
              <w:jc w:val="center"/>
              <w:textAlignment w:val="center"/>
            </w:pPr>
            <w:r>
              <w:rPr>
                <w:b w:val="false"/>
              </w:rPr>
              <w:t>1.221</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9 string
1 String Box of 10 string
1 String Box of 8 string
2 String Box of 15 string
8 String Box of 16 string
</w:t>
            </w:r>
          </w:p>
        </w:tc>
        <w:tc>
          <w:tcPr>
            <w:vAlign w:val="center"/>
          </w:tcPr>
          <w:p>
            <w:pPr>
              <w:pStyle w:val="Normal"/>
              <w:spacing w:after="100"/>
              <w:jc w:val="center"/>
              <w:textAlignment w:val="center"/>
            </w:pPr>
            <w:r>
              <w:rPr>
                <w:b w:val="false"/>
              </w:rPr>
              <w:t>2821 kW</w:t>
            </w:r>
          </w:p>
        </w:tc>
        <w:tc>
          <w:tcPr>
            <w:vAlign w:val="center"/>
          </w:tcPr>
          <w:p>
            <w:pPr>
              <w:pStyle w:val="Normal"/>
              <w:spacing w:after="100"/>
              <w:jc w:val="center"/>
              <w:textAlignment w:val="center"/>
            </w:pPr>
            <w:r>
              <w:rPr>
                <w:b w:val="false"/>
              </w:rPr>
              <w:t>1.221</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9 string
2 String Box of 8 string
1 String Box of 10 string
1 String Box of 15 string
8 String Box of 16 string
</w:t>
            </w:r>
          </w:p>
        </w:tc>
        <w:tc>
          <w:tcPr>
            <w:vAlign w:val="center"/>
          </w:tcPr>
          <w:p>
            <w:pPr>
              <w:pStyle w:val="Normal"/>
              <w:spacing w:after="100"/>
              <w:jc w:val="center"/>
              <w:textAlignment w:val="center"/>
            </w:pPr>
            <w:r>
              <w:rPr>
                <w:b w:val="false"/>
              </w:rPr>
              <w:t>2715 kW</w:t>
            </w:r>
          </w:p>
        </w:tc>
        <w:tc>
          <w:tcPr>
            <w:vAlign w:val="center"/>
          </w:tcPr>
          <w:p>
            <w:pPr>
              <w:pStyle w:val="Normal"/>
              <w:spacing w:after="100"/>
              <w:jc w:val="center"/>
              <w:textAlignment w:val="center"/>
            </w:pPr>
            <w:r>
              <w:rPr>
                <w:b w:val="false"/>
              </w:rPr>
              <w:t>1.175</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10 string
2 String Box of 8 string
1 String Box of 7 string
9 String Box of 16 string
</w:t>
            </w:r>
          </w:p>
        </w:tc>
        <w:tc>
          <w:tcPr>
            <w:vAlign w:val="center"/>
          </w:tcPr>
          <w:p>
            <w:pPr>
              <w:pStyle w:val="Normal"/>
              <w:spacing w:after="100"/>
              <w:jc w:val="center"/>
              <w:textAlignment w:val="center"/>
            </w:pPr>
            <w:r>
              <w:rPr>
                <w:b w:val="false"/>
              </w:rPr>
              <w:t>2699 kW</w:t>
            </w:r>
          </w:p>
        </w:tc>
        <w:tc>
          <w:tcPr>
            <w:vAlign w:val="center"/>
          </w:tcPr>
          <w:p>
            <w:pPr>
              <w:pStyle w:val="Normal"/>
              <w:spacing w:after="100"/>
              <w:jc w:val="center"/>
              <w:textAlignment w:val="center"/>
            </w:pPr>
            <w:r>
              <w:rPr>
                <w:b w:val="false"/>
              </w:rPr>
              <w:t>1.169</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15 string
2 String Box of 8 string
9 String Box of 16 string
</w:t>
            </w:r>
          </w:p>
        </w:tc>
        <w:tc>
          <w:tcPr>
            <w:vAlign w:val="center"/>
          </w:tcPr>
          <w:p>
            <w:pPr>
              <w:pStyle w:val="Normal"/>
              <w:spacing w:after="100"/>
              <w:jc w:val="center"/>
              <w:textAlignment w:val="center"/>
            </w:pPr>
            <w:r>
              <w:rPr>
                <w:b w:val="false"/>
              </w:rPr>
              <w:t>2669 kW</w:t>
            </w:r>
          </w:p>
        </w:tc>
        <w:tc>
          <w:tcPr>
            <w:vAlign w:val="center"/>
          </w:tcPr>
          <w:p>
            <w:pPr>
              <w:pStyle w:val="Normal"/>
              <w:spacing w:after="100"/>
              <w:jc w:val="center"/>
              <w:textAlignment w:val="center"/>
            </w:pPr>
            <w:r>
              <w:rPr>
                <w:b w:val="false"/>
              </w:rPr>
              <w:t>1.155</w:t>
            </w:r>
          </w:p>
        </w:tc>
      </w:tr>
    </w:tbl>
    <w:bookmarkEnd w:id="32"/>
    <w:bookmarkEnd w:id="34"/>
    <w:p w14:paraId="50B5785F" w14:textId="77777777" w:rsidR="00D676A2" w:rsidRPr="0098155F" w:rsidRDefault="00D676A2" w:rsidP="00782321">
      <w:pPr>
        <w:pStyle w:val="Title2"/>
        <w:rPr>
          <w:rFonts w:cs="Arial"/>
          <w:lang w:val="en-US"/>
        </w:rPr>
      </w:pPr>
    </w:p>
    <w:p w14:paraId="45E45F5F" w14:textId="3EFED16F" w:rsidR="00782321" w:rsidRPr="0098155F" w:rsidRDefault="00782321" w:rsidP="00782321">
      <w:pPr>
        <w:pStyle w:val="Title2"/>
        <w:rPr>
          <w:rFonts w:cs="Arial"/>
          <w:lang w:val="en-US"/>
        </w:rPr>
      </w:pPr>
      <w:r>
        <w:rPr>
          <w:rFonts w:ascii="Arial" w:hAnsi="Arial" w:cs="Arial" w:eastAsia="Arial"/>
          <w:b w:val="false"/>
          <w:sz w:val="28"/>
        </w:rPr>
        <w:t xml:space="preserve">4.6. </w:t>
      </w:r>
      <w:bookmarkStart w:id="16" w:name="16"/>
      <w:r>
        <w:rPr>
          <w:rFonts w:ascii="Arial" w:hAnsi="Arial" w:cs="Arial" w:eastAsia="Arial"/>
          <w:b w:val="false"/>
          <w:sz w:val="28"/>
        </w:rPr>
        <w:t>Power transformer</w:t>
      </w:r>
      <w:bookmarkEnd w:id="16"/>
    </w:p>
    <w:p w14:paraId="652B8DBC" w14:textId="77777777" w:rsidR="00782321" w:rsidRPr="0098155F" w:rsidRDefault="00782321" w:rsidP="00782321">
      <w:pPr>
        <w:pStyle w:val="paragraph"/>
        <w:rPr>
          <w:rFonts w:ascii="Arial" w:hAnsi="Arial" w:cs="Arial"/>
          <w:lang w:val="en-US"/>
        </w:rPr>
      </w:pPr>
      <w:r>
        <w:rPr>
          <w:b w:val="false"/>
        </w:rPr>
        <w:t>The power transformer raises the voltage of the inverter AC output to achieve a higher efficiency transmission in the power lines of the photovoltaic plant. An example of a power transformer is shown in Figure 13.</w:t>
      </w:r>
    </w:p>
    <w:p w14:paraId="52E95769" w14:textId="77777777" w:rsidR="00782321" w:rsidRPr="0098155F" w:rsidRDefault="00782321" w:rsidP="00782321">
      <w:pPr>
        <w:pStyle w:val="paragraph"/>
        <w:jc w:val="center"/>
        <w:rPr>
          <w:rFonts w:ascii="Arial" w:hAnsi="Arial" w:cs="Arial"/>
          <w:lang w:val="en-US"/>
        </w:rPr>
      </w:pPr>
      <w:r>
        <w:drawing>
          <wp:inline distT="0" distR="0" distB="0" distL="0">
            <wp:extent cx="1943100" cy="1892300"/>
            <wp:docPr id="16" name="Drawing 16" descr="Transformer.png"/>
            <a:graphic xmlns:a="http://schemas.openxmlformats.org/drawingml/2006/main">
              <a:graphicData uri="http://schemas.openxmlformats.org/drawingml/2006/picture">
                <pic:pic xmlns:pic="http://schemas.openxmlformats.org/drawingml/2006/picture">
                  <pic:nvPicPr>
                    <pic:cNvPr id="0" name="Picture 16" descr="Transformer.png"/>
                    <pic:cNvPicPr>
                      <a:picLocks noChangeAspect="true"/>
                    </pic:cNvPicPr>
                  </pic:nvPicPr>
                  <pic:blipFill>
                    <a:blip r:embed="rId29"/>
                    <a:stretch>
                      <a:fillRect/>
                    </a:stretch>
                  </pic:blipFill>
                  <pic:spPr>
                    <a:xfrm>
                      <a:off x="0" y="0"/>
                      <a:ext cx="1943100" cy="1892300"/>
                    </a:xfrm>
                    <a:prstGeom prst="rect">
                      <a:avLst/>
                    </a:prstGeom>
                  </pic:spPr>
                </pic:pic>
              </a:graphicData>
            </a:graphic>
          </wp:inline>
        </w:drawing>
      </w:r>
    </w:p>
    <w:p w14:paraId="5CCB497C" w14:textId="77777777" w:rsidR="00782321" w:rsidRPr="0098155F" w:rsidRDefault="00782321" w:rsidP="00782321">
      <w:pPr>
        <w:pStyle w:val="NameTableImg"/>
        <w:rPr>
          <w:rFonts w:cs="Arial"/>
          <w:lang w:val="en-US"/>
        </w:rPr>
      </w:pPr>
      <w:r>
        <w:rPr>
          <w:b w:val="false"/>
          <w:i w:val="true"/>
        </w:rPr>
        <w:t>Figure 13. Example of power transformer</w:t>
      </w:r>
    </w:p>
    <w:p w14:paraId="7DCEFAED" w14:textId="77777777" w:rsidR="00782321" w:rsidRPr="0098155F" w:rsidRDefault="00782321" w:rsidP="00782321">
      <w:pPr>
        <w:pStyle w:val="Title2"/>
        <w:rPr>
          <w:rFonts w:cs="Arial"/>
          <w:lang w:val="en-US"/>
        </w:rPr>
      </w:pPr>
      <w:r>
        <w:rPr>
          <w:rFonts w:ascii="Arial" w:hAnsi="Arial" w:cs="Arial" w:eastAsia="Arial"/>
          <w:b w:val="false"/>
          <w:sz w:val="28"/>
        </w:rPr>
        <w:t xml:space="preserve">4.7. </w:t>
      </w:r>
      <w:bookmarkStart w:id="17" w:name="17"/>
      <w:r>
        <w:rPr>
          <w:rFonts w:ascii="Arial" w:hAnsi="Arial" w:cs="Arial" w:eastAsia="Arial"/>
          <w:b w:val="false"/>
          <w:sz w:val="28"/>
        </w:rPr>
        <w:t>Power Station</w:t>
      </w:r>
      <w:bookmarkEnd w:id="17"/>
    </w:p>
    <w:p w14:paraId="087D50FC" w14:textId="77777777" w:rsidR="00782321" w:rsidRPr="0098155F" w:rsidRDefault="00782321" w:rsidP="00782321">
      <w:pPr>
        <w:pStyle w:val="paragraph"/>
        <w:rPr>
          <w:rFonts w:ascii="Arial" w:hAnsi="Arial" w:cs="Arial"/>
          <w:lang w:val="en-US"/>
        </w:rPr>
      </w:pPr>
      <w:r>
        <w:rPr>
          <w:b w:val="false"/>
        </w:rPr>
        <w:t>The power stations or transformer stations are indoor buildings or containers. The voltage of the energy collected from the solar field is increased to a higher level to facilitate the evacuation of the generated energy.</w:t>
      </w:r>
    </w:p>
    <w:p w14:paraId="57DFCA18" w14:textId="77777777" w:rsidR="00782321" w:rsidRPr="0098155F" w:rsidRDefault="00782321" w:rsidP="00782321">
      <w:pPr>
        <w:pStyle w:val="paragraph"/>
        <w:rPr>
          <w:rFonts w:ascii="Arial" w:hAnsi="Arial" w:cs="Arial"/>
          <w:lang w:val="en-US"/>
        </w:rPr>
      </w:pPr>
      <w:r>
        <w:rPr>
          <w:b w:val="false"/>
        </w:rPr>
        <w:t xml:space="preserve">The inverters and power transformers will be housed in the power station. </w:t>
      </w:r>
    </w:p>
    <w:p w14:paraId="4DE5035D" w14:textId="77777777" w:rsidR="00782321" w:rsidRPr="0098155F" w:rsidRDefault="00782321" w:rsidP="00782321">
      <w:pPr>
        <w:pStyle w:val="paragraph"/>
        <w:rPr>
          <w:rFonts w:ascii="Arial" w:hAnsi="Arial" w:cs="Arial"/>
          <w:lang w:val="en-US"/>
        </w:rPr>
      </w:pPr>
      <w:r>
        <w:rPr>
          <w:b w:val="false"/>
        </w:rPr>
        <w:t>An example of an Indoors power station is shown in Figure 14.</w:t>
      </w:r>
    </w:p>
    <w:p w14:paraId="65BED7EE" w14:textId="77777777" w:rsidR="00782321" w:rsidRPr="0098155F" w:rsidRDefault="00782321" w:rsidP="00782321">
      <w:pPr>
        <w:pStyle w:val="paragraph"/>
        <w:jc w:val="center"/>
        <w:rPr>
          <w:rFonts w:ascii="Arial" w:hAnsi="Arial" w:cs="Arial"/>
          <w:lang w:val="en-US"/>
        </w:rPr>
      </w:pPr>
      <w:r>
        <w:drawing>
          <wp:inline distT="0" distR="0" distB="0" distL="0">
            <wp:extent cx="3238500" cy="1943100"/>
            <wp:docPr id="17" name="Drawing 17" descr="Indoor power station.png"/>
            <a:graphic xmlns:a="http://schemas.openxmlformats.org/drawingml/2006/main">
              <a:graphicData uri="http://schemas.openxmlformats.org/drawingml/2006/picture">
                <pic:pic xmlns:pic="http://schemas.openxmlformats.org/drawingml/2006/picture">
                  <pic:nvPicPr>
                    <pic:cNvPr id="0" name="Picture 17" descr="Indoor power station.png"/>
                    <pic:cNvPicPr>
                      <a:picLocks noChangeAspect="true"/>
                    </pic:cNvPicPr>
                  </pic:nvPicPr>
                  <pic:blipFill>
                    <a:blip r:embed="rId30"/>
                    <a:stretch>
                      <a:fillRect/>
                    </a:stretch>
                  </pic:blipFill>
                  <pic:spPr>
                    <a:xfrm>
                      <a:off x="0" y="0"/>
                      <a:ext cx="3238500" cy="1943100"/>
                    </a:xfrm>
                    <a:prstGeom prst="rect">
                      <a:avLst/>
                    </a:prstGeom>
                  </pic:spPr>
                </pic:pic>
              </a:graphicData>
            </a:graphic>
          </wp:inline>
        </w:drawing>
      </w:r>
    </w:p>
    <w:p w14:paraId="64010F2E" w14:textId="77777777" w:rsidR="00782321" w:rsidRPr="0098155F" w:rsidRDefault="00782321" w:rsidP="00782321">
      <w:pPr>
        <w:pStyle w:val="NameTableImg"/>
        <w:rPr>
          <w:rFonts w:cs="Arial"/>
          <w:lang w:val="en-US"/>
        </w:rPr>
      </w:pPr>
      <w:r>
        <w:rPr>
          <w:b w:val="false"/>
          <w:i w:val="true"/>
        </w:rPr>
        <w:t>Figure 14. Example of an Indoors power station</w:t>
      </w:r>
    </w:p>
    <w:p w14:paraId="17B04735" w14:textId="77777777" w:rsidR="00782321" w:rsidRPr="0098155F" w:rsidRDefault="00782321" w:rsidP="00782321">
      <w:pPr>
        <w:pStyle w:val="paragraph"/>
        <w:rPr>
          <w:rFonts w:ascii="Arial" w:hAnsi="Arial" w:cs="Arial"/>
          <w:lang w:val="en-US"/>
        </w:rPr>
      </w:pPr>
      <w:r w:rsidRPr="0098155F">
        <w:rPr>
          <w:rFonts w:ascii="Arial" w:hAnsi="Arial" w:cs="Arial"/>
          <w:lang w:val="en-US"/>
        </w:rPr>
        <w:t>The power station shall be supplied with medium voltage switchgears that include one transformer protection unit, one direct incoming feeder unit, one direct outcoming feeder unit and electrical boards. Particularly, for the first power station of each MV line, a direct incoming unit will not be installed.</w:t>
      </w:r>
    </w:p>
    <w:p w14:paraId="60A87A85" w14:textId="77777777" w:rsidR="00782321" w:rsidRPr="0098155F" w:rsidRDefault="00782321" w:rsidP="00782321">
      <w:pPr>
        <w:pStyle w:val="paragraph"/>
        <w:rPr>
          <w:rFonts w:ascii="Arial" w:hAnsi="Arial" w:cs="Arial"/>
          <w:lang w:val="en-US"/>
        </w:rPr>
      </w:pPr>
      <w:r>
        <w:rPr>
          <w:b w:val="false"/>
        </w:rPr>
        <w:t>The common features of the power stations are shown in Table 15.</w:t>
      </w:r>
    </w:p>
    <w:p w14:paraId="3A7117FC" w14:textId="77777777" w:rsidR="00782321" w:rsidRPr="0098155F" w:rsidRDefault="00782321" w:rsidP="00782321">
      <w:pPr>
        <w:pStyle w:val="NameTableImg"/>
        <w:rPr>
          <w:rFonts w:cs="Arial"/>
          <w:lang w:val="en-US"/>
        </w:rPr>
      </w:pPr>
      <w:r>
        <w:rPr>
          <w:b w:val="false"/>
          <w:i w:val="true"/>
        </w:rPr>
        <w:t>Table 15. Power station common characteristics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BB5186" w:rsidRPr="00BB5186" w14:paraId="06CF9F74" w14:textId="77777777" w:rsidTr="00BB5186">
        <w:trPr>
          <w:jc w:val="center"/>
        </w:trPr>
        <w:tc>
          <w:tcPr>
            <w:tcW w:w="7938" w:type="dxa"/>
            <w:gridSpan w:val="2"/>
            <w:shd w:val="clear" w:color="auto" w:fill="989E95"/>
            <w:vAlign w:val="center"/>
          </w:tcPr>
          <w:p w14:paraId="1FB1E5F5" w14:textId="77777777" w:rsidR="00782321" w:rsidRPr="00BB5186" w:rsidRDefault="00782321" w:rsidP="00C020F3">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Power station characteristics</w:t>
            </w:r>
          </w:p>
        </w:tc>
      </w:tr>
      <w:tr w:rsidR="00782321" w:rsidRPr="0098155F" w14:paraId="42E0F7C0" w14:textId="77777777" w:rsidTr="0048682E">
        <w:trPr>
          <w:trHeight w:val="340"/>
          <w:jc w:val="center"/>
        </w:trPr>
        <w:tc>
          <w:tcPr>
            <w:tcW w:w="3969" w:type="dxa"/>
            <w:shd w:val="clear" w:color="auto" w:fill="auto"/>
            <w:vAlign w:val="center"/>
          </w:tcPr>
          <w:p w14:paraId="6624E880" w14:textId="77777777" w:rsidR="00782321" w:rsidRPr="0048682E" w:rsidRDefault="00782321" w:rsidP="00C020F3">
            <w:pPr>
              <w:spacing w:after="100"/>
              <w:textAlignment w:val="center"/>
              <w:rPr>
                <w:rFonts w:ascii="Arial" w:hAnsi="Arial" w:cs="Arial"/>
                <w:sz w:val="24"/>
                <w:szCs w:val="24"/>
                <w:lang w:val="en-US"/>
              </w:rPr>
            </w:pPr>
            <w:r w:rsidRPr="0048682E">
              <w:rPr>
                <w:rFonts w:ascii="Arial" w:hAnsi="Arial" w:cs="Arial"/>
                <w:sz w:val="24"/>
                <w:szCs w:val="24"/>
                <w:lang w:val="en-US"/>
              </w:rPr>
              <w:t>Voltage ratio</w:t>
            </w:r>
          </w:p>
        </w:tc>
        <w:tc>
          <w:tcPr>
            <w:tcW w:w="3969" w:type="dxa"/>
            <w:shd w:val="clear" w:color="auto" w:fill="auto"/>
            <w:vAlign w:val="center"/>
          </w:tcPr>
          <w:p w14:paraId="30F85BA8" w14:textId="77777777" w:rsidR="00782321" w:rsidRPr="0048682E" w:rsidRDefault="00782321" w:rsidP="00C020F3">
            <w:pPr>
              <w:pStyle w:val=""/>
              <w:spacing w:after="100"/>
              <w:jc w:val="right"/>
              <w:textAlignment w:val="center"/>
              <w:rPr>
                <w:rFonts w:ascii="Arial" w:hAnsi="Arial" w:cs="Arial"/>
                <w:sz w:val="24"/>
                <w:szCs w:val="24"/>
                <w:lang w:val="en-US"/>
              </w:rPr>
            </w:pPr>
            <w:r>
              <w:rPr>
                <w:b w:val="false"/>
              </w:rPr>
              <w:t>0.63/20.0kV</w:t>
            </w:r>
          </w:p>
        </w:tc>
      </w:tr>
      <w:tr w:rsidR="00782321" w:rsidRPr="0098155F" w14:paraId="4A9FEF71" w14:textId="77777777" w:rsidTr="0048682E">
        <w:trPr>
          <w:trHeight w:val="340"/>
          <w:jc w:val="center"/>
        </w:trPr>
        <w:tc>
          <w:tcPr>
            <w:tcW w:w="3969" w:type="dxa"/>
            <w:shd w:val="clear" w:color="auto" w:fill="auto"/>
            <w:vAlign w:val="center"/>
          </w:tcPr>
          <w:p w14:paraId="4B8D51AC" w14:textId="77777777" w:rsidR="00782321" w:rsidRPr="0048682E" w:rsidRDefault="00782321" w:rsidP="00C020F3">
            <w:pPr>
              <w:spacing w:after="100"/>
              <w:textAlignment w:val="center"/>
              <w:rPr>
                <w:rFonts w:ascii="Arial" w:hAnsi="Arial" w:cs="Arial"/>
                <w:sz w:val="24"/>
                <w:szCs w:val="24"/>
                <w:lang w:val="en-US"/>
              </w:rPr>
            </w:pPr>
            <w:r w:rsidRPr="0048682E">
              <w:rPr>
                <w:rFonts w:ascii="Arial" w:hAnsi="Arial" w:cs="Arial"/>
                <w:sz w:val="24"/>
                <w:szCs w:val="24"/>
                <w:lang w:val="en-US"/>
              </w:rPr>
              <w:t>Transformers cooling system</w:t>
            </w:r>
          </w:p>
        </w:tc>
        <w:tc>
          <w:tcPr>
            <w:tcW w:w="3969" w:type="dxa"/>
            <w:shd w:val="clear" w:color="auto" w:fill="auto"/>
            <w:vAlign w:val="center"/>
          </w:tcPr>
          <w:p w14:paraId="078313EC" w14:textId="77777777" w:rsidR="00782321" w:rsidRPr="0048682E" w:rsidRDefault="00782321" w:rsidP="00C020F3">
            <w:pPr>
              <w:spacing w:after="100"/>
              <w:jc w:val="right"/>
              <w:textAlignment w:val="center"/>
              <w:rPr>
                <w:rFonts w:ascii="Arial" w:hAnsi="Arial" w:cs="Arial"/>
                <w:sz w:val="24"/>
                <w:szCs w:val="24"/>
                <w:lang w:val="en-US"/>
              </w:rPr>
            </w:pPr>
            <w:r w:rsidRPr="0048682E">
              <w:rPr>
                <w:rFonts w:ascii="Arial" w:hAnsi="Arial" w:cs="Arial"/>
                <w:sz w:val="24"/>
                <w:szCs w:val="24"/>
                <w:lang w:val="en-US"/>
              </w:rPr>
              <w:t>ONAN</w:t>
            </w:r>
          </w:p>
        </w:tc>
      </w:tr>
      <w:tr w:rsidR="00782321" w:rsidRPr="0098155F" w14:paraId="5FD89CEE" w14:textId="77777777" w:rsidTr="0048682E">
        <w:trPr>
          <w:trHeight w:val="340"/>
          <w:jc w:val="center"/>
        </w:trPr>
        <w:tc>
          <w:tcPr>
            <w:tcW w:w="3969" w:type="dxa"/>
            <w:shd w:val="clear" w:color="auto" w:fill="auto"/>
            <w:vAlign w:val="center"/>
          </w:tcPr>
          <w:p w14:paraId="74B1B06B" w14:textId="77777777" w:rsidR="00782321" w:rsidRPr="0048682E" w:rsidRDefault="00782321" w:rsidP="00C020F3">
            <w:pPr>
              <w:spacing w:after="100"/>
              <w:textAlignment w:val="center"/>
              <w:rPr>
                <w:rFonts w:ascii="Arial" w:hAnsi="Arial" w:cs="Arial"/>
                <w:sz w:val="24"/>
                <w:szCs w:val="24"/>
                <w:lang w:val="en-US"/>
              </w:rPr>
            </w:pPr>
            <w:r w:rsidRPr="0048682E">
              <w:rPr>
                <w:rFonts w:ascii="Arial" w:hAnsi="Arial" w:cs="Arial"/>
                <w:sz w:val="24"/>
                <w:szCs w:val="24"/>
                <w:lang w:val="en-US"/>
              </w:rPr>
              <w:t>Transformers tap changer</w:t>
            </w:r>
          </w:p>
        </w:tc>
        <w:tc>
          <w:tcPr>
            <w:tcW w:w="3969" w:type="dxa"/>
            <w:shd w:val="clear" w:color="auto" w:fill="auto"/>
            <w:vAlign w:val="center"/>
          </w:tcPr>
          <w:p w14:paraId="5FC9E810" w14:textId="77777777" w:rsidR="00782321" w:rsidRPr="0048682E" w:rsidRDefault="00782321" w:rsidP="00C020F3">
            <w:pPr>
              <w:spacing w:after="100"/>
              <w:jc w:val="right"/>
              <w:textAlignment w:val="center"/>
              <w:rPr>
                <w:rFonts w:ascii="Arial" w:hAnsi="Arial" w:cs="Arial"/>
                <w:sz w:val="24"/>
                <w:szCs w:val="24"/>
                <w:lang w:val="en-US"/>
              </w:rPr>
            </w:pPr>
            <w:r w:rsidRPr="0048682E">
              <w:rPr>
                <w:rFonts w:ascii="Arial" w:hAnsi="Arial" w:cs="Arial"/>
                <w:sz w:val="24"/>
                <w:szCs w:val="24"/>
                <w:lang w:val="en-US"/>
              </w:rPr>
              <w:t>2.5%, 5%, 7.5%, 10%</w:t>
            </w:r>
          </w:p>
        </w:tc>
      </w:tr>
      <w:tr w:rsidR="00782321" w:rsidRPr="0098155F" w14:paraId="2AB05373" w14:textId="77777777" w:rsidTr="0048682E">
        <w:trPr>
          <w:trHeight w:val="340"/>
          <w:jc w:val="center"/>
        </w:trPr>
        <w:tc>
          <w:tcPr>
            <w:tcW w:w="3969" w:type="dxa"/>
            <w:shd w:val="clear" w:color="auto" w:fill="auto"/>
            <w:vAlign w:val="center"/>
          </w:tcPr>
          <w:p w14:paraId="14093E9D" w14:textId="77777777" w:rsidR="00782321" w:rsidRPr="0048682E" w:rsidRDefault="00782321" w:rsidP="00C020F3">
            <w:pPr>
              <w:spacing w:after="100"/>
              <w:textAlignment w:val="center"/>
              <w:rPr>
                <w:rFonts w:ascii="Arial" w:hAnsi="Arial" w:cs="Arial"/>
                <w:sz w:val="24"/>
                <w:szCs w:val="24"/>
                <w:lang w:val="en-US"/>
              </w:rPr>
            </w:pPr>
            <w:r w:rsidRPr="0048682E">
              <w:rPr>
                <w:rFonts w:ascii="Arial" w:hAnsi="Arial" w:cs="Arial"/>
                <w:sz w:val="24"/>
                <w:szCs w:val="24"/>
                <w:lang w:val="en-US"/>
              </w:rPr>
              <w:t>Service</w:t>
            </w:r>
          </w:p>
        </w:tc>
        <w:tc>
          <w:tcPr>
            <w:tcW w:w="3969" w:type="dxa"/>
            <w:shd w:val="clear" w:color="auto" w:fill="auto"/>
            <w:vAlign w:val="center"/>
          </w:tcPr>
          <w:p w14:paraId="41B3D2F2" w14:textId="77777777" w:rsidR="00782321" w:rsidRPr="0048682E" w:rsidRDefault="00782321" w:rsidP="00C020F3">
            <w:pPr>
              <w:pStyle w:val=""/>
              <w:spacing w:after="100"/>
              <w:jc w:val="right"/>
              <w:textAlignment w:val="center"/>
              <w:rPr>
                <w:rFonts w:ascii="Arial" w:hAnsi="Arial" w:cs="Arial"/>
                <w:sz w:val="24"/>
                <w:szCs w:val="24"/>
                <w:lang w:val="en-US"/>
              </w:rPr>
            </w:pPr>
            <w:r>
              <w:rPr>
                <w:b w:val="false"/>
              </w:rPr>
              <w:t>Indoors</w:t>
            </w:r>
          </w:p>
        </w:tc>
      </w:tr>
    </w:tbl>
    <w:p w14:paraId="497E2BD5" w14:textId="77777777" w:rsidR="00782321" w:rsidRPr="0098155F" w:rsidRDefault="00782321" w:rsidP="00782321">
      <w:pPr>
        <w:pStyle w:val="NameTableImg"/>
        <w:rPr>
          <w:rFonts w:cs="Arial"/>
          <w:lang w:val="en-US"/>
        </w:rPr>
      </w:pPr>
    </w:p>
    <w:p w14:paraId="0864680B" w14:textId="77777777" w:rsidR="00782321" w:rsidRPr="0098155F" w:rsidRDefault="00782321" w:rsidP="00782321">
      <w:pPr>
        <w:pStyle w:val="paragraph"/>
        <w:rPr>
          <w:rFonts w:ascii="Arial" w:hAnsi="Arial" w:cs="Arial"/>
          <w:lang w:val="en-US"/>
        </w:rPr>
      </w:pPr>
      <w:bookmarkStart w:id="35" w:name="_Hlk73001929"/>
      <w:r>
        <w:rPr>
          <w:b w:val="false"/>
        </w:rPr>
        <w:t>The characteristics of the different power stations according to their AC configuration are shown in Table 16.</w:t>
      </w:r>
    </w:p>
    <w:p w14:paraId="0EF8236C" w14:textId="77777777" w:rsidR="00782321" w:rsidRPr="0098155F" w:rsidRDefault="00782321" w:rsidP="00782321">
      <w:pPr>
        <w:pStyle w:val="NameTableImg"/>
        <w:spacing w:before="240"/>
        <w:rPr>
          <w:rFonts w:cs="Arial"/>
          <w:lang w:val="en-US"/>
        </w:rPr>
      </w:pPr>
      <w:r>
        <w:rPr>
          <w:b w:val="false"/>
          <w:i w:val="true"/>
        </w:rPr>
        <w:t>Table 16. Power stations according to the AC configuration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1890"/>
        <w:gridCol w:w="1371"/>
        <w:gridCol w:w="1417"/>
        <w:gridCol w:w="2694"/>
        <w:gridCol w:w="1559"/>
      </w:tblGrid>
      <w:tr w:rsidR="00BB5186" w:rsidRPr="00BB5186" w14:paraId="0D392115" w14:textId="77777777" w:rsidTr="00BC041F">
        <w:trPr>
          <w:jc w:val="center"/>
        </w:trPr>
        <w:tc>
          <w:tcPr>
            <w:tcW w:w="1890" w:type="dxa"/>
            <w:shd w:val="clear" w:color="auto" w:fill="989E95"/>
            <w:vAlign w:val="center"/>
          </w:tcPr>
          <w:p w14:paraId="6073AD44" w14:textId="77777777" w:rsidR="00782321" w:rsidRPr="00BB5186" w:rsidRDefault="00782321" w:rsidP="00C020F3">
            <w:pPr>
              <w:pStyle w:val="paragraph"/>
              <w:spacing w:after="100"/>
              <w:jc w:val="center"/>
              <w:textAlignment w:val="center"/>
              <w:rPr>
                <w:rFonts w:ascii="Arial" w:hAnsi="Arial" w:cs="Arial"/>
                <w:bCs/>
                <w:sz w:val="28"/>
                <w:szCs w:val="24"/>
                <w:lang w:val="en-US"/>
              </w:rPr>
            </w:pPr>
            <w:r>
              <w:rPr>
                <w:b w:val="false"/>
              </w:rPr>
              <w:t>Power stations</w:t>
            </w:r>
          </w:p>
        </w:tc>
        <w:tc>
          <w:tcPr>
            <w:tcW w:w="1371" w:type="dxa"/>
            <w:shd w:val="clear" w:color="auto" w:fill="989E95"/>
            <w:vAlign w:val="center"/>
          </w:tcPr>
          <w:p w14:paraId="50CAEB09" w14:textId="77777777" w:rsidR="00782321" w:rsidRPr="00BB5186" w:rsidRDefault="00782321" w:rsidP="00C020F3">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Quantity</w:t>
            </w:r>
          </w:p>
        </w:tc>
        <w:tc>
          <w:tcPr>
            <w:tcW w:w="1417" w:type="dxa"/>
            <w:shd w:val="clear" w:color="auto" w:fill="989E95"/>
            <w:vAlign w:val="center"/>
          </w:tcPr>
          <w:p w14:paraId="13A7903D" w14:textId="77777777" w:rsidR="00782321" w:rsidRPr="00BB5186" w:rsidRDefault="00782321" w:rsidP="00C020F3">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Num Inverters</w:t>
            </w:r>
          </w:p>
        </w:tc>
        <w:tc>
          <w:tcPr>
            <w:tcW w:w="2694" w:type="dxa"/>
            <w:shd w:val="clear" w:color="auto" w:fill="989E95"/>
            <w:vAlign w:val="center"/>
          </w:tcPr>
          <w:p w14:paraId="1E553114" w14:textId="77777777" w:rsidR="00782321" w:rsidRPr="00BB5186" w:rsidRDefault="00782321" w:rsidP="00C020F3">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Transformers configuration</w:t>
            </w:r>
          </w:p>
        </w:tc>
        <w:tc>
          <w:tcPr>
            <w:tcW w:w="1559" w:type="dxa"/>
            <w:shd w:val="clear" w:color="auto" w:fill="989E95"/>
            <w:vAlign w:val="center"/>
          </w:tcPr>
          <w:p w14:paraId="45489997" w14:textId="67B3BC8E" w:rsidR="00782321" w:rsidRPr="00BB5186" w:rsidRDefault="00782321" w:rsidP="00C020F3">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Short circuit (</w:t>
            </w:r>
            <w:proofErr w:type="spellStart"/>
            <w:r w:rsidR="00236B1A" w:rsidRPr="00BB5186">
              <w:rPr>
                <w:rFonts w:ascii="Arial" w:hAnsi="Arial" w:cs="Arial"/>
                <w:bCs/>
                <w:sz w:val="28"/>
                <w:szCs w:val="24"/>
                <w:lang w:val="en-US"/>
              </w:rPr>
              <w:t>Z</w:t>
            </w:r>
            <w:r w:rsidRPr="00BB5186">
              <w:rPr>
                <w:rFonts w:ascii="Arial" w:hAnsi="Arial" w:cs="Arial"/>
                <w:bCs/>
                <w:sz w:val="28"/>
                <w:szCs w:val="24"/>
                <w:lang w:val="en-US"/>
              </w:rPr>
              <w:t>cc</w:t>
            </w:r>
            <w:proofErr w:type="spellEnd"/>
            <w:r w:rsidRPr="00BB5186">
              <w:rPr>
                <w:rFonts w:ascii="Arial" w:hAnsi="Arial" w:cs="Arial"/>
                <w:bCs/>
                <w:sz w:val="28"/>
                <w:szCs w:val="24"/>
                <w:lang w:val="en-US"/>
              </w:rPr>
              <w:t>)</w:t>
            </w:r>
          </w:p>
        </w:tc>
      </w:tr>
      <w:tr>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6</w:t>
            </w:r>
          </w:p>
        </w:tc>
        <w:tc>
          <w:tcPr>
            <w:vAlign w:val="center"/>
          </w:tcPr>
          <w:p>
            <w:pPr>
              <w:pStyle w:val="Normal"/>
              <w:spacing w:after="100"/>
              <w:jc w:val="center"/>
              <w:textAlignment w:val="center"/>
            </w:pPr>
            <w:r>
              <w:rPr>
                <w:b w:val="false"/>
              </w:rPr>
              <w:t>2(4.62 MVA)</w:t>
            </w:r>
          </w:p>
        </w:tc>
        <w:tc>
          <w:tcPr>
            <w:vAlign w:val="center"/>
          </w:tcPr>
          <w:p>
            <w:pPr>
              <w:pStyle w:val="Normal"/>
              <w:spacing w:after="100"/>
              <w:jc w:val="center"/>
              <w:textAlignment w:val="center"/>
            </w:pPr>
            <w:r>
              <w:rPr>
                <w:b w:val="false"/>
              </w:rPr>
              <w:t>1 two-winding transformer of 4.62 MVA</w:t>
            </w:r>
          </w:p>
        </w:tc>
        <w:tc>
          <w:tcPr>
            <w:vAlign w:val="center"/>
          </w:tcPr>
          <w:p>
            <w:pPr>
              <w:pStyle w:val="Normal"/>
              <w:spacing w:after="100"/>
              <w:jc w:val="center"/>
              <w:textAlignment w:val="center"/>
            </w:pPr>
            <w:r>
              <w:rPr>
                <w:b w:val="false"/>
              </w:rPr>
              <w:t>0.080</w:t>
            </w:r>
          </w:p>
        </w:tc>
      </w:tr>
      <w:tr>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1(2.31 MVA)</w:t>
            </w:r>
          </w:p>
        </w:tc>
        <w:tc>
          <w:tcPr>
            <w:vAlign w:val="center"/>
          </w:tcPr>
          <w:p>
            <w:pPr>
              <w:pStyle w:val="Normal"/>
              <w:spacing w:after="100"/>
              <w:jc w:val="center"/>
              <w:textAlignment w:val="center"/>
            </w:pPr>
            <w:r>
              <w:rPr>
                <w:b w:val="false"/>
              </w:rPr>
              <w:t>1 two-winding transformer of 2.31 MVA</w:t>
            </w:r>
          </w:p>
        </w:tc>
        <w:tc>
          <w:tcPr>
            <w:vAlign w:val="center"/>
          </w:tcPr>
          <w:p>
            <w:pPr>
              <w:pStyle w:val="Normal"/>
              <w:spacing w:after="100"/>
              <w:jc w:val="center"/>
              <w:textAlignment w:val="center"/>
            </w:pPr>
            <w:r>
              <w:rPr>
                <w:b w:val="false"/>
              </w:rPr>
              <w:t>0.080</w:t>
            </w:r>
          </w:p>
        </w:tc>
      </w:tr>
    </w:tbl>
    <w:p w14:paraId="63B6D355" w14:textId="77777777" w:rsidR="00782321" w:rsidRPr="0098155F" w:rsidRDefault="00782321" w:rsidP="00782321">
      <w:pPr>
        <w:pStyle w:val="NameTableImg"/>
        <w:spacing w:before="240"/>
        <w:jc w:val="left"/>
        <w:rPr>
          <w:rFonts w:cs="Arial"/>
          <w:lang w:val="en-US"/>
        </w:rPr>
      </w:pPr>
    </w:p>
    <w:p w14:paraId="77D64043" w14:textId="77777777" w:rsidR="00782321" w:rsidRPr="0098155F" w:rsidRDefault="00782321" w:rsidP="00782321">
      <w:pPr>
        <w:pStyle w:val="paragraph"/>
        <w:rPr>
          <w:rFonts w:ascii="Arial" w:hAnsi="Arial" w:cs="Arial"/>
          <w:lang w:val="en-US"/>
        </w:rPr>
      </w:pPr>
      <w:r>
        <w:rPr>
          <w:b w:val="false"/>
        </w:rPr>
        <w:t>The different types of power stations according to the DC field associated to them are shown in Table 17.</w:t>
      </w:r>
    </w:p>
    <w:bookmarkEnd w:id="35"/>
    <w:p w14:paraId="11E15F84" w14:textId="77777777" w:rsidR="00D676A2" w:rsidRPr="0098155F" w:rsidRDefault="00D676A2" w:rsidP="00D676A2">
      <w:pPr>
        <w:pStyle w:val="NameTableImg"/>
        <w:spacing w:before="240"/>
        <w:rPr>
          <w:rFonts w:cs="Arial"/>
          <w:lang w:val="en-US"/>
        </w:rPr>
      </w:pPr>
      <w:r>
        <w:rPr>
          <w:b w:val="false"/>
          <w:i w:val="true"/>
        </w:rPr>
        <w:t>Table 17. Power stations according to the DC field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2127"/>
        <w:gridCol w:w="1275"/>
        <w:gridCol w:w="1418"/>
        <w:gridCol w:w="1134"/>
        <w:gridCol w:w="1418"/>
        <w:gridCol w:w="1559"/>
      </w:tblGrid>
      <w:tr w:rsidR="00BB5186" w:rsidRPr="00BB5186" w14:paraId="40A07D9A" w14:textId="77777777" w:rsidTr="00BC041F">
        <w:trPr>
          <w:jc w:val="center"/>
        </w:trPr>
        <w:tc>
          <w:tcPr>
            <w:tcW w:w="2127" w:type="dxa"/>
            <w:shd w:val="clear" w:color="auto" w:fill="989E95"/>
            <w:vAlign w:val="center"/>
          </w:tcPr>
          <w:p w14:paraId="0E19F331" w14:textId="77777777" w:rsidR="00D676A2" w:rsidRPr="00BB5186" w:rsidRDefault="00D676A2" w:rsidP="00C14CED">
            <w:pPr>
              <w:pStyle w:val="paragraph"/>
              <w:spacing w:after="100"/>
              <w:jc w:val="center"/>
              <w:textAlignment w:val="center"/>
              <w:rPr>
                <w:rFonts w:ascii="Arial" w:hAnsi="Arial" w:cs="Arial"/>
                <w:bCs/>
                <w:sz w:val="28"/>
                <w:szCs w:val="24"/>
                <w:lang w:val="en-US"/>
              </w:rPr>
            </w:pPr>
            <w:r>
              <w:rPr>
                <w:b w:val="false"/>
              </w:rPr>
              <w:t>Power stations</w:t>
            </w:r>
          </w:p>
        </w:tc>
        <w:tc>
          <w:tcPr>
            <w:tcW w:w="1275" w:type="dxa"/>
            <w:shd w:val="clear" w:color="auto" w:fill="989E95"/>
            <w:vAlign w:val="center"/>
          </w:tcPr>
          <w:p w14:paraId="14936709" w14:textId="77777777" w:rsidR="00D676A2" w:rsidRPr="00BB5186" w:rsidRDefault="00D676A2" w:rsidP="00C14CED">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Quantity</w:t>
            </w:r>
          </w:p>
        </w:tc>
        <w:tc>
          <w:tcPr>
            <w:tcW w:w="1418" w:type="dxa"/>
            <w:shd w:val="clear" w:color="auto" w:fill="989E95"/>
            <w:vAlign w:val="center"/>
          </w:tcPr>
          <w:p w14:paraId="75E47BA3" w14:textId="77777777" w:rsidR="00D676A2" w:rsidRPr="00BB5186" w:rsidRDefault="00D676A2" w:rsidP="00C14CED">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Num Inverters</w:t>
            </w:r>
          </w:p>
        </w:tc>
        <w:tc>
          <w:tcPr>
            <w:tcW w:w="1134" w:type="dxa"/>
            <w:shd w:val="clear" w:color="auto" w:fill="989E95"/>
            <w:vAlign w:val="center"/>
          </w:tcPr>
          <w:p w14:paraId="59682555" w14:textId="77777777" w:rsidR="00D676A2" w:rsidRPr="00BB5186" w:rsidRDefault="00D676A2" w:rsidP="00C14CED">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Power AC</w:t>
            </w:r>
          </w:p>
        </w:tc>
        <w:tc>
          <w:tcPr>
            <w:tcW w:w="1418" w:type="dxa"/>
            <w:shd w:val="clear" w:color="auto" w:fill="989E95"/>
            <w:vAlign w:val="center"/>
          </w:tcPr>
          <w:p w14:paraId="0B6D174E" w14:textId="77777777" w:rsidR="00D676A2" w:rsidRPr="00BB5186" w:rsidRDefault="00D676A2" w:rsidP="00C14CED">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Power DC</w:t>
            </w:r>
          </w:p>
        </w:tc>
        <w:tc>
          <w:tcPr>
            <w:tcW w:w="1559" w:type="dxa"/>
            <w:shd w:val="clear" w:color="auto" w:fill="989E95"/>
            <w:vAlign w:val="center"/>
          </w:tcPr>
          <w:p w14:paraId="7323D49D" w14:textId="77777777" w:rsidR="00D676A2" w:rsidRPr="00BB5186" w:rsidRDefault="00D676A2" w:rsidP="00C14CED">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DC/AC ratio</w:t>
            </w:r>
          </w:p>
        </w:tc>
      </w:tr>
      <w:tr>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4.62 MW</w:t>
            </w:r>
          </w:p>
        </w:tc>
        <w:tc>
          <w:tcPr>
            <w:vAlign w:val="center"/>
          </w:tcPr>
          <w:p>
            <w:pPr>
              <w:pStyle w:val="Normal"/>
              <w:spacing w:after="100"/>
              <w:jc w:val="center"/>
              <w:textAlignment w:val="center"/>
            </w:pPr>
            <w:r>
              <w:rPr>
                <w:b w:val="false"/>
              </w:rPr>
              <w:t>6.222 MW</w:t>
            </w:r>
          </w:p>
        </w:tc>
        <w:tc>
          <w:tcPr>
            <w:vAlign w:val="center"/>
          </w:tcPr>
          <w:p>
            <w:pPr>
              <w:pStyle w:val="Normal"/>
              <w:spacing w:after="100"/>
              <w:jc w:val="center"/>
              <w:textAlignment w:val="center"/>
            </w:pPr>
            <w:r>
              <w:rPr>
                <w:b w:val="false"/>
              </w:rPr>
              <w:t>1.347</w:t>
            </w:r>
          </w:p>
        </w:tc>
      </w:tr>
      <w:tr>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4.62 MW</w:t>
            </w:r>
          </w:p>
        </w:tc>
        <w:tc>
          <w:tcPr>
            <w:vAlign w:val="center"/>
          </w:tcPr>
          <w:p>
            <w:pPr>
              <w:pStyle w:val="Normal"/>
              <w:spacing w:after="100"/>
              <w:jc w:val="center"/>
              <w:textAlignment w:val="center"/>
            </w:pPr>
            <w:r>
              <w:rPr>
                <w:b w:val="false"/>
              </w:rPr>
              <w:t>5.658 MW</w:t>
            </w:r>
          </w:p>
        </w:tc>
        <w:tc>
          <w:tcPr>
            <w:vAlign w:val="center"/>
          </w:tcPr>
          <w:p>
            <w:pPr>
              <w:pStyle w:val="Normal"/>
              <w:spacing w:after="100"/>
              <w:jc w:val="center"/>
              <w:textAlignment w:val="center"/>
            </w:pPr>
            <w:r>
              <w:rPr>
                <w:b w:val="false"/>
              </w:rPr>
              <w:t>1.225</w:t>
            </w:r>
          </w:p>
        </w:tc>
      </w:tr>
      <w:tr>
        <w:tc>
          <w:tcPr>
            <w:vAlign w:val="center"/>
          </w:tcPr>
          <w:p>
            <w:pPr>
              <w:pStyle w:val="Normal"/>
              <w:spacing w:after="100"/>
              <w:jc w:val="center"/>
              <w:textAlignment w:val="center"/>
            </w:pPr>
            <w:r>
              <w:rPr>
                <w:b w:val="false"/>
              </w:rPr>
              <w:t>3</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4.62 MW</w:t>
            </w:r>
          </w:p>
        </w:tc>
        <w:tc>
          <w:tcPr>
            <w:vAlign w:val="center"/>
          </w:tcPr>
          <w:p>
            <w:pPr>
              <w:pStyle w:val="Normal"/>
              <w:spacing w:after="100"/>
              <w:jc w:val="center"/>
              <w:textAlignment w:val="center"/>
            </w:pPr>
            <w:r>
              <w:rPr>
                <w:b w:val="false"/>
              </w:rPr>
              <w:t>5.658 MW</w:t>
            </w:r>
          </w:p>
        </w:tc>
        <w:tc>
          <w:tcPr>
            <w:vAlign w:val="center"/>
          </w:tcPr>
          <w:p>
            <w:pPr>
              <w:pStyle w:val="Normal"/>
              <w:spacing w:after="100"/>
              <w:jc w:val="center"/>
              <w:textAlignment w:val="center"/>
            </w:pPr>
            <w:r>
              <w:rPr>
                <w:b w:val="false"/>
              </w:rPr>
              <w:t>1.225</w:t>
            </w:r>
          </w:p>
        </w:tc>
      </w:tr>
      <w:tr>
        <w:tc>
          <w:tcPr>
            <w:vAlign w:val="center"/>
          </w:tcPr>
          <w:p>
            <w:pPr>
              <w:pStyle w:val="Normal"/>
              <w:spacing w:after="100"/>
              <w:jc w:val="center"/>
              <w:textAlignment w:val="center"/>
            </w:pPr>
            <w:r>
              <w:rPr>
                <w:b w:val="false"/>
              </w:rPr>
              <w:t>4</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4.62 MW</w:t>
            </w:r>
          </w:p>
        </w:tc>
        <w:tc>
          <w:tcPr>
            <w:vAlign w:val="center"/>
          </w:tcPr>
          <w:p>
            <w:pPr>
              <w:pStyle w:val="Normal"/>
              <w:spacing w:after="100"/>
              <w:jc w:val="center"/>
              <w:textAlignment w:val="center"/>
            </w:pPr>
            <w:r>
              <w:rPr>
                <w:b w:val="false"/>
              </w:rPr>
              <w:t>5.383 MW</w:t>
            </w:r>
          </w:p>
        </w:tc>
        <w:tc>
          <w:tcPr>
            <w:vAlign w:val="center"/>
          </w:tcPr>
          <w:p>
            <w:pPr>
              <w:pStyle w:val="Normal"/>
              <w:spacing w:after="100"/>
              <w:jc w:val="center"/>
              <w:textAlignment w:val="center"/>
            </w:pPr>
            <w:r>
              <w:rPr>
                <w:b w:val="false"/>
              </w:rPr>
              <w:t>1.165</w:t>
            </w:r>
          </w:p>
        </w:tc>
      </w:tr>
      <w:tr>
        <w:tc>
          <w:tcPr>
            <w:vAlign w:val="center"/>
          </w:tcPr>
          <w:p>
            <w:pPr>
              <w:pStyle w:val="Normal"/>
              <w:spacing w:after="100"/>
              <w:jc w:val="center"/>
              <w:textAlignment w:val="center"/>
            </w:pPr>
            <w:r>
              <w:rPr>
                <w:b w:val="false"/>
              </w:rPr>
              <w:t>5</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4.62 MW</w:t>
            </w:r>
          </w:p>
        </w:tc>
        <w:tc>
          <w:tcPr>
            <w:vAlign w:val="center"/>
          </w:tcPr>
          <w:p>
            <w:pPr>
              <w:pStyle w:val="Normal"/>
              <w:spacing w:after="100"/>
              <w:jc w:val="center"/>
              <w:textAlignment w:val="center"/>
            </w:pPr>
            <w:r>
              <w:rPr>
                <w:b w:val="false"/>
              </w:rPr>
              <w:t>5.383 MW</w:t>
            </w:r>
          </w:p>
        </w:tc>
        <w:tc>
          <w:tcPr>
            <w:vAlign w:val="center"/>
          </w:tcPr>
          <w:p>
            <w:pPr>
              <w:pStyle w:val="Normal"/>
              <w:spacing w:after="100"/>
              <w:jc w:val="center"/>
              <w:textAlignment w:val="center"/>
            </w:pPr>
            <w:r>
              <w:rPr>
                <w:b w:val="false"/>
              </w:rPr>
              <w:t>1.165</w:t>
            </w:r>
          </w:p>
        </w:tc>
      </w:tr>
      <w:tr>
        <w:tc>
          <w:tcPr>
            <w:vAlign w:val="center"/>
          </w:tcPr>
          <w:p>
            <w:pPr>
              <w:pStyle w:val="Normal"/>
              <w:spacing w:after="100"/>
              <w:jc w:val="center"/>
              <w:textAlignment w:val="center"/>
            </w:pPr>
            <w:r>
              <w:rPr>
                <w:b w:val="false"/>
              </w:rPr>
              <w:t>6</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4.62 MW</w:t>
            </w:r>
          </w:p>
        </w:tc>
        <w:tc>
          <w:tcPr>
            <w:vAlign w:val="center"/>
          </w:tcPr>
          <w:p>
            <w:pPr>
              <w:pStyle w:val="Normal"/>
              <w:spacing w:after="100"/>
              <w:jc w:val="center"/>
              <w:textAlignment w:val="center"/>
            </w:pPr>
            <w:r>
              <w:rPr>
                <w:b w:val="false"/>
              </w:rPr>
              <w:t>5.368 MW</w:t>
            </w:r>
          </w:p>
        </w:tc>
        <w:tc>
          <w:tcPr>
            <w:vAlign w:val="center"/>
          </w:tcPr>
          <w:p>
            <w:pPr>
              <w:pStyle w:val="Normal"/>
              <w:spacing w:after="100"/>
              <w:jc w:val="center"/>
              <w:textAlignment w:val="center"/>
            </w:pPr>
            <w:r>
              <w:rPr>
                <w:b w:val="false"/>
              </w:rPr>
              <w:t>1.162</w:t>
            </w:r>
          </w:p>
        </w:tc>
      </w:tr>
      <w:tr>
        <w:tc>
          <w:tcPr>
            <w:vAlign w:val="center"/>
          </w:tcPr>
          <w:p>
            <w:pPr>
              <w:pStyle w:val="Normal"/>
              <w:spacing w:after="100"/>
              <w:jc w:val="center"/>
              <w:textAlignment w:val="center"/>
            </w:pPr>
            <w:r>
              <w:rPr>
                <w:b w:val="false"/>
              </w:rPr>
              <w:t>7</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2.31 MW</w:t>
            </w:r>
          </w:p>
        </w:tc>
        <w:tc>
          <w:tcPr>
            <w:vAlign w:val="center"/>
          </w:tcPr>
          <w:p>
            <w:pPr>
              <w:pStyle w:val="Normal"/>
              <w:spacing w:after="100"/>
              <w:jc w:val="center"/>
              <w:textAlignment w:val="center"/>
            </w:pPr>
            <w:r>
              <w:rPr>
                <w:b w:val="false"/>
              </w:rPr>
              <w:t>2.714 MW</w:t>
            </w:r>
          </w:p>
        </w:tc>
        <w:tc>
          <w:tcPr>
            <w:vAlign w:val="center"/>
          </w:tcPr>
          <w:p>
            <w:pPr>
              <w:pStyle w:val="Normal"/>
              <w:spacing w:after="100"/>
              <w:jc w:val="center"/>
              <w:textAlignment w:val="center"/>
            </w:pPr>
            <w:r>
              <w:rPr>
                <w:b w:val="false"/>
              </w:rPr>
              <w:t>1.175</w:t>
            </w:r>
          </w:p>
        </w:tc>
      </w:tr>
    </w:tbl>
    <w:p w14:paraId="3BE40CB1" w14:textId="04066E8C" w:rsidR="00903F96" w:rsidRPr="0098155F" w:rsidRDefault="00903F96" w:rsidP="00903F96">
      <w:pPr>
        <w:rPr>
          <w:rFonts w:ascii="Arial" w:hAnsi="Arial" w:cs="Arial"/>
          <w:color w:val="0097B7" w:themeColor="accent4"/>
          <w:sz w:val="28"/>
          <w:lang w:val="en-US"/>
        </w:rPr>
      </w:pPr>
    </w:p>
    <w:p w14:paraId="36C7C31C" w14:textId="77777777" w:rsidR="00903F96" w:rsidRPr="0098155F" w:rsidRDefault="00903F96" w:rsidP="00903F96">
      <w:pPr>
        <w:pStyle w:val="Title1"/>
        <w:rPr>
          <w:rFonts w:cs="Arial"/>
          <w:b w:val="0"/>
          <w:bCs/>
          <w:szCs w:val="18"/>
          <w:lang w:val="en-US"/>
        </w:rPr>
      </w:pPr>
      <w:r>
        <w:rPr>
          <w:rFonts w:ascii="Arial" w:hAnsi="Arial" w:cs="Arial" w:eastAsia="Arial"/>
          <w:b w:val="true"/>
          <w:sz w:val="32"/>
        </w:rPr>
        <w:t xml:space="preserve">5. </w:t>
      </w:r>
      <w:bookmarkStart w:id="18" w:name="18"/>
      <w:r>
        <w:rPr>
          <w:rFonts w:ascii="Arial" w:hAnsi="Arial" w:cs="Arial" w:eastAsia="Arial"/>
          <w:b w:val="true"/>
          <w:sz w:val="32"/>
        </w:rPr>
        <w:t>CALCULATION METHODOLOGY</w:t>
      </w:r>
      <w:bookmarkEnd w:id="18"/>
    </w:p>
    <w:p w14:paraId="2894D6B9" w14:textId="77777777" w:rsidR="00903F96" w:rsidRPr="0098155F" w:rsidRDefault="00903F96" w:rsidP="00903F96">
      <w:pPr>
        <w:pStyle w:val="paragraph"/>
        <w:rPr>
          <w:rFonts w:ascii="Arial" w:hAnsi="Arial" w:cs="Arial"/>
          <w:lang w:val="en-US"/>
        </w:rPr>
      </w:pPr>
      <w:r w:rsidRPr="0098155F">
        <w:rPr>
          <w:rFonts w:ascii="Arial" w:hAnsi="Arial" w:cs="Arial"/>
          <w:lang w:val="en-US"/>
        </w:rPr>
        <w:t>The methodology used to compute the energy yield is described in the ENERGY YIELD METHODOLOGY document, available in the following link:</w:t>
      </w:r>
    </w:p>
    <w:p w14:paraId="70FE50F8" w14:textId="085CF0BD" w:rsidR="00903F96" w:rsidRPr="0098155F" w:rsidRDefault="00000000" w:rsidP="00903F96">
      <w:pPr>
        <w:pStyle w:val="paragraph"/>
        <w:rPr>
          <w:rFonts w:ascii="Arial" w:hAnsi="Arial" w:cs="Arial"/>
          <w:color w:val="0000FF"/>
          <w:lang w:val="en-US"/>
        </w:rPr>
      </w:pPr>
      <w:hyperlink r:id="rId10" w:history="1">
        <w:r w:rsidR="00903F96" w:rsidRPr="0098155F">
          <w:rPr>
            <w:rStyle w:val="Hyperlink"/>
            <w:rFonts w:ascii="Arial" w:hAnsi="Arial" w:cs="Arial"/>
            <w:color w:val="0000FF"/>
            <w:lang w:val="en-US"/>
          </w:rPr>
          <w:t>Download the energy methodology report</w:t>
        </w:r>
      </w:hyperlink>
    </w:p>
    <w:p w14:paraId="67752B29" w14:textId="77777777" w:rsidR="00903F96" w:rsidRPr="0098155F" w:rsidRDefault="00903F96" w:rsidP="00903F96">
      <w:pPr>
        <w:pStyle w:val="paragraph"/>
        <w:rPr>
          <w:rFonts w:ascii="Arial" w:hAnsi="Arial" w:cs="Arial"/>
          <w:lang w:val="en-US"/>
        </w:rPr>
      </w:pPr>
      <w:r w:rsidRPr="0098155F">
        <w:rPr>
          <w:rFonts w:ascii="Arial" w:hAnsi="Arial" w:cs="Arial"/>
          <w:lang w:val="en-US"/>
        </w:rPr>
        <w:t>The methodology requires the following inputs:</w:t>
      </w:r>
    </w:p>
    <w:p w14:paraId="1505A17C" w14:textId="77777777" w:rsidR="00903F96" w:rsidRPr="0098155F" w:rsidRDefault="00903F96" w:rsidP="00903F96">
      <w:pPr>
        <w:pStyle w:val="BulletsNew"/>
        <w:rPr>
          <w:rFonts w:ascii="Arial" w:hAnsi="Arial" w:cs="Arial"/>
        </w:rPr>
      </w:pPr>
      <w:r w:rsidRPr="0098155F">
        <w:rPr>
          <w:rFonts w:ascii="Arial" w:hAnsi="Arial" w:cs="Arial"/>
        </w:rPr>
        <w:lastRenderedPageBreak/>
        <w:t>The typical meteorological year.</w:t>
      </w:r>
    </w:p>
    <w:p w14:paraId="1410C081" w14:textId="77777777" w:rsidR="00903F96" w:rsidRPr="0098155F" w:rsidRDefault="00903F96" w:rsidP="00903F96">
      <w:pPr>
        <w:pStyle w:val="Bullets"/>
        <w:rPr>
          <w:rFonts w:ascii="Arial" w:hAnsi="Arial" w:cs="Arial"/>
          <w:lang w:val="en-US"/>
        </w:rPr>
      </w:pPr>
      <w:r w:rsidRPr="0098155F">
        <w:rPr>
          <w:rFonts w:ascii="Arial" w:hAnsi="Arial" w:cs="Arial"/>
          <w:lang w:val="en-US"/>
        </w:rPr>
        <w:t>The parameters of the electrical equipment to be used.</w:t>
      </w:r>
    </w:p>
    <w:p w14:paraId="61B5E004" w14:textId="77777777" w:rsidR="00903F96" w:rsidRPr="0098155F" w:rsidRDefault="00903F96" w:rsidP="00903F96">
      <w:pPr>
        <w:pStyle w:val="Bullets"/>
        <w:rPr>
          <w:rFonts w:ascii="Arial" w:hAnsi="Arial" w:cs="Arial"/>
          <w:lang w:val="en-US"/>
        </w:rPr>
      </w:pPr>
      <w:r w:rsidRPr="0098155F">
        <w:rPr>
          <w:rFonts w:ascii="Arial" w:hAnsi="Arial" w:cs="Arial"/>
          <w:lang w:val="en-US"/>
        </w:rPr>
        <w:t>The electrical configuration of the photovoltaic plant.</w:t>
      </w:r>
    </w:p>
    <w:p w14:paraId="195FDA6A" w14:textId="77777777" w:rsidR="00903F96" w:rsidRPr="0098155F" w:rsidRDefault="00903F96" w:rsidP="00903F96">
      <w:pPr>
        <w:pStyle w:val="Bullets"/>
        <w:rPr>
          <w:rFonts w:ascii="Arial" w:hAnsi="Arial" w:cs="Arial"/>
          <w:lang w:val="en-US"/>
        </w:rPr>
      </w:pPr>
      <w:r w:rsidRPr="0098155F">
        <w:rPr>
          <w:rFonts w:ascii="Arial" w:hAnsi="Arial" w:cs="Arial"/>
          <w:lang w:val="en-US"/>
        </w:rPr>
        <w:t>Simulation parameters such as losses or calculation settings.</w:t>
      </w:r>
    </w:p>
    <w:p w14:paraId="0D4AC9A3" w14:textId="77777777" w:rsidR="00903F96" w:rsidRPr="0098155F" w:rsidRDefault="00903F96" w:rsidP="00903F96">
      <w:pPr>
        <w:pStyle w:val="paragraph"/>
        <w:rPr>
          <w:rFonts w:ascii="Arial" w:hAnsi="Arial" w:cs="Arial"/>
          <w:lang w:val="en-US"/>
        </w:rPr>
      </w:pPr>
      <w:r w:rsidRPr="0098155F">
        <w:rPr>
          <w:rFonts w:ascii="Arial" w:hAnsi="Arial" w:cs="Arial"/>
          <w:lang w:val="en-US"/>
        </w:rPr>
        <w:t>With these inputs the following steps are performed sequentially to compute the final value of the energy yield:</w:t>
      </w:r>
    </w:p>
    <w:p w14:paraId="09261D61" w14:textId="77777777" w:rsidR="00903F96" w:rsidRPr="0098155F" w:rsidRDefault="00903F96" w:rsidP="00903F96">
      <w:pPr>
        <w:pStyle w:val="BulletsNew"/>
        <w:rPr>
          <w:rFonts w:ascii="Arial" w:hAnsi="Arial" w:cs="Arial"/>
        </w:rPr>
      </w:pPr>
      <w:r w:rsidRPr="0098155F">
        <w:rPr>
          <w:rFonts w:ascii="Arial" w:hAnsi="Arial" w:cs="Arial"/>
        </w:rPr>
        <w:t>The transposition of the radiation components to the tilted plane.</w:t>
      </w:r>
    </w:p>
    <w:p w14:paraId="1641B755" w14:textId="77777777" w:rsidR="00903F96" w:rsidRPr="0098155F" w:rsidRDefault="00903F96" w:rsidP="00903F96">
      <w:pPr>
        <w:pStyle w:val="BulletsNew"/>
        <w:rPr>
          <w:rFonts w:ascii="Arial" w:hAnsi="Arial" w:cs="Arial"/>
        </w:rPr>
      </w:pPr>
      <w:r w:rsidRPr="0098155F">
        <w:rPr>
          <w:rFonts w:ascii="Arial" w:hAnsi="Arial" w:cs="Arial"/>
        </w:rPr>
        <w:t>Using a library to compute the sun position.</w:t>
      </w:r>
    </w:p>
    <w:p w14:paraId="7222E7FB" w14:textId="77777777" w:rsidR="00903F96" w:rsidRPr="0098155F" w:rsidRDefault="00903F96" w:rsidP="00903F96">
      <w:pPr>
        <w:pStyle w:val="BulletsNew"/>
        <w:rPr>
          <w:rFonts w:ascii="Arial" w:hAnsi="Arial" w:cs="Arial"/>
        </w:rPr>
      </w:pPr>
      <w:r w:rsidRPr="0098155F">
        <w:rPr>
          <w:rFonts w:ascii="Arial" w:hAnsi="Arial" w:cs="Arial"/>
        </w:rPr>
        <w:t>The sun-tracking algorithm used in single-axis trackers (backtracking).</w:t>
      </w:r>
    </w:p>
    <w:p w14:paraId="402A798D" w14:textId="77777777" w:rsidR="00903F96" w:rsidRPr="0098155F" w:rsidRDefault="00903F96" w:rsidP="00903F96">
      <w:pPr>
        <w:pStyle w:val="BulletsNew"/>
        <w:rPr>
          <w:rFonts w:ascii="Arial" w:hAnsi="Arial" w:cs="Arial"/>
        </w:rPr>
      </w:pPr>
      <w:r w:rsidRPr="0098155F">
        <w:rPr>
          <w:rFonts w:ascii="Arial" w:hAnsi="Arial" w:cs="Arial"/>
        </w:rPr>
        <w:t>Computation of the effects of shadows on the irradiance received by a tilted plane.</w:t>
      </w:r>
    </w:p>
    <w:p w14:paraId="3885E952" w14:textId="77777777" w:rsidR="00903F96" w:rsidRPr="0098155F" w:rsidRDefault="00903F96" w:rsidP="00903F96">
      <w:pPr>
        <w:pStyle w:val="BulletsNew"/>
        <w:rPr>
          <w:rFonts w:ascii="Arial" w:hAnsi="Arial" w:cs="Arial"/>
        </w:rPr>
      </w:pPr>
      <w:r w:rsidRPr="0098155F">
        <w:rPr>
          <w:rFonts w:ascii="Arial" w:hAnsi="Arial" w:cs="Arial"/>
        </w:rPr>
        <w:t>Electrical generation of a photovoltaic module being irradiated, and its associated losses.</w:t>
      </w:r>
    </w:p>
    <w:p w14:paraId="0454B321" w14:textId="77777777" w:rsidR="00903F96" w:rsidRPr="0098155F" w:rsidRDefault="00903F96" w:rsidP="00903F96">
      <w:pPr>
        <w:pStyle w:val="BulletsNew"/>
        <w:rPr>
          <w:rFonts w:ascii="Arial" w:hAnsi="Arial" w:cs="Arial"/>
        </w:rPr>
      </w:pPr>
      <w:r w:rsidRPr="0098155F">
        <w:rPr>
          <w:rFonts w:ascii="Arial" w:hAnsi="Arial" w:cs="Arial"/>
        </w:rPr>
        <w:t>Estimating the effect of partial shading on strings of modules.</w:t>
      </w:r>
    </w:p>
    <w:p w14:paraId="40689F47" w14:textId="77777777" w:rsidR="00903F96" w:rsidRPr="0098155F" w:rsidRDefault="00903F96" w:rsidP="00903F96">
      <w:pPr>
        <w:pStyle w:val="BulletsNew"/>
        <w:rPr>
          <w:rFonts w:ascii="Arial" w:hAnsi="Arial" w:cs="Arial"/>
        </w:rPr>
      </w:pPr>
      <w:r w:rsidRPr="0098155F">
        <w:rPr>
          <w:rFonts w:ascii="Arial" w:hAnsi="Arial" w:cs="Arial"/>
        </w:rPr>
        <w:t>Performance of an electrical inverter and window of operation.</w:t>
      </w:r>
    </w:p>
    <w:p w14:paraId="08B339AB" w14:textId="77777777" w:rsidR="00903F96" w:rsidRPr="0098155F" w:rsidRDefault="00903F96" w:rsidP="00903F96">
      <w:pPr>
        <w:pStyle w:val="BulletsNew"/>
        <w:rPr>
          <w:rFonts w:ascii="Arial" w:hAnsi="Arial" w:cs="Arial"/>
        </w:rPr>
      </w:pPr>
      <w:r w:rsidRPr="0098155F">
        <w:rPr>
          <w:rFonts w:ascii="Arial" w:hAnsi="Arial" w:cs="Arial"/>
        </w:rPr>
        <w:t>Electrical losses in a utility-scale photovoltaic plant.</w:t>
      </w:r>
      <w:r w:rsidRPr="0098155F">
        <w:rPr>
          <w:rFonts w:ascii="Arial" w:hAnsi="Arial" w:cs="Arial"/>
        </w:rPr>
        <w:br w:type="page"/>
      </w:r>
    </w:p>
    <w:p w14:paraId="5EB8048D" w14:textId="77777777" w:rsidR="00903F96" w:rsidRPr="0098155F" w:rsidRDefault="00903F96" w:rsidP="00903F96">
      <w:pPr>
        <w:pStyle w:val="Title1"/>
        <w:rPr>
          <w:rFonts w:cs="Arial"/>
          <w:b w:val="0"/>
          <w:bCs/>
          <w:szCs w:val="18"/>
          <w:lang w:val="en-US"/>
        </w:rPr>
      </w:pPr>
      <w:r>
        <w:rPr>
          <w:rFonts w:ascii="Arial" w:hAnsi="Arial" w:cs="Arial" w:eastAsia="Arial"/>
          <w:b w:val="true"/>
          <w:sz w:val="32"/>
        </w:rPr>
        <w:t xml:space="preserve">6. </w:t>
      </w:r>
      <w:bookmarkStart w:id="19" w:name="19"/>
      <w:r>
        <w:rPr>
          <w:rFonts w:ascii="Arial" w:hAnsi="Arial" w:cs="Arial" w:eastAsia="Arial"/>
          <w:b w:val="true"/>
          <w:sz w:val="32"/>
        </w:rPr>
        <w:t>LOSSES</w:t>
      </w:r>
      <w:bookmarkEnd w:id="19"/>
    </w:p>
    <w:p w14:paraId="54936E3D" w14:textId="77777777" w:rsidR="00903F96" w:rsidRPr="0098155F" w:rsidRDefault="00903F96" w:rsidP="00903F96">
      <w:pPr>
        <w:pStyle w:val="Title2"/>
        <w:rPr>
          <w:rFonts w:cs="Arial"/>
          <w:lang w:val="en-US"/>
        </w:rPr>
      </w:pPr>
      <w:r>
        <w:rPr>
          <w:rFonts w:ascii="Arial" w:hAnsi="Arial" w:cs="Arial" w:eastAsia="Arial"/>
          <w:b w:val="false"/>
          <w:sz w:val="28"/>
        </w:rPr>
        <w:t xml:space="preserve">6.1. </w:t>
      </w:r>
      <w:bookmarkStart w:id="20" w:name="20"/>
      <w:r>
        <w:rPr>
          <w:rFonts w:ascii="Arial" w:hAnsi="Arial" w:cs="Arial" w:eastAsia="Arial"/>
          <w:b w:val="false"/>
          <w:sz w:val="28"/>
        </w:rPr>
        <w:t>Transposition of GHI to the plane of array</w:t>
      </w:r>
      <w:bookmarkEnd w:id="20"/>
    </w:p>
    <w:p w14:paraId="36F8EBE8" w14:textId="77777777" w:rsidR="00903F96" w:rsidRPr="0098155F" w:rsidRDefault="00903F96" w:rsidP="00903F96">
      <w:pPr>
        <w:pStyle w:val="paragraph"/>
        <w:rPr>
          <w:rFonts w:ascii="Arial" w:hAnsi="Arial" w:cs="Arial"/>
          <w:lang w:val="en-US"/>
        </w:rPr>
      </w:pPr>
      <w:r w:rsidRPr="0098155F">
        <w:rPr>
          <w:rFonts w:ascii="Arial" w:hAnsi="Arial" w:cs="Arial"/>
          <w:lang w:val="en-US"/>
        </w:rPr>
        <w:t>The irradiance seen by the plane of array is computed by transposition of the global horizontal irradiance to the tilted plane. Because of the tilt angle, the transposition results in an irradiance gain with respect what would be received by a horizontal plane. This gain will be greater if the mounting structure is sun-tracking.</w:t>
      </w:r>
    </w:p>
    <w:p w14:paraId="51BB74AE" w14:textId="77777777" w:rsidR="00903F96" w:rsidRPr="0098155F" w:rsidRDefault="00903F96" w:rsidP="00903F96">
      <w:pPr>
        <w:pStyle w:val="paragraph"/>
        <w:rPr>
          <w:rFonts w:ascii="Arial" w:hAnsi="Arial" w:cs="Arial"/>
          <w:lang w:val="en-US"/>
        </w:rPr>
      </w:pPr>
      <w:r>
        <w:rPr>
          <w:b w:val="false"/>
        </w:rPr>
        <w:t>The transposition to the plane of array for the front-face resulted in a gain of +32.10 %.</w:t>
      </w:r>
    </w:p>
    <w:p w14:paraId="1F7829B4" w14:textId="77777777" w:rsidR="00903F96" w:rsidRPr="0098155F" w:rsidRDefault="00903F96" w:rsidP="00903F96">
      <w:pPr>
        <w:pStyle w:val="paragraph"/>
        <w:rPr>
          <w:rFonts w:ascii="Arial" w:hAnsi="Arial" w:cs="Arial"/>
          <w:lang w:val="en-US"/>
        </w:rPr>
      </w:pPr>
      <w:r>
        <w:rPr>
          <w:b w:val="false"/>
        </w:rPr>
        <w:t xml:space="preserve">In the back-face, the ground reflected irradiance was transposed to the tilted plane of array. The tilted plane also perceives diffuse and beam irradiance. The transposition resulted in a gain of +12.96 %. </w:t>
      </w:r>
    </w:p>
    <w:p w14:paraId="5FE4A6D8" w14:textId="77777777" w:rsidR="00903F96" w:rsidRPr="0098155F" w:rsidRDefault="00903F96" w:rsidP="00903F96">
      <w:pPr>
        <w:pStyle w:val="Title2"/>
        <w:rPr>
          <w:rFonts w:cs="Arial"/>
          <w:lang w:val="en-US"/>
        </w:rPr>
      </w:pPr>
      <w:r>
        <w:rPr>
          <w:rFonts w:ascii="Arial" w:hAnsi="Arial" w:cs="Arial" w:eastAsia="Arial"/>
          <w:b w:val="false"/>
          <w:sz w:val="28"/>
        </w:rPr>
        <w:t xml:space="preserve">6.2. </w:t>
      </w:r>
      <w:bookmarkStart w:id="21" w:name="21"/>
      <w:r>
        <w:rPr>
          <w:rFonts w:ascii="Arial" w:hAnsi="Arial" w:cs="Arial" w:eastAsia="Arial"/>
          <w:b w:val="false"/>
          <w:sz w:val="28"/>
        </w:rPr>
        <w:t>Ground shades effect in the back-face</w:t>
      </w:r>
      <w:bookmarkEnd w:id="21"/>
    </w:p>
    <w:p w14:paraId="61E19F1B" w14:textId="77777777" w:rsidR="00903F96" w:rsidRPr="0098155F" w:rsidRDefault="00903F96" w:rsidP="00903F96">
      <w:pPr>
        <w:pStyle w:val="paragraph"/>
        <w:rPr>
          <w:rFonts w:ascii="Arial" w:hAnsi="Arial" w:cs="Arial"/>
          <w:lang w:val="en-US"/>
        </w:rPr>
      </w:pPr>
      <w:r>
        <w:rPr>
          <w:b w:val="false"/>
        </w:rPr>
        <w:t>The shades cast on the ground by the structures result in a loss of irradiance for the back-face. Parameters such as the pitch distance between structures, the minimum ground clearance and the transparency fraction affect the value of this loss.</w:t>
      </w:r>
    </w:p>
    <w:p w14:paraId="27A1CB91" w14:textId="77777777" w:rsidR="00903F96" w:rsidRPr="0098155F" w:rsidRDefault="00903F96" w:rsidP="00903F96">
      <w:pPr>
        <w:pStyle w:val="paragraph"/>
        <w:rPr>
          <w:rFonts w:ascii="Arial" w:hAnsi="Arial" w:cs="Arial"/>
          <w:lang w:val="en-US"/>
        </w:rPr>
      </w:pPr>
      <w:r>
        <w:rPr>
          <w:b w:val="false"/>
        </w:rPr>
        <w:t>A value of 0.00 % was considered to model the transparency of the photovoltaic module and the mounting structure.</w:t>
      </w:r>
    </w:p>
    <w:p w14:paraId="050B3DB7" w14:textId="77777777" w:rsidR="00903F96" w:rsidRPr="0098155F" w:rsidRDefault="00903F96" w:rsidP="00903F96">
      <w:pPr>
        <w:pStyle w:val="paragraph"/>
        <w:rPr>
          <w:rFonts w:ascii="Arial" w:hAnsi="Arial" w:cs="Arial"/>
          <w:lang w:val="en-US"/>
        </w:rPr>
      </w:pPr>
      <w:r>
        <w:rPr>
          <w:b w:val="false"/>
        </w:rPr>
        <w:t>The loss due to the ground shades was of -59.96 %.</w:t>
      </w:r>
    </w:p>
    <w:p w14:paraId="1B4B4643" w14:textId="77777777" w:rsidR="00903F96" w:rsidRPr="0098155F" w:rsidRDefault="00903F96" w:rsidP="00903F96">
      <w:pPr>
        <w:pStyle w:val="Title2"/>
        <w:rPr>
          <w:rFonts w:cs="Arial"/>
          <w:lang w:val="en-US"/>
        </w:rPr>
      </w:pPr>
      <w:r>
        <w:rPr>
          <w:rFonts w:ascii="Arial" w:hAnsi="Arial" w:cs="Arial" w:eastAsia="Arial"/>
          <w:b w:val="false"/>
          <w:sz w:val="28"/>
        </w:rPr>
        <w:t xml:space="preserve">6.3. </w:t>
      </w:r>
      <w:bookmarkStart w:id="22" w:name="22"/>
      <w:r>
        <w:rPr>
          <w:rFonts w:ascii="Arial" w:hAnsi="Arial" w:cs="Arial" w:eastAsia="Arial"/>
          <w:b w:val="false"/>
          <w:sz w:val="28"/>
        </w:rPr>
        <w:t>Far shading</w:t>
      </w:r>
      <w:bookmarkEnd w:id="22"/>
    </w:p>
    <w:p w14:paraId="31D33555" w14:textId="77777777" w:rsidR="00903F96" w:rsidRPr="0098155F" w:rsidRDefault="00903F96" w:rsidP="00903F96">
      <w:pPr>
        <w:pStyle w:val="paragraph"/>
        <w:rPr>
          <w:rFonts w:ascii="Arial" w:hAnsi="Arial" w:cs="Arial"/>
          <w:lang w:val="en-US"/>
        </w:rPr>
      </w:pPr>
      <w:r w:rsidRPr="0098155F">
        <w:rPr>
          <w:rFonts w:ascii="Arial" w:hAnsi="Arial" w:cs="Arial"/>
          <w:lang w:val="en-US"/>
        </w:rPr>
        <w:t xml:space="preserve">The presence of obstacles in the horizon line (such as hills or buildings) will negatively impact the irradiance reaching the photovoltaic modules. This will occur in the times of day when the sun elevation is lower. An obstacle is usually considered to be part of the horizon profile if the size of its shade is more than ten times greater than the size of the photovoltaic plant. </w:t>
      </w:r>
    </w:p>
    <w:p w14:paraId="0EB1D22D" w14:textId="77777777" w:rsidR="00903F96" w:rsidRPr="0098155F" w:rsidRDefault="00903F96" w:rsidP="00903F96">
      <w:pPr>
        <w:pStyle w:val="paragraph"/>
        <w:rPr>
          <w:rFonts w:ascii="Arial" w:hAnsi="Arial" w:cs="Arial"/>
          <w:lang w:val="en-US"/>
        </w:rPr>
      </w:pPr>
      <w:r>
        <w:rPr>
          <w:b w:val="false"/>
        </w:rPr>
        <w:t>The far shading loss is computed against a hypothetical plant with no horizon obstacles. In Figure 15 the horizon profile of the photovoltaic plant is shown.</w:t>
      </w:r>
    </w:p>
    <w:p w14:paraId="56D8C916" w14:textId="77777777" w:rsidR="00903F96" w:rsidRPr="0098155F" w:rsidRDefault="00903F96" w:rsidP="00903F96">
      <w:pPr>
        <w:pStyle w:val="paragraph"/>
        <w:jc w:val="center"/>
        <w:rPr>
          <w:rFonts w:ascii="Arial" w:hAnsi="Arial" w:cs="Arial"/>
          <w:lang w:val="en-US"/>
        </w:rPr>
      </w:pPr>
      <w:r>
        <w:drawing>
          <wp:inline distT="0" distR="0" distB="0" distL="0">
            <wp:extent cx="5892800" cy="2971800"/>
            <wp:docPr id="18" name="Drawing 18" descr="Horizon profile.png"/>
            <a:graphic xmlns:a="http://schemas.openxmlformats.org/drawingml/2006/main">
              <a:graphicData uri="http://schemas.openxmlformats.org/drawingml/2006/picture">
                <pic:pic xmlns:pic="http://schemas.openxmlformats.org/drawingml/2006/picture">
                  <pic:nvPicPr>
                    <pic:cNvPr id="0" name="Picture 18" descr="Horizon profile.png"/>
                    <pic:cNvPicPr>
                      <a:picLocks noChangeAspect="true"/>
                    </pic:cNvPicPr>
                  </pic:nvPicPr>
                  <pic:blipFill>
                    <a:blip r:embed="rId22"/>
                    <a:stretch>
                      <a:fillRect/>
                    </a:stretch>
                  </pic:blipFill>
                  <pic:spPr>
                    <a:xfrm>
                      <a:off x="0" y="0"/>
                      <a:ext cx="5892800" cy="2971800"/>
                    </a:xfrm>
                    <a:prstGeom prst="rect">
                      <a:avLst/>
                    </a:prstGeom>
                  </pic:spPr>
                </pic:pic>
              </a:graphicData>
            </a:graphic>
          </wp:inline>
        </w:drawing>
      </w:r>
    </w:p>
    <w:p w14:paraId="55A7286F" w14:textId="77777777" w:rsidR="00903F96" w:rsidRPr="0098155F" w:rsidRDefault="00903F96" w:rsidP="00903F96">
      <w:pPr>
        <w:pStyle w:val="NameTableImg"/>
        <w:rPr>
          <w:rFonts w:cs="Arial"/>
          <w:lang w:val="en-US"/>
        </w:rPr>
      </w:pPr>
      <w:r>
        <w:rPr>
          <w:b w:val="false"/>
          <w:i w:val="true"/>
        </w:rPr>
        <w:t>Figure 15. Horizon profile (source: PVGIS).</w:t>
      </w:r>
    </w:p>
    <w:p w14:paraId="55D2329C" w14:textId="77777777" w:rsidR="00903F96" w:rsidRPr="0098155F" w:rsidRDefault="00903F96" w:rsidP="00903F96">
      <w:pPr>
        <w:pStyle w:val="paragraph"/>
        <w:rPr>
          <w:rFonts w:ascii="Arial" w:hAnsi="Arial" w:cs="Arial"/>
          <w:lang w:val="en-US"/>
        </w:rPr>
      </w:pPr>
      <w:r>
        <w:rPr>
          <w:b w:val="false"/>
        </w:rPr>
        <w:t>This horizon profile results in front-face irradiance loss of -0.36 %.</w:t>
      </w:r>
    </w:p>
    <w:p w14:paraId="7BEC7345" w14:textId="77777777" w:rsidR="00903F96" w:rsidRPr="0098155F" w:rsidRDefault="00903F96" w:rsidP="00903F96">
      <w:pPr>
        <w:pStyle w:val="paragraph"/>
        <w:rPr>
          <w:rFonts w:ascii="Arial" w:hAnsi="Arial" w:cs="Arial"/>
          <w:lang w:val="en-US"/>
        </w:rPr>
      </w:pPr>
      <w:r>
        <w:rPr>
          <w:b w:val="false"/>
        </w:rPr>
        <w:t>In the back-face, the horizon profile is only considered for the beam component shading, which results in a loss of 0.00 %.</w:t>
      </w:r>
    </w:p>
    <w:p w14:paraId="390F0DC9" w14:textId="77777777" w:rsidR="00903F96" w:rsidRPr="0098155F" w:rsidRDefault="00903F96" w:rsidP="00903F96">
      <w:pPr>
        <w:pStyle w:val="Title2"/>
        <w:rPr>
          <w:rFonts w:cs="Arial"/>
          <w:lang w:val="en-US"/>
        </w:rPr>
      </w:pPr>
      <w:r>
        <w:rPr>
          <w:rFonts w:ascii="Arial" w:hAnsi="Arial" w:cs="Arial" w:eastAsia="Arial"/>
          <w:b w:val="false"/>
          <w:sz w:val="28"/>
        </w:rPr>
        <w:t xml:space="preserve">6.4. </w:t>
      </w:r>
      <w:bookmarkStart w:id="23" w:name="23"/>
      <w:r>
        <w:rPr>
          <w:rFonts w:ascii="Arial" w:hAnsi="Arial" w:cs="Arial" w:eastAsia="Arial"/>
          <w:b w:val="false"/>
          <w:sz w:val="28"/>
        </w:rPr>
        <w:t>Near shading</w:t>
      </w:r>
      <w:bookmarkEnd w:id="23"/>
    </w:p>
    <w:p w14:paraId="1190AB45" w14:textId="77777777" w:rsidR="00903F96" w:rsidRPr="0098155F" w:rsidRDefault="00903F96" w:rsidP="00903F96">
      <w:pPr>
        <w:pStyle w:val="paragraph"/>
        <w:rPr>
          <w:rFonts w:ascii="Arial" w:hAnsi="Arial" w:cs="Arial"/>
          <w:lang w:val="en-US"/>
        </w:rPr>
      </w:pPr>
      <w:r w:rsidRPr="0098155F">
        <w:rPr>
          <w:rFonts w:ascii="Arial" w:hAnsi="Arial" w:cs="Arial"/>
          <w:lang w:val="en-US"/>
        </w:rPr>
        <w:lastRenderedPageBreak/>
        <w:t>Contiguous rows of photovoltaic modules will block the sunlight to nearby rows whenever the sun elevation is low. These shades will negatively impact the irradiance received by the photovoltaic modules.</w:t>
      </w:r>
    </w:p>
    <w:p w14:paraId="7F0D0320" w14:textId="77777777" w:rsidR="00903F96" w:rsidRPr="0098155F" w:rsidRDefault="00903F96" w:rsidP="00903F96">
      <w:pPr>
        <w:pStyle w:val="paragraph"/>
        <w:rPr>
          <w:rFonts w:ascii="Arial" w:hAnsi="Arial" w:cs="Arial"/>
          <w:lang w:val="en-US"/>
        </w:rPr>
      </w:pPr>
      <w:r>
        <w:rPr>
          <w:b w:val="false"/>
        </w:rPr>
        <w:t>The yearly loss due to front-face near shadings was of -2.40 %. It was caused due to the shades cast from one structure to the next.</w:t>
      </w:r>
    </w:p>
    <w:p w14:paraId="2D9597CD" w14:textId="77777777" w:rsidR="00903F96" w:rsidRPr="0098155F" w:rsidRDefault="00903F96" w:rsidP="00903F96">
      <w:pPr>
        <w:pStyle w:val="paragraph"/>
        <w:rPr>
          <w:rFonts w:ascii="Arial" w:hAnsi="Arial" w:cs="Arial"/>
          <w:lang w:val="en-US"/>
        </w:rPr>
      </w:pPr>
      <w:r>
        <w:rPr>
          <w:b w:val="false"/>
        </w:rPr>
        <w:t>The back-face near shading loss was caused by the ground reflected irradiance blocked by the structures themselves, and by the torque beam. Its value was of -13.69 %.</w:t>
      </w:r>
    </w:p>
    <w:p w14:paraId="5EED6957" w14:textId="77777777" w:rsidR="00903F96" w:rsidRPr="0098155F" w:rsidRDefault="00903F96" w:rsidP="00903F96">
      <w:pPr>
        <w:pStyle w:val="Title2"/>
        <w:rPr>
          <w:rFonts w:cs="Arial"/>
          <w:lang w:val="en-US"/>
        </w:rPr>
      </w:pPr>
      <w:r>
        <w:rPr>
          <w:rFonts w:ascii="Arial" w:hAnsi="Arial" w:cs="Arial" w:eastAsia="Arial"/>
          <w:b w:val="false"/>
          <w:sz w:val="28"/>
        </w:rPr>
        <w:t xml:space="preserve">6.5. </w:t>
      </w:r>
      <w:bookmarkStart w:id="24" w:name="24"/>
      <w:r>
        <w:rPr>
          <w:rFonts w:ascii="Arial" w:hAnsi="Arial" w:cs="Arial" w:eastAsia="Arial"/>
          <w:b w:val="false"/>
          <w:sz w:val="28"/>
        </w:rPr>
        <w:t>Soiling</w:t>
      </w:r>
      <w:bookmarkEnd w:id="24"/>
    </w:p>
    <w:p w14:paraId="54EF0E96" w14:textId="77777777" w:rsidR="00903F96" w:rsidRPr="0098155F" w:rsidRDefault="00903F96" w:rsidP="00903F96">
      <w:pPr>
        <w:pStyle w:val="paragraph"/>
        <w:rPr>
          <w:rFonts w:ascii="Arial" w:hAnsi="Arial" w:cs="Arial"/>
          <w:lang w:val="en-US"/>
        </w:rPr>
      </w:pPr>
      <w:r w:rsidRPr="0098155F">
        <w:rPr>
          <w:rFonts w:ascii="Arial" w:hAnsi="Arial" w:cs="Arial"/>
          <w:lang w:val="en-US"/>
        </w:rPr>
        <w:t>The deposition of dirt and dust on the surface of the module causes a direct loss of irradiance known as soiling loss. This impact is greater for oblique sun rays than for perpendicular rays.</w:t>
      </w:r>
    </w:p>
    <w:p w14:paraId="720F847A" w14:textId="77777777" w:rsidR="00903F96" w:rsidRPr="0098155F" w:rsidRDefault="00903F96" w:rsidP="00903F96">
      <w:pPr>
        <w:pStyle w:val="paragraph"/>
        <w:rPr>
          <w:rFonts w:ascii="Arial" w:hAnsi="Arial" w:cs="Arial"/>
          <w:lang w:val="en-US"/>
        </w:rPr>
      </w:pPr>
      <w:r w:rsidRPr="0098155F">
        <w:rPr>
          <w:rFonts w:ascii="Arial" w:hAnsi="Arial" w:cs="Arial"/>
          <w:lang w:val="en-US"/>
        </w:rPr>
        <w:t>The soiling loss is easily minimized by regularly cleaning the photovoltaic modules. It also is reduced whenever the atmospheric conditions result in the removal of dirt from their surface (through rain or wind). However, in transient conditions of high pollution the loss may be as high as 8 %, e.g. in between cleaning operations. Other conditions which influence the soiling loss are the proximity of roads, the terrain characteristics, or the tilt angle of the modules.</w:t>
      </w:r>
    </w:p>
    <w:p w14:paraId="585A436A" w14:textId="77777777" w:rsidR="00903F96" w:rsidRPr="0098155F" w:rsidRDefault="00903F96" w:rsidP="00903F96">
      <w:pPr>
        <w:pStyle w:val="paragraph"/>
        <w:rPr>
          <w:rFonts w:ascii="Arial" w:hAnsi="Arial" w:cs="Arial"/>
          <w:lang w:val="en-US"/>
        </w:rPr>
      </w:pPr>
      <w:r>
        <w:rPr>
          <w:b w:val="false"/>
        </w:rPr>
        <w:t>The front-face soiling loss is modeled as an average value constant throughout the whole year, with a value of -2.00 %.</w:t>
      </w:r>
    </w:p>
    <w:p w14:paraId="46876D34" w14:textId="77777777" w:rsidR="00903F96" w:rsidRPr="0098155F" w:rsidRDefault="00903F96" w:rsidP="00903F96">
      <w:pPr>
        <w:pStyle w:val="paragraph"/>
        <w:rPr>
          <w:rFonts w:ascii="Arial" w:hAnsi="Arial" w:cs="Arial"/>
          <w:lang w:val="en-US"/>
        </w:rPr>
      </w:pPr>
      <w:r>
        <w:rPr>
          <w:b w:val="false"/>
        </w:rPr>
        <w:t>The back-face soiling is modeled as an average value constant throughout the whole year, with a value of 0.00 %.</w:t>
      </w:r>
    </w:p>
    <w:p w14:paraId="1B2FFB6C" w14:textId="77777777" w:rsidR="00903F96" w:rsidRPr="0098155F" w:rsidRDefault="00903F96" w:rsidP="00903F96">
      <w:pPr>
        <w:pStyle w:val="Title2"/>
        <w:rPr>
          <w:rFonts w:cs="Arial"/>
          <w:lang w:val="en-US"/>
        </w:rPr>
      </w:pPr>
      <w:r>
        <w:rPr>
          <w:rFonts w:ascii="Arial" w:hAnsi="Arial" w:cs="Arial" w:eastAsia="Arial"/>
          <w:b w:val="false"/>
          <w:sz w:val="28"/>
        </w:rPr>
        <w:t xml:space="preserve">6.6. </w:t>
      </w:r>
      <w:bookmarkStart w:id="25" w:name="25"/>
      <w:r>
        <w:rPr>
          <w:rFonts w:ascii="Arial" w:hAnsi="Arial" w:cs="Arial" w:eastAsia="Arial"/>
          <w:b w:val="false"/>
          <w:sz w:val="28"/>
        </w:rPr>
        <w:t>IAM effect</w:t>
      </w:r>
      <w:bookmarkEnd w:id="25"/>
    </w:p>
    <w:p w14:paraId="1ACD226C" w14:textId="77777777" w:rsidR="00903F96" w:rsidRPr="0098155F" w:rsidRDefault="00903F96" w:rsidP="00903F96">
      <w:pPr>
        <w:pStyle w:val="paragraph"/>
        <w:rPr>
          <w:rFonts w:ascii="Arial" w:hAnsi="Arial" w:cs="Arial"/>
          <w:lang w:val="en-US"/>
        </w:rPr>
      </w:pPr>
      <w:r w:rsidRPr="0098155F">
        <w:rPr>
          <w:rFonts w:ascii="Arial" w:hAnsi="Arial" w:cs="Arial"/>
          <w:lang w:val="en-US"/>
        </w:rPr>
        <w:lastRenderedPageBreak/>
        <w:t>A loss is incurred due to the non-zero angle of incidence of the sun rays on the plane of array, in addition to the cosine effect. A fraction of the light reaching the surface of the modules is reflected by the glass cover protecting them. This loss is computed using an Incidence Angle Modifier (IAM) coefficient, which is a function of the glass used.</w:t>
      </w:r>
    </w:p>
    <w:p w14:paraId="4AAE47F3" w14:textId="77777777" w:rsidR="00903F96" w:rsidRPr="0098155F" w:rsidRDefault="00903F96" w:rsidP="00903F96">
      <w:pPr>
        <w:pStyle w:val="paragraph"/>
        <w:rPr>
          <w:rFonts w:ascii="Arial" w:hAnsi="Arial" w:cs="Arial"/>
          <w:lang w:val="en-US"/>
        </w:rPr>
      </w:pPr>
      <w:r>
        <w:rPr>
          <w:b w:val="false"/>
        </w:rPr>
        <w:t>The front face glass was modeled according to the manufacturer specifications, using a custom IAM profile found in the PAN file.</w:t>
      </w:r>
    </w:p>
    <w:p w14:paraId="38E44D0F" w14:textId="77777777" w:rsidR="00903F96" w:rsidRPr="0098155F" w:rsidRDefault="00903F96" w:rsidP="00903F96">
      <w:pPr>
        <w:pStyle w:val="paragraph"/>
        <w:rPr>
          <w:rFonts w:ascii="Arial" w:hAnsi="Arial" w:cs="Arial"/>
          <w:lang w:val="en-US"/>
        </w:rPr>
      </w:pPr>
      <w:r>
        <w:rPr>
          <w:b w:val="false"/>
        </w:rPr>
        <w:t>The back-face glass was modeled using the air-glass model for normal glass, with an index of refraction value of 1.526 (n parameter).</w:t>
      </w:r>
    </w:p>
    <w:p w14:paraId="4CFAB039" w14:textId="77777777" w:rsidR="00903F96" w:rsidRPr="0098155F" w:rsidRDefault="00903F96" w:rsidP="00903F96">
      <w:pPr>
        <w:pStyle w:val="paragraph"/>
        <w:rPr>
          <w:rFonts w:ascii="Arial" w:hAnsi="Arial" w:cs="Arial"/>
          <w:lang w:val="en-US"/>
        </w:rPr>
      </w:pPr>
      <w:r>
        <w:rPr>
          <w:b w:val="false"/>
        </w:rPr>
        <w:t>The losses due to the IAM effect caused by the front-face glass were of -0.22 %, and the back-face glass caused a loss of -7.83 %.</w:t>
      </w:r>
    </w:p>
    <w:p w14:paraId="48475D50" w14:textId="77777777" w:rsidR="00903F96" w:rsidRPr="0098155F" w:rsidRDefault="00903F96" w:rsidP="00903F96">
      <w:pPr>
        <w:pStyle w:val="Title2"/>
        <w:rPr>
          <w:rFonts w:cs="Arial"/>
          <w:lang w:val="en-US"/>
        </w:rPr>
      </w:pPr>
      <w:r>
        <w:rPr>
          <w:rFonts w:ascii="Arial" w:hAnsi="Arial" w:cs="Arial" w:eastAsia="Arial"/>
          <w:b w:val="false"/>
          <w:sz w:val="28"/>
        </w:rPr>
        <w:t xml:space="preserve">6.7. </w:t>
      </w:r>
      <w:bookmarkStart w:id="26" w:name="26"/>
      <w:r>
        <w:rPr>
          <w:rFonts w:ascii="Arial" w:hAnsi="Arial" w:cs="Arial" w:eastAsia="Arial"/>
          <w:b w:val="false"/>
          <w:sz w:val="28"/>
        </w:rPr>
        <w:t>Photovoltaic module degradation</w:t>
      </w:r>
      <w:bookmarkEnd w:id="26"/>
    </w:p>
    <w:p w14:paraId="74D3A166" w14:textId="77777777" w:rsidR="00903F96" w:rsidRPr="0098155F" w:rsidRDefault="00903F96" w:rsidP="00903F96">
      <w:pPr>
        <w:pStyle w:val="paragraph"/>
        <w:rPr>
          <w:rFonts w:ascii="Arial" w:hAnsi="Arial" w:cs="Arial"/>
          <w:lang w:val="en-US"/>
        </w:rPr>
      </w:pPr>
      <w:r w:rsidRPr="0098155F">
        <w:rPr>
          <w:rFonts w:ascii="Arial" w:hAnsi="Arial" w:cs="Arial"/>
          <w:lang w:val="en-US"/>
        </w:rPr>
        <w:t>An initial degradation of the module performance occurs in the first hours of exposure to sunlight, known as the Light Induced Degradation loss (LID).</w:t>
      </w:r>
    </w:p>
    <w:p w14:paraId="75E3B000" w14:textId="77777777" w:rsidR="00903F96" w:rsidRPr="0098155F" w:rsidRDefault="00903F96" w:rsidP="00903F96">
      <w:pPr>
        <w:pStyle w:val="paragraph"/>
        <w:rPr>
          <w:rFonts w:ascii="Arial" w:hAnsi="Arial" w:cs="Arial"/>
          <w:lang w:val="en-US"/>
        </w:rPr>
      </w:pPr>
      <w:r w:rsidRPr="0098155F">
        <w:rPr>
          <w:rFonts w:ascii="Arial" w:hAnsi="Arial" w:cs="Arial"/>
          <w:lang w:val="en-US"/>
        </w:rPr>
        <w:t>However, after this initial degradation, a more long-term process takes place which results in a yearly loss of performance.</w:t>
      </w:r>
    </w:p>
    <w:p w14:paraId="3AE3EA35" w14:textId="77777777" w:rsidR="00903F96" w:rsidRPr="0098155F" w:rsidRDefault="00903F96" w:rsidP="00903F96">
      <w:pPr>
        <w:pStyle w:val="paragraph"/>
        <w:rPr>
          <w:rFonts w:ascii="Arial" w:hAnsi="Arial" w:cs="Arial"/>
          <w:lang w:val="en-US"/>
        </w:rPr>
      </w:pPr>
      <w:r w:rsidRPr="0098155F">
        <w:rPr>
          <w:rFonts w:ascii="Arial" w:hAnsi="Arial" w:cs="Arial"/>
          <w:lang w:val="en-US"/>
        </w:rPr>
        <w:t>This degradation occurs due to corrosion of the conductors and a gradual failure of the back-sheet seal of the module. Atmospheric conditions such as high temperature swings, rain, ambient humidity, and salinity may accelerate the corrosion.</w:t>
      </w:r>
    </w:p>
    <w:p w14:paraId="549CD6FC" w14:textId="77777777" w:rsidR="00903F96" w:rsidRPr="0098155F" w:rsidRDefault="00903F96" w:rsidP="00903F96">
      <w:pPr>
        <w:pStyle w:val="paragraph"/>
        <w:rPr>
          <w:rFonts w:ascii="Arial" w:hAnsi="Arial" w:cs="Arial"/>
          <w:lang w:val="en-US"/>
        </w:rPr>
      </w:pPr>
      <w:r>
        <w:rPr>
          <w:b w:val="false"/>
        </w:rPr>
        <w:t>The value of the yearly degradation considered was -0.30 % for the first year of operation, and -0.30 % for subsequent years.</w:t>
      </w:r>
    </w:p>
    <w:p w14:paraId="1FF05252" w14:textId="77777777" w:rsidR="00903F96" w:rsidRPr="0098155F" w:rsidRDefault="00903F96" w:rsidP="00903F96">
      <w:pPr>
        <w:pStyle w:val="Title2"/>
        <w:rPr>
          <w:rFonts w:cs="Arial"/>
          <w:lang w:val="en-US"/>
        </w:rPr>
      </w:pPr>
      <w:r>
        <w:rPr>
          <w:rFonts w:ascii="Arial" w:hAnsi="Arial" w:cs="Arial" w:eastAsia="Arial"/>
          <w:b w:val="false"/>
          <w:sz w:val="28"/>
        </w:rPr>
        <w:t xml:space="preserve">6.8. </w:t>
      </w:r>
      <w:bookmarkStart w:id="27" w:name="27"/>
      <w:r>
        <w:rPr>
          <w:rFonts w:ascii="Arial" w:hAnsi="Arial" w:cs="Arial" w:eastAsia="Arial"/>
          <w:b w:val="false"/>
          <w:sz w:val="28"/>
        </w:rPr>
        <w:t>Irradiance level</w:t>
      </w:r>
      <w:bookmarkEnd w:id="27"/>
    </w:p>
    <w:p w14:paraId="6192E649" w14:textId="77777777" w:rsidR="00903F96" w:rsidRPr="0098155F" w:rsidRDefault="00903F96" w:rsidP="00903F96">
      <w:pPr>
        <w:pStyle w:val="paragraph"/>
        <w:rPr>
          <w:rFonts w:ascii="Arial" w:hAnsi="Arial" w:cs="Arial"/>
          <w:lang w:val="en-US"/>
        </w:rPr>
      </w:pPr>
      <w:r w:rsidRPr="0098155F">
        <w:rPr>
          <w:rFonts w:ascii="Arial" w:hAnsi="Arial" w:cs="Arial"/>
          <w:lang w:val="en-US"/>
        </w:rPr>
        <w:t>The loss due to the irradiance level refers to the lower production of the photovoltaic module whenever the irradiance is lower than 1000 W/m2 (STC conditions).</w:t>
      </w:r>
    </w:p>
    <w:p w14:paraId="5B9957D5" w14:textId="77777777" w:rsidR="00903F96" w:rsidRPr="0098155F" w:rsidRDefault="00903F96" w:rsidP="00903F96">
      <w:pPr>
        <w:pStyle w:val="paragraph"/>
        <w:rPr>
          <w:rFonts w:ascii="Arial" w:hAnsi="Arial" w:cs="Arial"/>
          <w:lang w:val="en-US"/>
        </w:rPr>
      </w:pPr>
      <w:r>
        <w:rPr>
          <w:b w:val="false"/>
        </w:rPr>
        <w:t>The irradiance level loss was +0.30 %.</w:t>
      </w:r>
    </w:p>
    <w:p w14:paraId="24CB7400" w14:textId="77777777" w:rsidR="00903F96" w:rsidRPr="0098155F" w:rsidRDefault="00903F96" w:rsidP="00903F96">
      <w:pPr>
        <w:pStyle w:val="Title2"/>
        <w:rPr>
          <w:rFonts w:cs="Arial"/>
          <w:lang w:val="en-US"/>
        </w:rPr>
      </w:pPr>
      <w:r>
        <w:rPr>
          <w:rFonts w:ascii="Arial" w:hAnsi="Arial" w:cs="Arial" w:eastAsia="Arial"/>
          <w:b w:val="false"/>
          <w:sz w:val="28"/>
        </w:rPr>
        <w:t xml:space="preserve">6.9. </w:t>
      </w:r>
      <w:bookmarkStart w:id="28" w:name="28"/>
      <w:r>
        <w:rPr>
          <w:rFonts w:ascii="Arial" w:hAnsi="Arial" w:cs="Arial" w:eastAsia="Arial"/>
          <w:b w:val="false"/>
          <w:sz w:val="28"/>
        </w:rPr>
        <w:t>Temperature loss</w:t>
      </w:r>
      <w:bookmarkEnd w:id="28"/>
    </w:p>
    <w:p w14:paraId="2C2DF3E0" w14:textId="77777777" w:rsidR="00903F96" w:rsidRPr="0098155F" w:rsidRDefault="00903F96" w:rsidP="00903F96">
      <w:pPr>
        <w:pStyle w:val="paragraph"/>
        <w:rPr>
          <w:rFonts w:ascii="Arial" w:hAnsi="Arial" w:cs="Arial"/>
          <w:lang w:val="en-US"/>
        </w:rPr>
      </w:pPr>
      <w:r w:rsidRPr="0098155F">
        <w:rPr>
          <w:rFonts w:ascii="Arial" w:hAnsi="Arial" w:cs="Arial"/>
          <w:lang w:val="en-US"/>
        </w:rPr>
        <w:lastRenderedPageBreak/>
        <w:t>The production of photovoltaic cells is negatively affected by high operation temperatures. The loss is a consequence of the photovoltaic module characteristics. The cell temperature is always higher than the ambient temperature.</w:t>
      </w:r>
    </w:p>
    <w:p w14:paraId="79F1A3F9" w14:textId="77777777" w:rsidR="00903F96" w:rsidRPr="0098155F" w:rsidRDefault="00903F96" w:rsidP="00903F96">
      <w:pPr>
        <w:pStyle w:val="paragraph"/>
        <w:rPr>
          <w:rFonts w:ascii="Arial" w:hAnsi="Arial" w:cs="Arial"/>
          <w:lang w:val="en-US"/>
        </w:rPr>
      </w:pPr>
      <w:r>
        <w:rPr>
          <w:b w:val="false"/>
        </w:rPr>
        <w:t>A value of 29.00 W/m2/K was considered as the heat transfer coefficient constant component. The heat transfer coefficient wind component was of 0.00 W·s/m3/K.</w:t>
      </w:r>
    </w:p>
    <w:p w14:paraId="462C9239" w14:textId="77777777" w:rsidR="00903F96" w:rsidRPr="0098155F" w:rsidRDefault="00903F96" w:rsidP="00903F96">
      <w:pPr>
        <w:pStyle w:val="paragraph"/>
        <w:rPr>
          <w:rFonts w:ascii="Arial" w:hAnsi="Arial" w:cs="Arial"/>
          <w:lang w:val="en-US"/>
        </w:rPr>
      </w:pPr>
      <w:r>
        <w:rPr>
          <w:b w:val="false"/>
        </w:rPr>
        <w:t>The yearly loss due to the module cell temperature was -4.34 %.</w:t>
      </w:r>
    </w:p>
    <w:p w14:paraId="36F27DD5" w14:textId="77777777" w:rsidR="00903F96" w:rsidRPr="0098155F" w:rsidRDefault="00903F96" w:rsidP="00903F96">
      <w:pPr>
        <w:pStyle w:val="Title2"/>
        <w:rPr>
          <w:rFonts w:cs="Arial"/>
          <w:lang w:val="en-US"/>
        </w:rPr>
      </w:pPr>
      <w:r>
        <w:rPr>
          <w:rFonts w:ascii="Arial" w:hAnsi="Arial" w:cs="Arial" w:eastAsia="Arial"/>
          <w:b w:val="false"/>
          <w:sz w:val="28"/>
        </w:rPr>
        <w:t xml:space="preserve">6.10. </w:t>
      </w:r>
      <w:bookmarkStart w:id="29" w:name="29"/>
      <w:r>
        <w:rPr>
          <w:rFonts w:ascii="Arial" w:hAnsi="Arial" w:cs="Arial" w:eastAsia="Arial"/>
          <w:b w:val="false"/>
          <w:sz w:val="28"/>
        </w:rPr>
        <w:t>Photovoltaic module quality</w:t>
      </w:r>
      <w:bookmarkEnd w:id="29"/>
    </w:p>
    <w:p w14:paraId="0FD22827" w14:textId="77777777" w:rsidR="00903F96" w:rsidRPr="0098155F" w:rsidRDefault="00903F96" w:rsidP="00903F96">
      <w:pPr>
        <w:pStyle w:val="paragraph"/>
        <w:rPr>
          <w:rFonts w:ascii="Arial" w:hAnsi="Arial" w:cs="Arial"/>
          <w:lang w:val="en-US"/>
        </w:rPr>
      </w:pPr>
      <w:r w:rsidRPr="0098155F">
        <w:rPr>
          <w:rFonts w:ascii="Arial" w:hAnsi="Arial" w:cs="Arial"/>
          <w:lang w:val="en-US"/>
        </w:rPr>
        <w:t>The rated power of mass-produced photovoltaic modules varies on a module-to-module basis. This dispersion of the module performance is usually modeled as percentage of the variation against the rated power in STC conditions. The dispersion often results in a net gain, as the manufacturers usually aim for tighter tolerances with a bias towards a slightly higher than rated performance.</w:t>
      </w:r>
    </w:p>
    <w:p w14:paraId="0C5B167F" w14:textId="77777777" w:rsidR="00903F96" w:rsidRPr="0098155F" w:rsidRDefault="00903F96" w:rsidP="00903F96">
      <w:pPr>
        <w:pStyle w:val="paragraph"/>
        <w:rPr>
          <w:rFonts w:ascii="Arial" w:hAnsi="Arial" w:cs="Arial"/>
          <w:lang w:val="en-US"/>
        </w:rPr>
      </w:pPr>
      <w:r>
        <w:rPr>
          <w:b w:val="false"/>
        </w:rPr>
        <w:t>The gain due to module quality dispersion was of +0.70 %.</w:t>
      </w:r>
    </w:p>
    <w:p w14:paraId="1D7AADB4" w14:textId="77777777" w:rsidR="00903F96" w:rsidRPr="0098155F" w:rsidRDefault="00903F96" w:rsidP="00903F96">
      <w:pPr>
        <w:pStyle w:val="Title2"/>
        <w:rPr>
          <w:rFonts w:cs="Arial"/>
          <w:lang w:val="en-US"/>
        </w:rPr>
      </w:pPr>
      <w:r>
        <w:rPr>
          <w:rFonts w:ascii="Arial" w:hAnsi="Arial" w:cs="Arial" w:eastAsia="Arial"/>
          <w:b w:val="false"/>
          <w:sz w:val="28"/>
        </w:rPr>
        <w:t xml:space="preserve">6.11. </w:t>
      </w:r>
      <w:bookmarkStart w:id="30" w:name="30"/>
      <w:r>
        <w:rPr>
          <w:rFonts w:ascii="Arial" w:hAnsi="Arial" w:cs="Arial" w:eastAsia="Arial"/>
          <w:b w:val="false"/>
          <w:sz w:val="28"/>
        </w:rPr>
        <w:t>Light induced degradation</w:t>
      </w:r>
      <w:bookmarkEnd w:id="30"/>
    </w:p>
    <w:p w14:paraId="06668246" w14:textId="77777777" w:rsidR="00903F96" w:rsidRPr="0098155F" w:rsidRDefault="00903F96" w:rsidP="00903F96">
      <w:pPr>
        <w:pStyle w:val="paragraph"/>
        <w:rPr>
          <w:rFonts w:ascii="Arial" w:hAnsi="Arial" w:cs="Arial"/>
          <w:lang w:val="en-US"/>
        </w:rPr>
      </w:pPr>
      <w:r w:rsidRPr="0098155F">
        <w:rPr>
          <w:rFonts w:ascii="Arial" w:hAnsi="Arial" w:cs="Arial"/>
          <w:lang w:val="en-US"/>
        </w:rPr>
        <w:t>The light induced degradation occurs in the first hours of exposure the photovoltaic module is exposed to sunlight. After these initial hours, the degradation sets in and is constant for the remaining lifetime of the module. This effect is not usually reflected in the module datasheet.</w:t>
      </w:r>
    </w:p>
    <w:p w14:paraId="25A06D88" w14:textId="77777777" w:rsidR="00903F96" w:rsidRPr="0098155F" w:rsidRDefault="00903F96" w:rsidP="00903F96">
      <w:pPr>
        <w:pStyle w:val="paragraph"/>
        <w:rPr>
          <w:rFonts w:ascii="Arial" w:hAnsi="Arial" w:cs="Arial"/>
          <w:lang w:val="en-US"/>
        </w:rPr>
      </w:pPr>
      <w:r>
        <w:rPr>
          <w:b w:val="false"/>
        </w:rPr>
        <w:t>The value of the LID loss was -2.00 %.</w:t>
      </w:r>
    </w:p>
    <w:p w14:paraId="1696B36E" w14:textId="77777777" w:rsidR="00903F96" w:rsidRPr="0098155F" w:rsidRDefault="00903F96" w:rsidP="00903F96">
      <w:pPr>
        <w:pStyle w:val="Title2"/>
        <w:rPr>
          <w:rFonts w:cs="Arial"/>
          <w:lang w:val="en-US"/>
        </w:rPr>
      </w:pPr>
      <w:r>
        <w:rPr>
          <w:rFonts w:ascii="Arial" w:hAnsi="Arial" w:cs="Arial" w:eastAsia="Arial"/>
          <w:b w:val="false"/>
          <w:sz w:val="28"/>
        </w:rPr>
        <w:t xml:space="preserve">6.12. </w:t>
      </w:r>
      <w:bookmarkStart w:id="31" w:name="31"/>
      <w:r>
        <w:rPr>
          <w:rFonts w:ascii="Arial" w:hAnsi="Arial" w:cs="Arial" w:eastAsia="Arial"/>
          <w:b w:val="false"/>
          <w:sz w:val="28"/>
        </w:rPr>
        <w:t>Bifacial mismatch</w:t>
      </w:r>
      <w:bookmarkEnd w:id="31"/>
    </w:p>
    <w:p w14:paraId="2E6E3F34" w14:textId="77777777" w:rsidR="00903F96" w:rsidRPr="0098155F" w:rsidRDefault="00903F96" w:rsidP="00903F96">
      <w:pPr>
        <w:pStyle w:val="paragraph"/>
        <w:rPr>
          <w:rFonts w:ascii="Arial" w:hAnsi="Arial" w:cs="Arial"/>
          <w:lang w:val="en-US"/>
        </w:rPr>
      </w:pPr>
      <w:r>
        <w:rPr>
          <w:b w:val="false"/>
        </w:rPr>
        <w:t>The bifacial mismatch is caused by heterogeneous illumination of the back-face. It is more pronounced in 1V single axis trackers where the torque beam casts a shade on the back face and there are photovoltaic cells in the shaded area.</w:t>
      </w:r>
    </w:p>
    <w:p w14:paraId="567B893A" w14:textId="77777777" w:rsidR="00903F96" w:rsidRPr="0098155F" w:rsidRDefault="00903F96" w:rsidP="00903F96">
      <w:pPr>
        <w:pStyle w:val="paragraph"/>
        <w:rPr>
          <w:rFonts w:ascii="Arial" w:hAnsi="Arial" w:cs="Arial"/>
          <w:lang w:val="en-US"/>
        </w:rPr>
      </w:pPr>
      <w:r>
        <w:rPr>
          <w:b w:val="false"/>
        </w:rPr>
        <w:t>A value of 3.00 % of bifacial mismatch was considered. This value does not directly translate into the final loss result, as it is applied proportionately to the ratio of front to back irradiance.</w:t>
      </w:r>
    </w:p>
    <w:p w14:paraId="5C4C6004" w14:textId="77777777" w:rsidR="00903F96" w:rsidRPr="0098155F" w:rsidRDefault="00903F96" w:rsidP="00903F96">
      <w:pPr>
        <w:pStyle w:val="paragraph"/>
        <w:rPr>
          <w:rFonts w:ascii="Arial" w:hAnsi="Arial" w:cs="Arial"/>
          <w:lang w:val="en-US"/>
        </w:rPr>
      </w:pPr>
      <w:r>
        <w:rPr>
          <w:b w:val="false"/>
        </w:rPr>
        <w:t>The resulting bifacial mismatch loss was of -0.14 %.</w:t>
      </w:r>
    </w:p>
    <w:p w14:paraId="790C7382" w14:textId="77777777" w:rsidR="00903F96" w:rsidRPr="0098155F" w:rsidRDefault="00903F96" w:rsidP="00903F96">
      <w:pPr>
        <w:pStyle w:val="Title2"/>
        <w:rPr>
          <w:rFonts w:cs="Arial"/>
          <w:lang w:val="en-US"/>
        </w:rPr>
      </w:pPr>
      <w:r>
        <w:rPr>
          <w:rFonts w:ascii="Arial" w:hAnsi="Arial" w:cs="Arial" w:eastAsia="Arial"/>
          <w:b w:val="false"/>
          <w:sz w:val="28"/>
        </w:rPr>
        <w:t xml:space="preserve">6.13. </w:t>
      </w:r>
      <w:bookmarkStart w:id="32" w:name="32"/>
      <w:r>
        <w:rPr>
          <w:rFonts w:ascii="Arial" w:hAnsi="Arial" w:cs="Arial" w:eastAsia="Arial"/>
          <w:b w:val="false"/>
          <w:sz w:val="28"/>
        </w:rPr>
        <w:t>Electrical mismatch</w:t>
      </w:r>
      <w:bookmarkEnd w:id="32"/>
    </w:p>
    <w:p w14:paraId="6DB83E4E" w14:textId="77777777" w:rsidR="00903F96" w:rsidRPr="0098155F" w:rsidRDefault="00903F96" w:rsidP="00903F96">
      <w:pPr>
        <w:pStyle w:val="paragraph"/>
        <w:rPr>
          <w:rFonts w:ascii="Arial" w:hAnsi="Arial" w:cs="Arial"/>
          <w:lang w:val="en-US"/>
        </w:rPr>
      </w:pPr>
      <w:r w:rsidRPr="0098155F">
        <w:rPr>
          <w:rFonts w:ascii="Arial" w:hAnsi="Arial" w:cs="Arial"/>
          <w:lang w:val="en-US"/>
        </w:rPr>
        <w:t>The mismatch loss occurs because of the variation of electrical characteristics between photovoltaic modules connected in series in an array. This means the modules are not always able to operate at their maximum power operating point.</w:t>
      </w:r>
    </w:p>
    <w:p w14:paraId="503B2EBF" w14:textId="77777777" w:rsidR="00903F96" w:rsidRPr="0098155F" w:rsidRDefault="00903F96" w:rsidP="00903F96">
      <w:pPr>
        <w:pStyle w:val="paragraph"/>
        <w:rPr>
          <w:rFonts w:ascii="Arial" w:hAnsi="Arial" w:cs="Arial"/>
          <w:lang w:val="en-US"/>
        </w:rPr>
      </w:pPr>
      <w:r>
        <w:rPr>
          <w:b w:val="false"/>
        </w:rPr>
        <w:t>The value of the loss was constant throughout the whole year, -1.00 %.</w:t>
      </w:r>
    </w:p>
    <w:p w14:paraId="097D2B55" w14:textId="77777777" w:rsidR="00903F96" w:rsidRPr="0098155F" w:rsidRDefault="00903F96" w:rsidP="00903F96">
      <w:pPr>
        <w:pStyle w:val="Title2"/>
        <w:rPr>
          <w:rFonts w:cs="Arial"/>
          <w:lang w:val="en-US"/>
        </w:rPr>
      </w:pPr>
      <w:r>
        <w:rPr>
          <w:rFonts w:ascii="Arial" w:hAnsi="Arial" w:cs="Arial" w:eastAsia="Arial"/>
          <w:b w:val="false"/>
          <w:sz w:val="28"/>
        </w:rPr>
        <w:t xml:space="preserve">6.14. </w:t>
      </w:r>
      <w:bookmarkStart w:id="33" w:name="33"/>
      <w:r>
        <w:rPr>
          <w:rFonts w:ascii="Arial" w:hAnsi="Arial" w:cs="Arial" w:eastAsia="Arial"/>
          <w:b w:val="false"/>
          <w:sz w:val="28"/>
        </w:rPr>
        <w:t>Shading mismatch</w:t>
      </w:r>
      <w:bookmarkEnd w:id="33"/>
    </w:p>
    <w:p w14:paraId="21F41C78" w14:textId="77777777" w:rsidR="00903F96" w:rsidRPr="0098155F" w:rsidRDefault="00903F96" w:rsidP="00903F96">
      <w:pPr>
        <w:pStyle w:val="paragraph"/>
        <w:rPr>
          <w:rFonts w:ascii="Arial" w:hAnsi="Arial" w:cs="Arial"/>
          <w:lang w:val="en-US"/>
        </w:rPr>
      </w:pPr>
      <w:r w:rsidRPr="0098155F">
        <w:rPr>
          <w:rFonts w:ascii="Arial" w:hAnsi="Arial" w:cs="Arial"/>
          <w:lang w:val="en-US"/>
        </w:rPr>
        <w:t>The presence of partial shadings in an array gives rise to a mismatch between the partially (or completely) shaded modules and the unshaded ones. This loss can be minimized by increasing the pitch distance between rows, or by using a backtracking system in one-axis trackers.</w:t>
      </w:r>
    </w:p>
    <w:p w14:paraId="2CF4F11A" w14:textId="77777777" w:rsidR="00903F96" w:rsidRPr="0098155F" w:rsidRDefault="00903F96" w:rsidP="00903F96">
      <w:pPr>
        <w:pStyle w:val="paragraph"/>
        <w:rPr>
          <w:rFonts w:ascii="Arial" w:hAnsi="Arial" w:cs="Arial"/>
          <w:lang w:val="en-US"/>
        </w:rPr>
      </w:pPr>
      <w:bookmarkStart w:id="37" w:name="_Toc512514540"/>
      <w:r>
        <w:rPr>
          <w:b w:val="false"/>
        </w:rPr>
        <w:t>The shading mismatch loss was 0.00 %.</w:t>
      </w:r>
    </w:p>
    <w:bookmarkEnd w:id="37"/>
    <w:p w14:paraId="4BD22D30" w14:textId="77777777" w:rsidR="00903F96" w:rsidRPr="0098155F" w:rsidRDefault="00903F96" w:rsidP="00903F96">
      <w:pPr>
        <w:pStyle w:val="Title2"/>
        <w:rPr>
          <w:rFonts w:cs="Arial"/>
          <w:lang w:val="en-US"/>
        </w:rPr>
      </w:pPr>
      <w:r>
        <w:rPr>
          <w:rFonts w:ascii="Arial" w:hAnsi="Arial" w:cs="Arial" w:eastAsia="Arial"/>
          <w:b w:val="false"/>
          <w:sz w:val="28"/>
        </w:rPr>
        <w:t xml:space="preserve">6.15. </w:t>
      </w:r>
      <w:bookmarkStart w:id="34" w:name="34"/>
      <w:r>
        <w:rPr>
          <w:rFonts w:ascii="Arial" w:hAnsi="Arial" w:cs="Arial" w:eastAsia="Arial"/>
          <w:b w:val="false"/>
          <w:sz w:val="28"/>
        </w:rPr>
        <w:t>DC cable losses</w:t>
      </w:r>
      <w:bookmarkEnd w:id="34"/>
    </w:p>
    <w:p w14:paraId="591C73DC" w14:textId="77777777" w:rsidR="00903F96" w:rsidRPr="0098155F" w:rsidRDefault="00903F96" w:rsidP="00903F96">
      <w:pPr>
        <w:pStyle w:val="paragraph"/>
        <w:rPr>
          <w:rFonts w:ascii="Arial" w:hAnsi="Arial" w:cs="Arial"/>
          <w:lang w:val="en-US"/>
        </w:rPr>
      </w:pPr>
      <w:r w:rsidRPr="0098155F">
        <w:rPr>
          <w:rFonts w:ascii="Arial" w:hAnsi="Arial" w:cs="Arial"/>
          <w:lang w:val="en-US"/>
        </w:rPr>
        <w:t>There is a loss due to the ohmic effect incurred in the electrical transmission of DC power. This loss occurs in the cables connecting the photovoltaic module strings to the string boxes and inverters (or directly to the inverters if the plant is designed using a DC bus system).</w:t>
      </w:r>
    </w:p>
    <w:p w14:paraId="3395AE91" w14:textId="77777777" w:rsidR="00903F96" w:rsidRPr="0098155F" w:rsidRDefault="00903F96" w:rsidP="00903F96">
      <w:pPr>
        <w:pStyle w:val="paragraph"/>
        <w:rPr>
          <w:rFonts w:ascii="Arial" w:hAnsi="Arial" w:cs="Arial"/>
          <w:lang w:val="en-US"/>
        </w:rPr>
      </w:pPr>
      <w:r w:rsidRPr="0098155F">
        <w:rPr>
          <w:rFonts w:ascii="Arial" w:hAnsi="Arial" w:cs="Arial"/>
          <w:lang w:val="en-US"/>
        </w:rPr>
        <w:t>The value of the transmission losses depends on the cable cross sections and cable lengths, which are usually calculated by specifying a value for the voltage drop in STC conditions.</w:t>
      </w:r>
    </w:p>
    <w:p w14:paraId="5A5DFB28" w14:textId="5BEBCC21" w:rsidR="003F08B9" w:rsidRPr="0098155F" w:rsidRDefault="003F08B9" w:rsidP="00903F96">
      <w:pPr>
        <w:pStyle w:val="paragraph"/>
        <w:rPr>
          <w:rFonts w:ascii="Arial" w:hAnsi="Arial" w:cs="Arial"/>
          <w:lang w:val="en-US"/>
        </w:rPr>
      </w:pPr>
      <w:r>
        <w:rPr>
          <w:b w:val="false"/>
        </w:rPr>
        <w:t>The average hourly loss on DC cables was -1.15 %.</w:t>
      </w:r>
    </w:p>
    <w:p w14:paraId="1056BCE2" w14:textId="77777777" w:rsidR="00903F96" w:rsidRPr="0098155F" w:rsidRDefault="00903F96" w:rsidP="00903F96">
      <w:pPr>
        <w:pStyle w:val="Title2"/>
        <w:rPr>
          <w:rFonts w:cs="Arial"/>
          <w:lang w:val="en-US"/>
        </w:rPr>
      </w:pPr>
      <w:r>
        <w:rPr>
          <w:rFonts w:ascii="Arial" w:hAnsi="Arial" w:cs="Arial" w:eastAsia="Arial"/>
          <w:b w:val="false"/>
          <w:sz w:val="28"/>
        </w:rPr>
        <w:t xml:space="preserve">6.16. </w:t>
      </w:r>
      <w:bookmarkStart w:id="35" w:name="35"/>
      <w:r>
        <w:rPr>
          <w:rFonts w:ascii="Arial" w:hAnsi="Arial" w:cs="Arial" w:eastAsia="Arial"/>
          <w:b w:val="false"/>
          <w:sz w:val="28"/>
        </w:rPr>
        <w:t>Inverter loss</w:t>
      </w:r>
      <w:bookmarkEnd w:id="35"/>
    </w:p>
    <w:p w14:paraId="6A98D329" w14:textId="77777777" w:rsidR="00903F96" w:rsidRPr="0098155F" w:rsidRDefault="00903F96" w:rsidP="00903F96">
      <w:pPr>
        <w:pStyle w:val="paragraph"/>
        <w:rPr>
          <w:rFonts w:ascii="Arial" w:hAnsi="Arial" w:cs="Arial"/>
          <w:lang w:val="en-US"/>
        </w:rPr>
      </w:pPr>
      <w:r w:rsidRPr="0098155F">
        <w:rPr>
          <w:rFonts w:ascii="Arial" w:hAnsi="Arial" w:cs="Arial"/>
          <w:lang w:val="en-US"/>
        </w:rPr>
        <w:t>The main loss incurred in the electrical inverter is the conversion of DC to AC, usually known as the efficiency loss. Additional losses may occur if the sizing of the DC array with respect to the rated power of the inverter is not optimal (inverter operation window losses).</w:t>
      </w:r>
    </w:p>
    <w:p w14:paraId="03E9BA6B" w14:textId="77777777" w:rsidR="00903F96" w:rsidRPr="0098155F" w:rsidRDefault="00903F96" w:rsidP="00903F96">
      <w:pPr>
        <w:pStyle w:val="paragraph"/>
        <w:rPr>
          <w:rFonts w:ascii="Arial" w:hAnsi="Arial" w:cs="Arial"/>
          <w:lang w:val="en-US"/>
        </w:rPr>
      </w:pPr>
      <w:r>
        <w:rPr>
          <w:b w:val="false"/>
        </w:rPr>
        <w:t>The combined losses in the inverter were -3.11 % (this value includes the efficiency loss, operation window losses and the auxiliary consumption loss).</w:t>
      </w:r>
    </w:p>
    <w:p w14:paraId="1ED1A34F" w14:textId="77777777" w:rsidR="00903F96" w:rsidRPr="0098155F" w:rsidRDefault="00903F96" w:rsidP="00903F96">
      <w:pPr>
        <w:pStyle w:val="Title2"/>
        <w:rPr>
          <w:rFonts w:cs="Arial"/>
          <w:lang w:val="en-US"/>
        </w:rPr>
      </w:pPr>
      <w:r>
        <w:rPr>
          <w:rFonts w:ascii="Arial" w:hAnsi="Arial" w:cs="Arial" w:eastAsia="Arial"/>
          <w:b w:val="false"/>
          <w:sz w:val="28"/>
        </w:rPr>
        <w:t xml:space="preserve">6.17. </w:t>
      </w:r>
      <w:bookmarkStart w:id="36" w:name="36"/>
      <w:r>
        <w:rPr>
          <w:rFonts w:ascii="Arial" w:hAnsi="Arial" w:cs="Arial" w:eastAsia="Arial"/>
          <w:b w:val="false"/>
          <w:sz w:val="28"/>
        </w:rPr>
        <w:t>AC cable losses from inverter to transformer</w:t>
      </w:r>
      <w:bookmarkEnd w:id="36"/>
    </w:p>
    <w:p w14:paraId="6B72D03C" w14:textId="77777777" w:rsidR="00903F96" w:rsidRPr="0098155F" w:rsidRDefault="00903F96" w:rsidP="00903F96">
      <w:pPr>
        <w:pStyle w:val="paragraph"/>
        <w:rPr>
          <w:rFonts w:ascii="Arial" w:hAnsi="Arial" w:cs="Arial"/>
          <w:lang w:val="en-US"/>
        </w:rPr>
      </w:pPr>
      <w:r w:rsidRPr="0098155F">
        <w:rPr>
          <w:rFonts w:ascii="Arial" w:hAnsi="Arial" w:cs="Arial"/>
          <w:lang w:val="en-US"/>
        </w:rPr>
        <w:t>The losses incurred in the AC cables due to the ohmic effect depend on the cable cross sections and lengths. The loss is typically specified as a percentage of voltage drop in STC conditions. Because of the short length of the cables connecting inverter to transformer, this loss is usually low.</w:t>
      </w:r>
    </w:p>
    <w:p w14:paraId="2EAB7307" w14:textId="77777777" w:rsidR="00903F96" w:rsidRPr="0098155F" w:rsidRDefault="00903F96" w:rsidP="00903F96">
      <w:pPr>
        <w:pStyle w:val="paragraph"/>
        <w:rPr>
          <w:rFonts w:ascii="Arial" w:hAnsi="Arial" w:cs="Arial"/>
          <w:lang w:val="en-US"/>
        </w:rPr>
      </w:pPr>
      <w:r>
        <w:rPr>
          <w:b w:val="false"/>
        </w:rPr>
        <w:t>The AC cable losses in the cables connecting inverters to transformers were 0.00 %.</w:t>
      </w:r>
    </w:p>
    <w:p w14:paraId="0268964F" w14:textId="77777777" w:rsidR="00903F96" w:rsidRPr="0098155F" w:rsidRDefault="00903F96" w:rsidP="00903F96">
      <w:pPr>
        <w:pStyle w:val="Title2"/>
        <w:rPr>
          <w:rFonts w:cs="Arial"/>
          <w:lang w:val="en-US"/>
        </w:rPr>
      </w:pPr>
      <w:r>
        <w:rPr>
          <w:rFonts w:ascii="Arial" w:hAnsi="Arial" w:cs="Arial" w:eastAsia="Arial"/>
          <w:b w:val="false"/>
          <w:sz w:val="28"/>
        </w:rPr>
        <w:t xml:space="preserve">6.18. </w:t>
      </w:r>
      <w:bookmarkStart w:id="37" w:name="37"/>
      <w:r>
        <w:rPr>
          <w:rFonts w:ascii="Arial" w:hAnsi="Arial" w:cs="Arial" w:eastAsia="Arial"/>
          <w:b w:val="false"/>
          <w:sz w:val="28"/>
        </w:rPr>
        <w:t>Power station transformer loss</w:t>
      </w:r>
      <w:bookmarkEnd w:id="37"/>
    </w:p>
    <w:p w14:paraId="015B021C" w14:textId="77777777" w:rsidR="00903F96" w:rsidRPr="0098155F" w:rsidRDefault="00903F96" w:rsidP="00903F96">
      <w:pPr>
        <w:pStyle w:val="paragraph"/>
        <w:rPr>
          <w:rFonts w:ascii="Arial" w:hAnsi="Arial" w:cs="Arial"/>
          <w:lang w:val="en-US"/>
        </w:rPr>
      </w:pPr>
      <w:r w:rsidRPr="0098155F">
        <w:rPr>
          <w:rFonts w:ascii="Arial" w:hAnsi="Arial" w:cs="Arial"/>
          <w:lang w:val="en-US"/>
        </w:rPr>
        <w:t>The power transformer losses are two-fold: a constant loss value, known as the iron or core loss, and a converted power dependent loss, known as the copper or winding loss. Although these losses are usually very low, because the transformer has a very high efficiency, they must be considered.</w:t>
      </w:r>
    </w:p>
    <w:p w14:paraId="1B6CA280" w14:textId="77777777" w:rsidR="00903F96" w:rsidRPr="0098155F" w:rsidRDefault="00903F96" w:rsidP="00903F96">
      <w:pPr>
        <w:pStyle w:val="paragraph"/>
        <w:rPr>
          <w:rFonts w:ascii="Arial" w:hAnsi="Arial" w:cs="Arial"/>
          <w:lang w:val="en-US"/>
        </w:rPr>
      </w:pPr>
      <w:r>
        <w:rPr>
          <w:b w:val="false"/>
        </w:rPr>
        <w:t>The resulting losses for the iron and copper components were -0.16 % and -0.80 %, respectively.</w:t>
      </w:r>
    </w:p>
    <w:p w14:paraId="31A2C70F" w14:textId="77777777" w:rsidR="00903F96" w:rsidRPr="0098155F" w:rsidRDefault="00903F96" w:rsidP="00903F96">
      <w:pPr>
        <w:pStyle w:val="paragraph"/>
        <w:rPr>
          <w:rFonts w:ascii="Arial" w:hAnsi="Arial" w:cs="Arial"/>
          <w:lang w:val="en-US"/>
        </w:rPr>
      </w:pPr>
      <w:r>
        <w:rPr>
          <w:b w:val="false"/>
        </w:rPr>
        <w:t>The yearly average loss in the power station transformers was -0.96 %.</w:t>
      </w:r>
    </w:p>
    <w:p w14:paraId="4CBB6AD8" w14:textId="77777777" w:rsidR="00903F96" w:rsidRPr="0098155F" w:rsidRDefault="00903F96" w:rsidP="00903F96">
      <w:pPr>
        <w:pStyle w:val="Title2"/>
        <w:rPr>
          <w:rFonts w:cs="Arial"/>
          <w:lang w:val="en-US"/>
        </w:rPr>
      </w:pPr>
      <w:r>
        <w:rPr>
          <w:rFonts w:ascii="Arial" w:hAnsi="Arial" w:cs="Arial" w:eastAsia="Arial"/>
          <w:b w:val="false"/>
          <w:sz w:val="28"/>
        </w:rPr>
        <w:t xml:space="preserve">6.19. </w:t>
      </w:r>
      <w:bookmarkStart w:id="38" w:name="38"/>
      <w:r>
        <w:rPr>
          <w:rFonts w:ascii="Arial" w:hAnsi="Arial" w:cs="Arial" w:eastAsia="Arial"/>
          <w:b w:val="false"/>
          <w:sz w:val="28"/>
        </w:rPr>
        <w:t>Medium voltage network losses (MV cables)</w:t>
      </w:r>
      <w:bookmarkEnd w:id="38"/>
    </w:p>
    <w:p w14:paraId="4CFEC13D" w14:textId="77777777" w:rsidR="00903F96" w:rsidRPr="0098155F" w:rsidRDefault="00903F96" w:rsidP="00903F96">
      <w:pPr>
        <w:pStyle w:val="paragraph"/>
        <w:rPr>
          <w:rFonts w:ascii="Arial" w:hAnsi="Arial" w:cs="Arial"/>
          <w:lang w:val="en-US"/>
        </w:rPr>
      </w:pPr>
      <w:r w:rsidRPr="0098155F">
        <w:rPr>
          <w:rFonts w:ascii="Arial" w:hAnsi="Arial" w:cs="Arial"/>
          <w:lang w:val="en-US"/>
        </w:rPr>
        <w:t>The losses incurred in the MV network due to the ohmic effect depend on the cable cross sections and lengths. The loss is typically specified as a percentage of voltage drop in STC conditions.</w:t>
      </w:r>
    </w:p>
    <w:p w14:paraId="64481E5E" w14:textId="77777777" w:rsidR="00903F96" w:rsidRPr="0098155F" w:rsidRDefault="00903F96" w:rsidP="00903F96">
      <w:pPr>
        <w:pStyle w:val="paragraph"/>
        <w:rPr>
          <w:rFonts w:ascii="Arial" w:hAnsi="Arial" w:cs="Arial"/>
          <w:lang w:val="en-US"/>
        </w:rPr>
      </w:pPr>
      <w:r>
        <w:rPr>
          <w:b w:val="false"/>
        </w:rPr>
        <w:t>The medium voltage network consists of a series of lines connecting the power station transformers to the substation switch gears. The power loss in the network was -0.38 %.</w:t>
      </w:r>
    </w:p>
    <w:p w14:paraId="3DC1FADA" w14:textId="77777777" w:rsidR="00903F96" w:rsidRPr="0098155F" w:rsidRDefault="00903F96" w:rsidP="00903F96">
      <w:pPr>
        <w:pStyle w:val="Title2"/>
        <w:rPr>
          <w:rFonts w:cs="Arial"/>
          <w:lang w:val="en-US"/>
        </w:rPr>
      </w:pPr>
      <w:r>
        <w:rPr>
          <w:rFonts w:ascii="Arial" w:hAnsi="Arial" w:cs="Arial" w:eastAsia="Arial"/>
          <w:b w:val="false"/>
          <w:sz w:val="28"/>
        </w:rPr>
        <w:t xml:space="preserve">6.20. </w:t>
      </w:r>
      <w:bookmarkStart w:id="39" w:name="39"/>
      <w:r>
        <w:rPr>
          <w:rFonts w:ascii="Arial" w:hAnsi="Arial" w:cs="Arial" w:eastAsia="Arial"/>
          <w:b w:val="false"/>
          <w:sz w:val="28"/>
        </w:rPr>
        <w:t>Photovoltaic plant auxiliary consumptions</w:t>
      </w:r>
      <w:bookmarkEnd w:id="39"/>
    </w:p>
    <w:p w14:paraId="55C15CF4" w14:textId="77777777" w:rsidR="00903F96" w:rsidRPr="0098155F" w:rsidRDefault="00903F96" w:rsidP="00903F96">
      <w:pPr>
        <w:pStyle w:val="paragraph"/>
        <w:rPr>
          <w:rFonts w:ascii="Arial" w:hAnsi="Arial" w:cs="Arial"/>
          <w:lang w:val="en-US"/>
        </w:rPr>
      </w:pPr>
      <w:r w:rsidRPr="0098155F">
        <w:rPr>
          <w:rFonts w:ascii="Arial" w:hAnsi="Arial" w:cs="Arial"/>
          <w:lang w:val="en-US"/>
        </w:rPr>
        <w:t>The photovoltaic plant will consume part of the power it generates to power its own systems, such as the security devices, cleaning equipment, or night lighting. These consumptions may also be present during nighttime.</w:t>
      </w:r>
    </w:p>
    <w:p w14:paraId="7617DBB9" w14:textId="77777777" w:rsidR="00903F96" w:rsidRPr="0098155F" w:rsidRDefault="00903F96" w:rsidP="00903F96">
      <w:pPr>
        <w:pStyle w:val="paragraph"/>
        <w:rPr>
          <w:rFonts w:ascii="Arial" w:hAnsi="Arial" w:cs="Arial"/>
          <w:lang w:val="en-US"/>
        </w:rPr>
      </w:pPr>
      <w:r>
        <w:rPr>
          <w:b w:val="false"/>
        </w:rPr>
        <w:t>The photovoltaic plant auxiliary consumptions resulted in a loss of 0.00 %.</w:t>
      </w:r>
    </w:p>
    <w:p w14:paraId="0C55354E" w14:textId="77777777" w:rsidR="00903F96" w:rsidRPr="0098155F" w:rsidRDefault="00903F96" w:rsidP="00903F96">
      <w:pPr>
        <w:pStyle w:val="Title2"/>
        <w:rPr>
          <w:rFonts w:cs="Arial"/>
          <w:lang w:val="en-US"/>
        </w:rPr>
      </w:pPr>
      <w:r>
        <w:rPr>
          <w:rFonts w:ascii="Arial" w:hAnsi="Arial" w:cs="Arial" w:eastAsia="Arial"/>
          <w:b w:val="false"/>
          <w:sz w:val="28"/>
        </w:rPr>
        <w:t xml:space="preserve">6.21. </w:t>
      </w:r>
      <w:bookmarkStart w:id="40" w:name="40"/>
      <w:r>
        <w:rPr>
          <w:rFonts w:ascii="Arial" w:hAnsi="Arial" w:cs="Arial" w:eastAsia="Arial"/>
          <w:b w:val="false"/>
          <w:sz w:val="28"/>
        </w:rPr>
        <w:t>Substation transformer</w:t>
      </w:r>
      <w:bookmarkEnd w:id="40"/>
    </w:p>
    <w:p w14:paraId="3BEAB6CC" w14:textId="77777777" w:rsidR="00903F96" w:rsidRPr="0098155F" w:rsidRDefault="00903F96" w:rsidP="00903F96">
      <w:pPr>
        <w:pStyle w:val="paragraph"/>
        <w:rPr>
          <w:rFonts w:ascii="Arial" w:hAnsi="Arial" w:cs="Arial"/>
          <w:lang w:val="en-US"/>
        </w:rPr>
      </w:pPr>
      <w:r>
        <w:rPr>
          <w:b w:val="false"/>
        </w:rPr>
        <w:t>The substation power transformer raises the voltage of the power plant AC output to match the grid voltage.</w:t>
      </w:r>
    </w:p>
    <w:p w14:paraId="36737232" w14:textId="77777777" w:rsidR="00903F96" w:rsidRPr="0098155F" w:rsidRDefault="00903F96" w:rsidP="00903F96">
      <w:pPr>
        <w:pStyle w:val="paragraph"/>
        <w:rPr>
          <w:rFonts w:ascii="Arial" w:hAnsi="Arial" w:cs="Arial"/>
          <w:lang w:val="en-US"/>
        </w:rPr>
      </w:pPr>
      <w:r>
        <w:rPr>
          <w:b w:val="false"/>
        </w:rPr>
        <w:t>The resulting losses for the iron and copper components were -0.16 % and -0.79 %, respectively.</w:t>
      </w:r>
    </w:p>
    <w:p w14:paraId="05F0C9F3" w14:textId="77777777" w:rsidR="00903F96" w:rsidRPr="0098155F" w:rsidRDefault="00903F96" w:rsidP="00903F96">
      <w:pPr>
        <w:pStyle w:val="paragraph"/>
        <w:rPr>
          <w:rFonts w:ascii="Arial" w:hAnsi="Arial" w:cs="Arial"/>
          <w:lang w:val="en-US"/>
        </w:rPr>
      </w:pPr>
      <w:r>
        <w:rPr>
          <w:b w:val="false"/>
        </w:rPr>
        <w:t>The substation transformer loss was -0.95 %.</w:t>
      </w:r>
    </w:p>
    <w:p w14:paraId="6F2A5120" w14:textId="77777777" w:rsidR="00903F96" w:rsidRPr="0098155F" w:rsidRDefault="00903F96" w:rsidP="00903F96">
      <w:pPr>
        <w:pStyle w:val="Title2"/>
        <w:rPr>
          <w:rFonts w:cs="Arial"/>
          <w:lang w:val="en-US"/>
        </w:rPr>
      </w:pPr>
      <w:r>
        <w:rPr>
          <w:rFonts w:ascii="Arial" w:hAnsi="Arial" w:cs="Arial" w:eastAsia="Arial"/>
          <w:b w:val="false"/>
          <w:sz w:val="28"/>
        </w:rPr>
        <w:t xml:space="preserve">6.22. </w:t>
      </w:r>
      <w:bookmarkStart w:id="41" w:name="41"/>
      <w:r>
        <w:rPr>
          <w:rFonts w:ascii="Arial" w:hAnsi="Arial" w:cs="Arial" w:eastAsia="Arial"/>
          <w:b w:val="false"/>
          <w:sz w:val="28"/>
        </w:rPr>
        <w:t>HV line to grid</w:t>
      </w:r>
      <w:bookmarkEnd w:id="41"/>
    </w:p>
    <w:p w14:paraId="45773C33" w14:textId="77777777" w:rsidR="00903F96" w:rsidRPr="0098155F" w:rsidRDefault="00903F96" w:rsidP="00903F96">
      <w:pPr>
        <w:pStyle w:val="paragraph"/>
        <w:rPr>
          <w:rFonts w:ascii="Arial" w:hAnsi="Arial" w:cs="Arial"/>
          <w:lang w:val="en-US"/>
        </w:rPr>
      </w:pPr>
      <w:r>
        <w:rPr>
          <w:b w:val="false"/>
        </w:rPr>
        <w:t xml:space="preserve"> The loss incurred in the AC line connecting the photovoltaic plant to the grid is due to the ohmic effect, and it depends on the cable cross sections and length. Usually the loss is specified as a percentage of voltage drop in STC conditions.</w:t>
      </w:r>
    </w:p>
    <w:p w14:paraId="0A4D48DF" w14:textId="77777777" w:rsidR="00903F96" w:rsidRPr="0098155F" w:rsidRDefault="00903F96" w:rsidP="00903F96">
      <w:pPr>
        <w:pStyle w:val="paragraph"/>
        <w:rPr>
          <w:rFonts w:ascii="Arial" w:hAnsi="Arial" w:cs="Arial"/>
          <w:lang w:val="en-US"/>
        </w:rPr>
      </w:pPr>
      <w:r>
        <w:rPr>
          <w:b w:val="false"/>
        </w:rPr>
        <w:t>The AC high voltage line loss was -0.06 %.</w:t>
      </w:r>
    </w:p>
    <w:p w14:paraId="51F14C68" w14:textId="77777777" w:rsidR="00903F96" w:rsidRPr="0098155F" w:rsidRDefault="00903F96" w:rsidP="00903F96">
      <w:pPr>
        <w:pStyle w:val="Title2"/>
        <w:rPr>
          <w:rFonts w:cs="Arial"/>
          <w:lang w:val="en-US"/>
        </w:rPr>
      </w:pPr>
      <w:r>
        <w:rPr>
          <w:rFonts w:ascii="Arial" w:hAnsi="Arial" w:cs="Arial" w:eastAsia="Arial"/>
          <w:b w:val="false"/>
          <w:sz w:val="28"/>
        </w:rPr>
        <w:t xml:space="preserve">6.23. </w:t>
      </w:r>
      <w:bookmarkStart w:id="42" w:name="42"/>
      <w:r>
        <w:rPr>
          <w:rFonts w:ascii="Arial" w:hAnsi="Arial" w:cs="Arial" w:eastAsia="Arial"/>
          <w:b w:val="false"/>
          <w:sz w:val="28"/>
        </w:rPr>
        <w:t>Plant unavailability</w:t>
      </w:r>
      <w:bookmarkEnd w:id="42"/>
    </w:p>
    <w:p w14:paraId="310D10DE" w14:textId="77777777" w:rsidR="00903F96" w:rsidRPr="0098155F" w:rsidRDefault="00903F96" w:rsidP="00903F96">
      <w:pPr>
        <w:pStyle w:val="paragraph"/>
        <w:rPr>
          <w:rFonts w:ascii="Arial" w:hAnsi="Arial" w:cs="Arial"/>
          <w:lang w:val="en-US"/>
        </w:rPr>
      </w:pPr>
      <w:r>
        <w:rPr>
          <w:b w:val="false"/>
        </w:rPr>
        <w:t>The photovoltaic plant unavailability was estimated to be 0.00 %. The unavailability occurs because of scheduled maintenance operations, which may require the plant to be unproductive, and unscheduled stops due to unforeseen circumstances. The loss value is dependent on the plant location.</w:t>
      </w:r>
    </w:p>
    <w:p w14:paraId="5D4CDB61" w14:textId="77777777" w:rsidR="00903F96" w:rsidRPr="0098155F" w:rsidRDefault="00903F96" w:rsidP="00903F96">
      <w:pPr>
        <w:pStyle w:val="paragraph"/>
        <w:rPr>
          <w:rFonts w:ascii="Arial" w:hAnsi="Arial" w:cs="Arial"/>
          <w:lang w:val="en-US"/>
        </w:rPr>
      </w:pPr>
      <w:r w:rsidRPr="0098155F">
        <w:rPr>
          <w:rFonts w:ascii="Arial" w:hAnsi="Arial" w:cs="Arial"/>
          <w:lang w:val="en-US"/>
        </w:rPr>
        <w:br w:type="page"/>
      </w:r>
    </w:p>
    <w:p w14:paraId="6889040F" w14:textId="77777777" w:rsidR="00903F96" w:rsidRPr="0098155F" w:rsidRDefault="00903F96" w:rsidP="00903F96">
      <w:pPr>
        <w:pStyle w:val="Title1"/>
        <w:rPr>
          <w:rFonts w:cs="Arial"/>
          <w:b w:val="0"/>
          <w:bCs/>
          <w:szCs w:val="18"/>
          <w:lang w:val="en-US"/>
        </w:rPr>
      </w:pPr>
      <w:r>
        <w:rPr>
          <w:rFonts w:ascii="Arial" w:hAnsi="Arial" w:cs="Arial" w:eastAsia="Arial"/>
          <w:b w:val="true"/>
          <w:sz w:val="32"/>
        </w:rPr>
        <w:t xml:space="preserve">7. </w:t>
      </w:r>
      <w:bookmarkStart w:id="43" w:name="43"/>
      <w:r>
        <w:rPr>
          <w:rFonts w:ascii="Arial" w:hAnsi="Arial" w:cs="Arial" w:eastAsia="Arial"/>
          <w:b w:val="true"/>
          <w:sz w:val="32"/>
        </w:rPr>
        <w:t>ENERGY YIELD RESULTS</w:t>
      </w:r>
      <w:bookmarkEnd w:id="43"/>
    </w:p>
    <w:p w14:paraId="6702A856" w14:textId="77777777" w:rsidR="00903F96" w:rsidRPr="0098155F" w:rsidRDefault="00903F96" w:rsidP="00903F96">
      <w:pPr>
        <w:pStyle w:val="paragraph"/>
        <w:tabs>
          <w:tab w:val="left" w:pos="960"/>
        </w:tabs>
        <w:rPr>
          <w:rFonts w:ascii="Arial" w:hAnsi="Arial" w:cs="Arial"/>
          <w:lang w:val="en-US"/>
        </w:rPr>
      </w:pPr>
      <w:r>
        <w:rPr>
          <w:b w:val="false"/>
        </w:rPr>
        <w:t>A summary of the results for the first year is shown in Table 18. The performance ratio is calculated using the front-face plane of array irradiance, which may result in a PR value greater than 100% for bifacial simulations with very high back-face irradiance.</w:t>
      </w:r>
    </w:p>
    <w:p w14:paraId="74E0E23A" w14:textId="77777777" w:rsidR="00903F96" w:rsidRPr="0098155F" w:rsidRDefault="00903F96" w:rsidP="00903F96">
      <w:pPr>
        <w:pStyle w:val="NameTableImg"/>
        <w:rPr>
          <w:rFonts w:cs="Arial"/>
          <w:lang w:val="en-US"/>
        </w:rPr>
      </w:pPr>
      <w:r>
        <w:rPr>
          <w:b w:val="false"/>
          <w:i w:val="true"/>
        </w:rPr>
        <w:t>Table 18. Summary of results for the first year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37"/>
        <w:gridCol w:w="1701"/>
        <w:gridCol w:w="1276"/>
      </w:tblGrid>
      <w:tr w:rsidR="00BB5186" w:rsidRPr="00BB5186" w14:paraId="75755451" w14:textId="77777777" w:rsidTr="00BB5186">
        <w:tc>
          <w:tcPr>
            <w:tcW w:w="6237" w:type="dxa"/>
            <w:shd w:val="clear" w:color="auto" w:fill="989E95"/>
            <w:vAlign w:val="center"/>
          </w:tcPr>
          <w:p w14:paraId="7253B850" w14:textId="77777777" w:rsidR="00903F96" w:rsidRPr="00BB5186" w:rsidRDefault="00903F96" w:rsidP="00C96B85">
            <w:pPr>
              <w:pStyle w:val="paragraph"/>
              <w:spacing w:after="100"/>
              <w:jc w:val="left"/>
              <w:textAlignment w:val="center"/>
              <w:rPr>
                <w:rFonts w:ascii="Arial" w:hAnsi="Arial" w:cs="Arial"/>
                <w:bCs/>
                <w:sz w:val="28"/>
                <w:szCs w:val="24"/>
                <w:lang w:val="en-US"/>
              </w:rPr>
            </w:pPr>
            <w:r>
              <w:rPr>
                <w:b w:val="false"/>
              </w:rPr>
              <w:t>Description</w:t>
            </w:r>
          </w:p>
        </w:tc>
        <w:tc>
          <w:tcPr>
            <w:tcW w:w="1701" w:type="dxa"/>
            <w:shd w:val="clear" w:color="auto" w:fill="989E95"/>
            <w:vAlign w:val="center"/>
          </w:tcPr>
          <w:p w14:paraId="10D2CEF9" w14:textId="77777777" w:rsidR="00903F96" w:rsidRPr="00BB5186" w:rsidRDefault="00903F96" w:rsidP="00C96B85">
            <w:pPr>
              <w:pStyle w:val="paragraph"/>
              <w:spacing w:after="100"/>
              <w:jc w:val="right"/>
              <w:textAlignment w:val="center"/>
              <w:rPr>
                <w:rFonts w:ascii="Arial" w:hAnsi="Arial" w:cs="Arial"/>
                <w:bCs/>
                <w:sz w:val="28"/>
                <w:szCs w:val="24"/>
                <w:lang w:val="en-US"/>
              </w:rPr>
            </w:pPr>
            <w:r w:rsidRPr="00BB5186">
              <w:rPr>
                <w:rFonts w:ascii="Arial" w:hAnsi="Arial" w:cs="Arial"/>
                <w:bCs/>
                <w:sz w:val="28"/>
                <w:szCs w:val="24"/>
                <w:lang w:val="en-US"/>
              </w:rPr>
              <w:t>Value</w:t>
            </w:r>
          </w:p>
        </w:tc>
        <w:tc>
          <w:tcPr>
            <w:tcW w:w="1276" w:type="dxa"/>
            <w:shd w:val="clear" w:color="auto" w:fill="989E95"/>
            <w:vAlign w:val="center"/>
          </w:tcPr>
          <w:p w14:paraId="025AEE51" w14:textId="77777777" w:rsidR="00903F96" w:rsidRPr="00BB5186" w:rsidRDefault="00903F96" w:rsidP="00C96B85">
            <w:pPr>
              <w:pStyle w:val="paragraph"/>
              <w:spacing w:after="100"/>
              <w:jc w:val="left"/>
              <w:textAlignment w:val="center"/>
              <w:rPr>
                <w:rFonts w:ascii="Arial" w:hAnsi="Arial" w:cs="Arial"/>
                <w:bCs/>
                <w:sz w:val="28"/>
                <w:szCs w:val="24"/>
                <w:lang w:val="en-US"/>
              </w:rPr>
            </w:pPr>
            <w:r w:rsidRPr="00BB5186">
              <w:rPr>
                <w:rFonts w:ascii="Arial" w:hAnsi="Arial" w:cs="Arial"/>
                <w:bCs/>
                <w:sz w:val="28"/>
                <w:szCs w:val="24"/>
                <w:lang w:val="en-US"/>
              </w:rPr>
              <w:t>Unit</w:t>
            </w:r>
          </w:p>
        </w:tc>
      </w:tr>
      <w:tr w:rsidR="00903F96" w:rsidRPr="0098155F" w14:paraId="3E0D4E41" w14:textId="77777777" w:rsidTr="00C96B85">
        <w:tc>
          <w:tcPr>
            <w:tcW w:w="6237" w:type="dxa"/>
            <w:shd w:val="clear" w:color="auto" w:fill="FFFFFF" w:themeFill="text1"/>
            <w:vAlign w:val="center"/>
          </w:tcPr>
          <w:p w14:paraId="31309ECA" w14:textId="77777777" w:rsidR="00903F96" w:rsidRPr="00077F7B" w:rsidRDefault="00903F96" w:rsidP="00C96B85">
            <w:pPr>
              <w:spacing w:after="100"/>
              <w:textAlignment w:val="center"/>
              <w:rPr>
                <w:rFonts w:ascii="Arial" w:hAnsi="Arial" w:cs="Arial"/>
                <w:sz w:val="24"/>
                <w:szCs w:val="24"/>
                <w:lang w:val="en-US"/>
              </w:rPr>
            </w:pPr>
            <w:r w:rsidRPr="00077F7B">
              <w:rPr>
                <w:rFonts w:ascii="Arial" w:hAnsi="Arial" w:cs="Arial"/>
                <w:sz w:val="24"/>
                <w:szCs w:val="24"/>
                <w:lang w:val="en-US"/>
              </w:rPr>
              <w:t>First year production</w:t>
            </w:r>
          </w:p>
        </w:tc>
        <w:tc>
          <w:tcPr>
            <w:tcW w:w="1701" w:type="dxa"/>
            <w:shd w:val="clear" w:color="auto" w:fill="FFFFFF" w:themeFill="text1"/>
            <w:vAlign w:val="center"/>
          </w:tcPr>
          <w:p w14:paraId="3148836D" w14:textId="77777777" w:rsidR="00903F96" w:rsidRPr="00077F7B" w:rsidRDefault="00903F96" w:rsidP="00C96B85">
            <w:pPr>
              <w:pStyle w:val=""/>
              <w:spacing w:after="100"/>
              <w:jc w:val="right"/>
              <w:textAlignment w:val="center"/>
              <w:rPr>
                <w:rFonts w:ascii="Arial" w:hAnsi="Arial" w:cs="Arial"/>
                <w:sz w:val="24"/>
                <w:szCs w:val="24"/>
                <w:lang w:val="en-US"/>
              </w:rPr>
            </w:pPr>
            <w:r>
              <w:rPr>
                <w:b w:val="false"/>
              </w:rPr>
              <w:t>78.42</w:t>
            </w:r>
          </w:p>
        </w:tc>
        <w:tc>
          <w:tcPr>
            <w:tcW w:w="1276" w:type="dxa"/>
            <w:shd w:val="clear" w:color="auto" w:fill="FFFFFF" w:themeFill="text1"/>
            <w:vAlign w:val="center"/>
          </w:tcPr>
          <w:p w14:paraId="45E6B07C" w14:textId="77777777" w:rsidR="00903F96" w:rsidRPr="00077F7B" w:rsidRDefault="00903F96" w:rsidP="00C96B85">
            <w:pPr>
              <w:pStyle w:val=""/>
              <w:spacing w:after="100"/>
              <w:textAlignment w:val="center"/>
              <w:rPr>
                <w:rFonts w:ascii="Arial" w:hAnsi="Arial" w:cs="Arial"/>
                <w:sz w:val="24"/>
                <w:szCs w:val="24"/>
                <w:lang w:val="en-US"/>
              </w:rPr>
            </w:pPr>
            <w:r>
              <w:rPr>
                <w:b w:val="false"/>
              </w:rPr>
              <w:t>GWh</w:t>
            </w:r>
          </w:p>
        </w:tc>
      </w:tr>
      <w:tr w:rsidR="00903F96" w:rsidRPr="0098155F" w14:paraId="00D1571C" w14:textId="77777777" w:rsidTr="00C96B85">
        <w:tc>
          <w:tcPr>
            <w:tcW w:w="6237" w:type="dxa"/>
            <w:shd w:val="clear" w:color="auto" w:fill="FFFFFF" w:themeFill="text1"/>
            <w:vAlign w:val="center"/>
          </w:tcPr>
          <w:p w14:paraId="1F7FD8D9" w14:textId="77777777" w:rsidR="00903F96" w:rsidRPr="00077F7B" w:rsidRDefault="00903F96" w:rsidP="00C96B85">
            <w:pPr>
              <w:spacing w:after="100"/>
              <w:textAlignment w:val="center"/>
              <w:rPr>
                <w:rFonts w:ascii="Arial" w:hAnsi="Arial" w:cs="Arial"/>
                <w:sz w:val="24"/>
                <w:szCs w:val="24"/>
                <w:lang w:val="en-US"/>
              </w:rPr>
            </w:pPr>
            <w:r w:rsidRPr="00077F7B">
              <w:rPr>
                <w:rFonts w:ascii="Arial" w:hAnsi="Arial" w:cs="Arial"/>
                <w:sz w:val="24"/>
                <w:szCs w:val="24"/>
                <w:lang w:val="en-US"/>
              </w:rPr>
              <w:t>Performance ratio</w:t>
            </w:r>
          </w:p>
        </w:tc>
        <w:tc>
          <w:tcPr>
            <w:tcW w:w="1701" w:type="dxa"/>
            <w:shd w:val="clear" w:color="auto" w:fill="FFFFFF" w:themeFill="text1"/>
            <w:vAlign w:val="center"/>
          </w:tcPr>
          <w:p w14:paraId="06AED062" w14:textId="77777777" w:rsidR="00903F96" w:rsidRPr="00077F7B" w:rsidRDefault="00903F96" w:rsidP="00C96B85">
            <w:pPr>
              <w:pStyle w:val=""/>
              <w:spacing w:after="100"/>
              <w:jc w:val="right"/>
              <w:textAlignment w:val="center"/>
              <w:rPr>
                <w:rFonts w:ascii="Arial" w:hAnsi="Arial" w:cs="Arial"/>
                <w:sz w:val="24"/>
                <w:szCs w:val="24"/>
                <w:lang w:val="en-US"/>
              </w:rPr>
            </w:pPr>
            <w:r>
              <w:rPr>
                <w:b w:val="false"/>
              </w:rPr>
              <w:t>86.40 %</w:t>
            </w:r>
          </w:p>
        </w:tc>
        <w:tc>
          <w:tcPr>
            <w:tcW w:w="1276" w:type="dxa"/>
            <w:shd w:val="clear" w:color="auto" w:fill="FFFFFF" w:themeFill="text1"/>
            <w:vAlign w:val="center"/>
          </w:tcPr>
          <w:p w14:paraId="7B7CE104" w14:textId="77777777" w:rsidR="00903F96" w:rsidRPr="00077F7B" w:rsidRDefault="00903F96" w:rsidP="00C96B85">
            <w:pPr>
              <w:spacing w:after="100"/>
              <w:textAlignment w:val="center"/>
              <w:rPr>
                <w:rFonts w:ascii="Arial" w:hAnsi="Arial" w:cs="Arial"/>
                <w:sz w:val="24"/>
                <w:szCs w:val="24"/>
                <w:lang w:val="en-US"/>
              </w:rPr>
            </w:pPr>
            <w:r w:rsidRPr="00077F7B">
              <w:rPr>
                <w:rFonts w:ascii="Arial" w:hAnsi="Arial" w:cs="Arial"/>
                <w:sz w:val="24"/>
                <w:szCs w:val="24"/>
                <w:lang w:val="en-US"/>
              </w:rPr>
              <w:t>-</w:t>
            </w:r>
          </w:p>
        </w:tc>
      </w:tr>
      <w:tr w:rsidR="00903F96" w:rsidRPr="0098155F" w14:paraId="1AE5AE5B" w14:textId="77777777" w:rsidTr="00C96B85">
        <w:tc>
          <w:tcPr>
            <w:tcW w:w="6237" w:type="dxa"/>
            <w:shd w:val="clear" w:color="auto" w:fill="FFFFFF" w:themeFill="text1"/>
            <w:vAlign w:val="center"/>
          </w:tcPr>
          <w:p w14:paraId="7A077C00" w14:textId="77777777" w:rsidR="00903F96" w:rsidRPr="00077F7B" w:rsidRDefault="00903F96" w:rsidP="00C96B85">
            <w:pPr>
              <w:spacing w:after="100"/>
              <w:textAlignment w:val="center"/>
              <w:rPr>
                <w:rFonts w:ascii="Arial" w:hAnsi="Arial" w:cs="Arial"/>
                <w:sz w:val="24"/>
                <w:szCs w:val="24"/>
                <w:lang w:val="en-US"/>
              </w:rPr>
            </w:pPr>
            <w:r w:rsidRPr="00077F7B">
              <w:rPr>
                <w:rFonts w:ascii="Arial" w:hAnsi="Arial" w:cs="Arial"/>
                <w:sz w:val="24"/>
                <w:szCs w:val="24"/>
                <w:lang w:val="en-US"/>
              </w:rPr>
              <w:t>Specific production</w:t>
            </w:r>
          </w:p>
        </w:tc>
        <w:tc>
          <w:tcPr>
            <w:tcW w:w="1701" w:type="dxa"/>
            <w:shd w:val="clear" w:color="auto" w:fill="FFFFFF" w:themeFill="text1"/>
            <w:vAlign w:val="center"/>
          </w:tcPr>
          <w:p w14:paraId="0C2CFA00" w14:textId="77777777" w:rsidR="00903F96" w:rsidRPr="00077F7B" w:rsidRDefault="00903F96" w:rsidP="00C96B85">
            <w:pPr>
              <w:pStyle w:val=""/>
              <w:spacing w:after="100"/>
              <w:jc w:val="right"/>
              <w:textAlignment w:val="center"/>
              <w:rPr>
                <w:rFonts w:ascii="Arial" w:hAnsi="Arial" w:cs="Arial"/>
                <w:sz w:val="24"/>
                <w:szCs w:val="24"/>
                <w:lang w:val="en-US"/>
              </w:rPr>
            </w:pPr>
            <w:r>
              <w:rPr>
                <w:b w:val="false"/>
              </w:rPr>
              <w:t>2155.3</w:t>
            </w:r>
          </w:p>
        </w:tc>
        <w:tc>
          <w:tcPr>
            <w:tcW w:w="1276" w:type="dxa"/>
            <w:shd w:val="clear" w:color="auto" w:fill="FFFFFF" w:themeFill="text1"/>
            <w:vAlign w:val="center"/>
          </w:tcPr>
          <w:p w14:paraId="347F8387" w14:textId="77777777" w:rsidR="00903F96" w:rsidRPr="00077F7B" w:rsidRDefault="00903F96" w:rsidP="00C96B85">
            <w:pPr>
              <w:spacing w:after="100"/>
              <w:textAlignment w:val="center"/>
              <w:rPr>
                <w:rFonts w:ascii="Arial" w:hAnsi="Arial" w:cs="Arial"/>
                <w:sz w:val="24"/>
                <w:szCs w:val="24"/>
                <w:lang w:val="en-US"/>
              </w:rPr>
            </w:pPr>
            <w:r w:rsidRPr="00077F7B">
              <w:rPr>
                <w:rFonts w:ascii="Arial" w:hAnsi="Arial" w:cs="Arial"/>
                <w:sz w:val="24"/>
                <w:szCs w:val="24"/>
                <w:lang w:val="en-US"/>
              </w:rPr>
              <w:t>kWh/</w:t>
            </w:r>
            <w:proofErr w:type="spellStart"/>
            <w:r w:rsidRPr="00077F7B">
              <w:rPr>
                <w:rFonts w:ascii="Arial" w:hAnsi="Arial" w:cs="Arial"/>
                <w:sz w:val="24"/>
                <w:szCs w:val="24"/>
                <w:lang w:val="en-US"/>
              </w:rPr>
              <w:t>kWp</w:t>
            </w:r>
            <w:proofErr w:type="spellEnd"/>
          </w:p>
        </w:tc>
      </w:tr>
      <w:tr w:rsidR="00903F96" w:rsidRPr="0098155F" w14:paraId="75FF131F" w14:textId="77777777" w:rsidTr="00C96B85">
        <w:tc>
          <w:tcPr>
            <w:tcW w:w="6237" w:type="dxa"/>
            <w:shd w:val="clear" w:color="auto" w:fill="FFFFFF" w:themeFill="text1"/>
            <w:vAlign w:val="center"/>
          </w:tcPr>
          <w:p w14:paraId="785EAA81" w14:textId="77777777" w:rsidR="00903F96" w:rsidRPr="00077F7B" w:rsidRDefault="00903F96" w:rsidP="00C96B85">
            <w:pPr>
              <w:spacing w:after="100"/>
              <w:textAlignment w:val="center"/>
              <w:rPr>
                <w:rFonts w:ascii="Arial" w:hAnsi="Arial" w:cs="Arial"/>
                <w:sz w:val="24"/>
                <w:szCs w:val="24"/>
                <w:lang w:val="en-US"/>
              </w:rPr>
            </w:pPr>
            <w:r w:rsidRPr="00077F7B">
              <w:rPr>
                <w:rFonts w:ascii="Arial" w:hAnsi="Arial" w:cs="Arial"/>
                <w:sz w:val="24"/>
                <w:szCs w:val="24"/>
                <w:lang w:val="en-US"/>
              </w:rPr>
              <w:t>Bifacial gain</w:t>
            </w:r>
          </w:p>
        </w:tc>
        <w:tc>
          <w:tcPr>
            <w:tcW w:w="1701" w:type="dxa"/>
            <w:shd w:val="clear" w:color="auto" w:fill="FFFFFF" w:themeFill="text1"/>
            <w:vAlign w:val="center"/>
          </w:tcPr>
          <w:p w14:paraId="62C001B6" w14:textId="77777777" w:rsidR="00903F96" w:rsidRPr="00077F7B" w:rsidRDefault="00903F96" w:rsidP="00C96B85">
            <w:pPr>
              <w:pStyle w:val=""/>
              <w:spacing w:after="100"/>
              <w:jc w:val="right"/>
              <w:textAlignment w:val="center"/>
              <w:rPr>
                <w:rFonts w:ascii="Arial" w:hAnsi="Arial" w:cs="Arial"/>
                <w:sz w:val="24"/>
                <w:szCs w:val="24"/>
                <w:lang w:val="en-US"/>
              </w:rPr>
            </w:pPr>
            <w:r>
              <w:rPr>
                <w:b w:val="false"/>
              </w:rPr>
              <w:t>3.81 %</w:t>
            </w:r>
          </w:p>
        </w:tc>
        <w:tc>
          <w:tcPr>
            <w:tcW w:w="1276" w:type="dxa"/>
            <w:shd w:val="clear" w:color="auto" w:fill="FFFFFF" w:themeFill="text1"/>
            <w:vAlign w:val="center"/>
          </w:tcPr>
          <w:p w14:paraId="7B0E7DDA" w14:textId="77777777" w:rsidR="00903F96" w:rsidRPr="00077F7B" w:rsidRDefault="00903F96" w:rsidP="00C96B85">
            <w:pPr>
              <w:spacing w:after="100"/>
              <w:textAlignment w:val="center"/>
              <w:rPr>
                <w:rFonts w:ascii="Arial" w:hAnsi="Arial" w:cs="Arial"/>
                <w:sz w:val="24"/>
                <w:szCs w:val="24"/>
                <w:lang w:val="en-US"/>
              </w:rPr>
            </w:pPr>
            <w:r w:rsidRPr="00077F7B">
              <w:rPr>
                <w:rFonts w:ascii="Arial" w:hAnsi="Arial" w:cs="Arial"/>
                <w:sz w:val="24"/>
                <w:szCs w:val="24"/>
                <w:lang w:val="en-US"/>
              </w:rPr>
              <w:t>-</w:t>
            </w:r>
          </w:p>
        </w:tc>
      </w:tr>
    </w:tbl>
    <w:p w14:paraId="558D8113" w14:textId="77777777" w:rsidR="00903F96" w:rsidRPr="0098155F" w:rsidRDefault="00903F96" w:rsidP="00903F96">
      <w:pPr>
        <w:pStyle w:val="Title2"/>
        <w:rPr>
          <w:rFonts w:cs="Arial"/>
          <w:lang w:val="en-US"/>
        </w:rPr>
      </w:pPr>
      <w:r>
        <w:rPr>
          <w:rFonts w:ascii="Arial" w:hAnsi="Arial" w:cs="Arial" w:eastAsia="Arial"/>
          <w:b w:val="false"/>
          <w:sz w:val="28"/>
        </w:rPr>
        <w:t xml:space="preserve">7.1. </w:t>
      </w:r>
      <w:bookmarkStart w:id="44" w:name="44"/>
      <w:r>
        <w:rPr>
          <w:rFonts w:ascii="Arial" w:hAnsi="Arial" w:cs="Arial" w:eastAsia="Arial"/>
          <w:b w:val="false"/>
          <w:sz w:val="28"/>
        </w:rPr>
        <w:t>First year energy yield and losses (P50)</w:t>
      </w:r>
      <w:bookmarkEnd w:id="44"/>
    </w:p>
    <w:p w14:paraId="28A8B1CD" w14:textId="77777777" w:rsidR="00903F96" w:rsidRPr="0098155F" w:rsidRDefault="00903F96" w:rsidP="00903F96">
      <w:pPr>
        <w:pStyle w:val="paragraph"/>
        <w:rPr>
          <w:rFonts w:ascii="Arial" w:hAnsi="Arial" w:cs="Arial"/>
          <w:lang w:val="en-US"/>
        </w:rPr>
      </w:pPr>
      <w:r>
        <w:rPr>
          <w:b w:val="false"/>
        </w:rPr>
        <w:t>The front-face irradiance results are shown in Table 19, and the back-face results in Table 20. The losses after the conversion to electrical energy are shown in Table 21 for the first year.</w:t>
      </w:r>
    </w:p>
    <w:p w14:paraId="6FD83518" w14:textId="77777777" w:rsidR="00E504A3" w:rsidRPr="0098155F" w:rsidRDefault="00E504A3" w:rsidP="00E504A3">
      <w:pPr>
        <w:pStyle w:val="NameTableImg"/>
        <w:rPr>
          <w:rFonts w:cs="Arial"/>
          <w:lang w:val="fr-FR"/>
        </w:rPr>
      </w:pPr>
      <w:bookmarkStart w:id="42" w:name="_Hlk40720599"/>
      <w:proofErr w:type="spellStart"/>
      <w:proofErr w:type="spellEnd"/>
      <w:proofErr w:type="spellStart"/>
      <w:proofErr w:type="spellEnd"/>
      <w:r>
        <w:rPr>
          <w:b w:val="false"/>
          <w:i w:val="true"/>
        </w:rPr>
        <w:t>Table 19. Front-face solar irradiance results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1418"/>
        <w:gridCol w:w="1417"/>
        <w:gridCol w:w="1134"/>
      </w:tblGrid>
      <w:tr w:rsidR="00BB5186" w:rsidRPr="00BB5186" w14:paraId="7A35055C" w14:textId="77777777" w:rsidTr="00BB5186">
        <w:tc>
          <w:tcPr>
            <w:tcW w:w="5245" w:type="dxa"/>
            <w:shd w:val="clear" w:color="auto" w:fill="989E95"/>
            <w:vAlign w:val="center"/>
          </w:tcPr>
          <w:p w14:paraId="5479D427" w14:textId="77777777" w:rsidR="00E504A3" w:rsidRPr="00BB5186" w:rsidRDefault="00E504A3" w:rsidP="002C25AC">
            <w:pPr>
              <w:pStyle w:val="paragraph"/>
              <w:spacing w:after="100"/>
              <w:jc w:val="left"/>
              <w:textAlignment w:val="center"/>
              <w:rPr>
                <w:rFonts w:ascii="Arial" w:hAnsi="Arial" w:cs="Arial"/>
                <w:bCs/>
                <w:sz w:val="28"/>
                <w:szCs w:val="24"/>
                <w:lang w:val="en-US"/>
              </w:rPr>
            </w:pPr>
            <w:r>
              <w:rPr>
                <w:b w:val="false"/>
              </w:rPr>
              <w:t>Description</w:t>
            </w:r>
          </w:p>
        </w:tc>
        <w:tc>
          <w:tcPr>
            <w:tcW w:w="1418" w:type="dxa"/>
            <w:shd w:val="clear" w:color="auto" w:fill="989E95"/>
            <w:vAlign w:val="center"/>
          </w:tcPr>
          <w:p w14:paraId="60CCAE83" w14:textId="77777777" w:rsidR="00E504A3" w:rsidRPr="00BB5186" w:rsidRDefault="00E504A3" w:rsidP="002C25AC">
            <w:pPr>
              <w:pStyle w:val="paragraph"/>
              <w:spacing w:after="100"/>
              <w:jc w:val="right"/>
              <w:textAlignment w:val="center"/>
              <w:rPr>
                <w:rFonts w:ascii="Arial" w:hAnsi="Arial" w:cs="Arial"/>
                <w:bCs/>
                <w:sz w:val="28"/>
                <w:szCs w:val="24"/>
                <w:lang w:val="en-US"/>
              </w:rPr>
            </w:pPr>
            <w:r w:rsidRPr="00BB5186">
              <w:rPr>
                <w:rFonts w:ascii="Arial" w:hAnsi="Arial" w:cs="Arial"/>
                <w:bCs/>
                <w:sz w:val="28"/>
                <w:szCs w:val="24"/>
                <w:lang w:val="en-US"/>
              </w:rPr>
              <w:t>Value</w:t>
            </w:r>
          </w:p>
        </w:tc>
        <w:tc>
          <w:tcPr>
            <w:tcW w:w="1417" w:type="dxa"/>
            <w:shd w:val="clear" w:color="auto" w:fill="989E95"/>
            <w:vAlign w:val="center"/>
          </w:tcPr>
          <w:p w14:paraId="274FC955" w14:textId="77777777" w:rsidR="00E504A3" w:rsidRPr="00BB5186" w:rsidRDefault="00E504A3" w:rsidP="002C25AC">
            <w:pPr>
              <w:pStyle w:val="paragraph"/>
              <w:spacing w:after="100"/>
              <w:jc w:val="left"/>
              <w:textAlignment w:val="center"/>
              <w:rPr>
                <w:rFonts w:ascii="Arial" w:hAnsi="Arial" w:cs="Arial"/>
                <w:bCs/>
                <w:sz w:val="28"/>
                <w:szCs w:val="24"/>
                <w:lang w:val="en-US"/>
              </w:rPr>
            </w:pPr>
            <w:r w:rsidRPr="00BB5186">
              <w:rPr>
                <w:rFonts w:ascii="Arial" w:hAnsi="Arial" w:cs="Arial"/>
                <w:bCs/>
                <w:sz w:val="28"/>
                <w:szCs w:val="24"/>
                <w:lang w:val="en-US"/>
              </w:rPr>
              <w:t>Unit</w:t>
            </w:r>
          </w:p>
        </w:tc>
        <w:tc>
          <w:tcPr>
            <w:tcW w:w="1134" w:type="dxa"/>
            <w:shd w:val="clear" w:color="auto" w:fill="989E95"/>
            <w:vAlign w:val="center"/>
          </w:tcPr>
          <w:p w14:paraId="3AEB9161" w14:textId="77777777" w:rsidR="00E504A3" w:rsidRPr="00BB5186" w:rsidRDefault="00E504A3" w:rsidP="002C25AC">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Loss</w:t>
            </w:r>
          </w:p>
        </w:tc>
      </w:tr>
      <w:tr w:rsidR="000D7300" w:rsidRPr="000D7300" w14:paraId="0C0F781B" w14:textId="77777777" w:rsidTr="000D7300">
        <w:tc>
          <w:tcPr>
            <w:tcW w:w="5245" w:type="dxa"/>
            <w:shd w:val="clear" w:color="auto" w:fill="B8BDB5"/>
            <w:vAlign w:val="center"/>
          </w:tcPr>
          <w:p w14:paraId="5F1B936E" w14:textId="77777777" w:rsidR="00E504A3" w:rsidRPr="000D7300" w:rsidRDefault="00E504A3" w:rsidP="002C25AC">
            <w:pPr>
              <w:spacing w:after="100"/>
              <w:textAlignment w:val="center"/>
              <w:rPr>
                <w:rFonts w:ascii="Arial" w:hAnsi="Arial" w:cs="Arial"/>
                <w:b/>
                <w:sz w:val="24"/>
                <w:szCs w:val="24"/>
                <w:lang w:val="en-US"/>
              </w:rPr>
            </w:pPr>
            <w:r w:rsidRPr="000D7300">
              <w:rPr>
                <w:rFonts w:ascii="Arial" w:hAnsi="Arial" w:cs="Arial"/>
                <w:b/>
                <w:sz w:val="24"/>
                <w:szCs w:val="24"/>
                <w:lang w:val="en-US"/>
              </w:rPr>
              <w:t>Solar resource</w:t>
            </w:r>
          </w:p>
        </w:tc>
        <w:tc>
          <w:tcPr>
            <w:tcW w:w="1418" w:type="dxa"/>
            <w:shd w:val="clear" w:color="auto" w:fill="B8BDB5"/>
            <w:vAlign w:val="center"/>
          </w:tcPr>
          <w:p w14:paraId="3FF3CA4A" w14:textId="77777777" w:rsidR="00E504A3" w:rsidRPr="000D7300" w:rsidRDefault="00E504A3" w:rsidP="002C25AC">
            <w:pPr>
              <w:spacing w:after="100"/>
              <w:jc w:val="right"/>
              <w:textAlignment w:val="center"/>
              <w:rPr>
                <w:rFonts w:ascii="Arial" w:hAnsi="Arial" w:cs="Arial"/>
                <w:b/>
                <w:sz w:val="24"/>
                <w:szCs w:val="24"/>
                <w:lang w:val="en-US"/>
              </w:rPr>
            </w:pPr>
          </w:p>
        </w:tc>
        <w:tc>
          <w:tcPr>
            <w:tcW w:w="1417" w:type="dxa"/>
            <w:shd w:val="clear" w:color="auto" w:fill="B8BDB5"/>
            <w:vAlign w:val="center"/>
          </w:tcPr>
          <w:p w14:paraId="06A43EDF" w14:textId="77777777" w:rsidR="00E504A3" w:rsidRPr="000D7300" w:rsidRDefault="00E504A3" w:rsidP="002C25AC">
            <w:pPr>
              <w:spacing w:after="100"/>
              <w:textAlignment w:val="center"/>
              <w:rPr>
                <w:rFonts w:ascii="Arial" w:hAnsi="Arial" w:cs="Arial"/>
                <w:b/>
                <w:sz w:val="24"/>
                <w:szCs w:val="24"/>
                <w:lang w:val="en-US"/>
              </w:rPr>
            </w:pPr>
          </w:p>
        </w:tc>
        <w:tc>
          <w:tcPr>
            <w:tcW w:w="1134" w:type="dxa"/>
            <w:shd w:val="clear" w:color="auto" w:fill="B8BDB5"/>
            <w:vAlign w:val="center"/>
          </w:tcPr>
          <w:p w14:paraId="660C9726" w14:textId="77777777" w:rsidR="00E504A3" w:rsidRPr="000D7300" w:rsidRDefault="00E504A3" w:rsidP="002C25AC">
            <w:pPr>
              <w:spacing w:after="100"/>
              <w:jc w:val="center"/>
              <w:textAlignment w:val="center"/>
              <w:rPr>
                <w:rFonts w:ascii="Arial" w:hAnsi="Arial" w:cs="Arial"/>
                <w:b/>
                <w:sz w:val="24"/>
                <w:szCs w:val="24"/>
                <w:lang w:val="en-US"/>
              </w:rPr>
            </w:pPr>
          </w:p>
        </w:tc>
      </w:tr>
      <w:tr w:rsidR="00E504A3" w:rsidRPr="0098155F" w14:paraId="65380CF5" w14:textId="77777777" w:rsidTr="002C25AC">
        <w:tc>
          <w:tcPr>
            <w:tcW w:w="5245" w:type="dxa"/>
            <w:shd w:val="clear" w:color="auto" w:fill="FFFFFF" w:themeFill="text1"/>
            <w:vAlign w:val="center"/>
          </w:tcPr>
          <w:p w14:paraId="487F5B7B"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Global horizontal irradiation</w:t>
            </w:r>
          </w:p>
        </w:tc>
        <w:tc>
          <w:tcPr>
            <w:tcW w:w="1418" w:type="dxa"/>
            <w:shd w:val="clear" w:color="auto" w:fill="FFFFFF" w:themeFill="text1"/>
            <w:vAlign w:val="center"/>
          </w:tcPr>
          <w:p w14:paraId="58E555F3"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1888.4</w:t>
            </w:r>
          </w:p>
        </w:tc>
        <w:tc>
          <w:tcPr>
            <w:tcW w:w="1417" w:type="dxa"/>
            <w:shd w:val="clear" w:color="auto" w:fill="FFFFFF" w:themeFill="text1"/>
            <w:vAlign w:val="center"/>
          </w:tcPr>
          <w:p w14:paraId="711F2411"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52B78361" w14:textId="77777777" w:rsidR="00E504A3" w:rsidRPr="00077F7B" w:rsidRDefault="00E504A3" w:rsidP="002C25AC">
            <w:pPr>
              <w:spacing w:after="100"/>
              <w:jc w:val="center"/>
              <w:textAlignment w:val="center"/>
              <w:rPr>
                <w:rFonts w:ascii="Arial" w:hAnsi="Arial" w:cs="Arial"/>
                <w:sz w:val="24"/>
                <w:szCs w:val="24"/>
                <w:lang w:val="en-US"/>
              </w:rPr>
            </w:pPr>
          </w:p>
        </w:tc>
      </w:tr>
      <w:tr w:rsidR="00E504A3" w:rsidRPr="0098155F" w14:paraId="001705F3" w14:textId="77777777" w:rsidTr="002C25AC">
        <w:tc>
          <w:tcPr>
            <w:tcW w:w="5245" w:type="dxa"/>
            <w:shd w:val="clear" w:color="auto" w:fill="FFFFFF" w:themeFill="text1"/>
            <w:vAlign w:val="center"/>
          </w:tcPr>
          <w:p w14:paraId="32560259"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lastRenderedPageBreak/>
              <w:t>Transposition to the plane of array</w:t>
            </w:r>
          </w:p>
        </w:tc>
        <w:tc>
          <w:tcPr>
            <w:tcW w:w="1418" w:type="dxa"/>
            <w:shd w:val="clear" w:color="auto" w:fill="FFFFFF" w:themeFill="text1"/>
            <w:vAlign w:val="center"/>
          </w:tcPr>
          <w:p w14:paraId="28A4E707"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2494.6</w:t>
            </w:r>
          </w:p>
        </w:tc>
        <w:tc>
          <w:tcPr>
            <w:tcW w:w="1417" w:type="dxa"/>
            <w:shd w:val="clear" w:color="auto" w:fill="FFFFFF" w:themeFill="text1"/>
            <w:vAlign w:val="center"/>
          </w:tcPr>
          <w:p w14:paraId="593FB116"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7B798602"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+32.10 %</w:t>
            </w:r>
          </w:p>
        </w:tc>
      </w:tr>
      <w:tr w:rsidR="00E504A3" w:rsidRPr="0098155F" w14:paraId="704807E5" w14:textId="77777777" w:rsidTr="002C25AC">
        <w:tc>
          <w:tcPr>
            <w:tcW w:w="5245" w:type="dxa"/>
            <w:shd w:val="clear" w:color="auto" w:fill="FFFFFF" w:themeFill="text1"/>
            <w:vAlign w:val="center"/>
          </w:tcPr>
          <w:p w14:paraId="0E4BDB46"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Far shadings (horizon profile)</w:t>
            </w:r>
          </w:p>
        </w:tc>
        <w:tc>
          <w:tcPr>
            <w:tcW w:w="1418" w:type="dxa"/>
            <w:shd w:val="clear" w:color="auto" w:fill="FFFFFF" w:themeFill="text1"/>
            <w:vAlign w:val="center"/>
          </w:tcPr>
          <w:p w14:paraId="0F27D56A"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2485.7</w:t>
            </w:r>
          </w:p>
        </w:tc>
        <w:tc>
          <w:tcPr>
            <w:tcW w:w="1417" w:type="dxa"/>
            <w:shd w:val="clear" w:color="auto" w:fill="FFFFFF" w:themeFill="text1"/>
            <w:vAlign w:val="center"/>
          </w:tcPr>
          <w:p w14:paraId="0633017F"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6DCD1914"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-0.36 %</w:t>
            </w:r>
          </w:p>
        </w:tc>
      </w:tr>
      <w:tr w:rsidR="00E504A3" w:rsidRPr="0098155F" w14:paraId="3E9279A4" w14:textId="77777777" w:rsidTr="002C25AC">
        <w:tc>
          <w:tcPr>
            <w:tcW w:w="5245" w:type="dxa"/>
            <w:shd w:val="clear" w:color="auto" w:fill="FFFFFF" w:themeFill="text1"/>
            <w:vAlign w:val="center"/>
          </w:tcPr>
          <w:p w14:paraId="1663DF18"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Near shadings</w:t>
            </w:r>
          </w:p>
        </w:tc>
        <w:tc>
          <w:tcPr>
            <w:tcW w:w="1418" w:type="dxa"/>
            <w:shd w:val="clear" w:color="auto" w:fill="FFFFFF" w:themeFill="text1"/>
            <w:vAlign w:val="center"/>
          </w:tcPr>
          <w:p w14:paraId="10725BC9"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2426.0</w:t>
            </w:r>
          </w:p>
        </w:tc>
        <w:tc>
          <w:tcPr>
            <w:tcW w:w="1417" w:type="dxa"/>
            <w:shd w:val="clear" w:color="auto" w:fill="FFFFFF" w:themeFill="text1"/>
            <w:vAlign w:val="center"/>
          </w:tcPr>
          <w:p w14:paraId="0E37ED1D"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129022C4"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-2.40 %</w:t>
            </w:r>
          </w:p>
        </w:tc>
      </w:tr>
      <w:tr w:rsidR="00E504A3" w:rsidRPr="0098155F" w14:paraId="4C1990E8" w14:textId="77777777" w:rsidTr="002C25AC">
        <w:tc>
          <w:tcPr>
            <w:tcW w:w="5245" w:type="dxa"/>
            <w:shd w:val="clear" w:color="auto" w:fill="FFFFFF" w:themeFill="text1"/>
            <w:vAlign w:val="center"/>
          </w:tcPr>
          <w:p w14:paraId="14516A83"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Soiling</w:t>
            </w:r>
          </w:p>
        </w:tc>
        <w:tc>
          <w:tcPr>
            <w:tcW w:w="1418" w:type="dxa"/>
            <w:shd w:val="clear" w:color="auto" w:fill="FFFFFF" w:themeFill="text1"/>
            <w:vAlign w:val="center"/>
          </w:tcPr>
          <w:p w14:paraId="126FE694"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2377.5</w:t>
            </w:r>
          </w:p>
        </w:tc>
        <w:tc>
          <w:tcPr>
            <w:tcW w:w="1417" w:type="dxa"/>
            <w:shd w:val="clear" w:color="auto" w:fill="FFFFFF" w:themeFill="text1"/>
            <w:vAlign w:val="center"/>
          </w:tcPr>
          <w:p w14:paraId="69ED7E13"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570A9596"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-2.00 %</w:t>
            </w:r>
          </w:p>
        </w:tc>
      </w:tr>
      <w:tr w:rsidR="00E504A3" w:rsidRPr="0098155F" w14:paraId="6ADE2E44" w14:textId="77777777" w:rsidTr="002C25AC">
        <w:tc>
          <w:tcPr>
            <w:tcW w:w="5245" w:type="dxa"/>
            <w:shd w:val="clear" w:color="auto" w:fill="FFFFFF" w:themeFill="text1"/>
            <w:vAlign w:val="center"/>
          </w:tcPr>
          <w:p w14:paraId="0BD8DFF6"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IAM loss</w:t>
            </w:r>
          </w:p>
        </w:tc>
        <w:tc>
          <w:tcPr>
            <w:tcW w:w="1418" w:type="dxa"/>
            <w:shd w:val="clear" w:color="auto" w:fill="FFFFFF" w:themeFill="text1"/>
            <w:vAlign w:val="center"/>
          </w:tcPr>
          <w:p w14:paraId="1A14A561"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2372.2</w:t>
            </w:r>
          </w:p>
        </w:tc>
        <w:tc>
          <w:tcPr>
            <w:tcW w:w="1417" w:type="dxa"/>
            <w:shd w:val="clear" w:color="auto" w:fill="FFFFFF" w:themeFill="text1"/>
            <w:vAlign w:val="center"/>
          </w:tcPr>
          <w:p w14:paraId="251938E1"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53A7E3E2"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-0.22 %</w:t>
            </w:r>
          </w:p>
        </w:tc>
      </w:tr>
      <w:tr w:rsidR="00E504A3" w:rsidRPr="0098155F" w14:paraId="08085C2B" w14:textId="77777777" w:rsidTr="002C25AC">
        <w:tc>
          <w:tcPr>
            <w:tcW w:w="5245" w:type="dxa"/>
            <w:shd w:val="clear" w:color="auto" w:fill="FFFFFF" w:themeFill="text1"/>
            <w:vAlign w:val="center"/>
          </w:tcPr>
          <w:p w14:paraId="68A1C662"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Front-face effective irradiation</w:t>
            </w:r>
          </w:p>
        </w:tc>
        <w:tc>
          <w:tcPr>
            <w:tcW w:w="1418" w:type="dxa"/>
            <w:shd w:val="clear" w:color="auto" w:fill="FFFFFF" w:themeFill="text1"/>
            <w:vAlign w:val="center"/>
          </w:tcPr>
          <w:p w14:paraId="21449C28" w14:textId="77777777" w:rsidR="00E504A3" w:rsidRPr="00077F7B" w:rsidRDefault="00E504A3" w:rsidP="002C25AC">
            <w:pPr>
              <w:pStyle w:val=""/>
              <w:spacing w:after="100"/>
              <w:jc w:val="right"/>
              <w:textAlignment w:val="center"/>
              <w:rPr>
                <w:rFonts w:ascii="Arial" w:hAnsi="Arial" w:cs="Arial"/>
                <w:b/>
                <w:sz w:val="24"/>
                <w:szCs w:val="24"/>
                <w:lang w:val="en-US"/>
              </w:rPr>
            </w:pPr>
            <w:r>
              <w:rPr>
                <w:b w:val="true"/>
              </w:rPr>
              <w:t>2372.2</w:t>
            </w:r>
          </w:p>
        </w:tc>
        <w:tc>
          <w:tcPr>
            <w:tcW w:w="1417" w:type="dxa"/>
            <w:shd w:val="clear" w:color="auto" w:fill="FFFFFF" w:themeFill="text1"/>
            <w:vAlign w:val="center"/>
          </w:tcPr>
          <w:p w14:paraId="60277C5A" w14:textId="77777777" w:rsidR="00E504A3" w:rsidRPr="00077F7B" w:rsidRDefault="00E504A3" w:rsidP="002C25AC">
            <w:pPr>
              <w:pStyle w:val=""/>
              <w:spacing w:after="100"/>
              <w:textAlignment w:val="center"/>
              <w:rPr>
                <w:rFonts w:ascii="Arial" w:hAnsi="Arial" w:cs="Arial"/>
                <w:b/>
                <w:sz w:val="24"/>
                <w:szCs w:val="24"/>
                <w:lang w:val="en-US"/>
              </w:rPr>
            </w:pPr>
            <w:r>
              <w:rPr>
                <w:b w:val="true"/>
              </w:rPr>
              <w:t>kWh/m2</w:t>
            </w:r>
          </w:p>
        </w:tc>
        <w:tc>
          <w:tcPr>
            <w:tcW w:w="1134" w:type="dxa"/>
            <w:shd w:val="clear" w:color="auto" w:fill="FFFFFF" w:themeFill="text1"/>
            <w:vAlign w:val="center"/>
          </w:tcPr>
          <w:p w14:paraId="65DA7005" w14:textId="77777777" w:rsidR="00E504A3" w:rsidRPr="00077F7B" w:rsidRDefault="00E504A3" w:rsidP="002C25AC">
            <w:pPr>
              <w:spacing w:after="100"/>
              <w:jc w:val="center"/>
              <w:textAlignment w:val="center"/>
              <w:rPr>
                <w:rFonts w:ascii="Arial" w:hAnsi="Arial" w:cs="Arial"/>
                <w:b/>
                <w:sz w:val="24"/>
                <w:szCs w:val="24"/>
                <w:lang w:val="en-US"/>
              </w:rPr>
            </w:pPr>
          </w:p>
        </w:tc>
      </w:tr>
    </w:tbl>
    <w:p w14:paraId="43C483C2" w14:textId="77777777" w:rsidR="00E504A3" w:rsidRPr="0098155F" w:rsidRDefault="00E504A3" w:rsidP="00E504A3">
      <w:pPr>
        <w:pStyle w:val="NameTableImg"/>
        <w:rPr>
          <w:rFonts w:cs="Arial"/>
          <w:lang w:val="en-US"/>
        </w:rPr>
      </w:pPr>
      <w:r>
        <w:rPr>
          <w:b w:val="false"/>
          <w:i w:val="true"/>
        </w:rPr>
        <w:t>Table 20. Back face solar irradiance results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1418"/>
        <w:gridCol w:w="1417"/>
        <w:gridCol w:w="1134"/>
      </w:tblGrid>
      <w:tr w:rsidR="00BB5186" w:rsidRPr="00BB5186" w14:paraId="15C81FCE" w14:textId="77777777" w:rsidTr="00BB5186">
        <w:tc>
          <w:tcPr>
            <w:tcW w:w="5245" w:type="dxa"/>
            <w:shd w:val="clear" w:color="auto" w:fill="989E95"/>
            <w:vAlign w:val="center"/>
          </w:tcPr>
          <w:p w14:paraId="64FF94C6" w14:textId="77777777" w:rsidR="00E504A3" w:rsidRPr="00BB5186" w:rsidRDefault="00E504A3" w:rsidP="002C25AC">
            <w:pPr>
              <w:pStyle w:val="paragraph"/>
              <w:spacing w:after="100"/>
              <w:jc w:val="left"/>
              <w:textAlignment w:val="center"/>
              <w:rPr>
                <w:rFonts w:ascii="Arial" w:hAnsi="Arial" w:cs="Arial"/>
                <w:bCs/>
                <w:sz w:val="28"/>
                <w:szCs w:val="24"/>
                <w:lang w:val="en-US"/>
              </w:rPr>
            </w:pPr>
            <w:r>
              <w:rPr>
                <w:b w:val="false"/>
              </w:rPr>
              <w:t>Description</w:t>
            </w:r>
          </w:p>
        </w:tc>
        <w:tc>
          <w:tcPr>
            <w:tcW w:w="1418" w:type="dxa"/>
            <w:shd w:val="clear" w:color="auto" w:fill="989E95"/>
            <w:vAlign w:val="center"/>
          </w:tcPr>
          <w:p w14:paraId="3BFB4DF7" w14:textId="77777777" w:rsidR="00E504A3" w:rsidRPr="00BB5186" w:rsidRDefault="00E504A3" w:rsidP="002C25AC">
            <w:pPr>
              <w:pStyle w:val="paragraph"/>
              <w:spacing w:after="100"/>
              <w:jc w:val="right"/>
              <w:textAlignment w:val="center"/>
              <w:rPr>
                <w:rFonts w:ascii="Arial" w:hAnsi="Arial" w:cs="Arial"/>
                <w:bCs/>
                <w:sz w:val="28"/>
                <w:szCs w:val="24"/>
                <w:lang w:val="en-US"/>
              </w:rPr>
            </w:pPr>
            <w:r w:rsidRPr="00BB5186">
              <w:rPr>
                <w:rFonts w:ascii="Arial" w:hAnsi="Arial" w:cs="Arial"/>
                <w:bCs/>
                <w:sz w:val="28"/>
                <w:szCs w:val="24"/>
                <w:lang w:val="en-US"/>
              </w:rPr>
              <w:t>Value</w:t>
            </w:r>
          </w:p>
        </w:tc>
        <w:tc>
          <w:tcPr>
            <w:tcW w:w="1417" w:type="dxa"/>
            <w:shd w:val="clear" w:color="auto" w:fill="989E95"/>
            <w:vAlign w:val="center"/>
          </w:tcPr>
          <w:p w14:paraId="32EAD4FF" w14:textId="77777777" w:rsidR="00E504A3" w:rsidRPr="00BB5186" w:rsidRDefault="00E504A3" w:rsidP="002C25AC">
            <w:pPr>
              <w:pStyle w:val="paragraph"/>
              <w:spacing w:after="100"/>
              <w:jc w:val="left"/>
              <w:textAlignment w:val="center"/>
              <w:rPr>
                <w:rFonts w:ascii="Arial" w:hAnsi="Arial" w:cs="Arial"/>
                <w:bCs/>
                <w:sz w:val="28"/>
                <w:szCs w:val="24"/>
                <w:lang w:val="en-US"/>
              </w:rPr>
            </w:pPr>
            <w:r w:rsidRPr="00BB5186">
              <w:rPr>
                <w:rFonts w:ascii="Arial" w:hAnsi="Arial" w:cs="Arial"/>
                <w:bCs/>
                <w:sz w:val="28"/>
                <w:szCs w:val="24"/>
                <w:lang w:val="en-US"/>
              </w:rPr>
              <w:t>Unit</w:t>
            </w:r>
          </w:p>
        </w:tc>
        <w:tc>
          <w:tcPr>
            <w:tcW w:w="1134" w:type="dxa"/>
            <w:shd w:val="clear" w:color="auto" w:fill="989E95"/>
            <w:vAlign w:val="center"/>
          </w:tcPr>
          <w:p w14:paraId="75FA136C" w14:textId="77777777" w:rsidR="00E504A3" w:rsidRPr="00BB5186" w:rsidRDefault="00E504A3" w:rsidP="002C25AC">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Loss</w:t>
            </w:r>
          </w:p>
        </w:tc>
      </w:tr>
      <w:tr w:rsidR="000D7300" w:rsidRPr="000D7300" w14:paraId="022485F2" w14:textId="77777777" w:rsidTr="000D7300">
        <w:tc>
          <w:tcPr>
            <w:tcW w:w="5245" w:type="dxa"/>
            <w:shd w:val="clear" w:color="auto" w:fill="B8BDB5"/>
            <w:vAlign w:val="center"/>
          </w:tcPr>
          <w:p w14:paraId="3978E832" w14:textId="77777777" w:rsidR="00E504A3" w:rsidRPr="000D7300" w:rsidRDefault="00E504A3" w:rsidP="002C25AC">
            <w:pPr>
              <w:spacing w:after="100"/>
              <w:textAlignment w:val="center"/>
              <w:rPr>
                <w:rFonts w:ascii="Arial" w:hAnsi="Arial" w:cs="Arial"/>
                <w:b/>
                <w:sz w:val="24"/>
                <w:szCs w:val="24"/>
                <w:lang w:val="en-US"/>
              </w:rPr>
            </w:pPr>
            <w:r w:rsidRPr="000D7300">
              <w:rPr>
                <w:rFonts w:ascii="Arial" w:hAnsi="Arial" w:cs="Arial"/>
                <w:b/>
                <w:sz w:val="24"/>
                <w:szCs w:val="24"/>
                <w:lang w:val="en-US"/>
              </w:rPr>
              <w:t>Solar resource</w:t>
            </w:r>
          </w:p>
        </w:tc>
        <w:tc>
          <w:tcPr>
            <w:tcW w:w="1418" w:type="dxa"/>
            <w:shd w:val="clear" w:color="auto" w:fill="B8BDB5"/>
            <w:vAlign w:val="center"/>
          </w:tcPr>
          <w:p w14:paraId="6E708F24" w14:textId="77777777" w:rsidR="00E504A3" w:rsidRPr="000D7300" w:rsidRDefault="00E504A3" w:rsidP="002C25AC">
            <w:pPr>
              <w:spacing w:after="100"/>
              <w:jc w:val="right"/>
              <w:textAlignment w:val="center"/>
              <w:rPr>
                <w:rFonts w:ascii="Arial" w:hAnsi="Arial" w:cs="Arial"/>
                <w:b/>
                <w:sz w:val="24"/>
                <w:szCs w:val="24"/>
                <w:lang w:val="en-US"/>
              </w:rPr>
            </w:pPr>
          </w:p>
        </w:tc>
        <w:tc>
          <w:tcPr>
            <w:tcW w:w="1417" w:type="dxa"/>
            <w:shd w:val="clear" w:color="auto" w:fill="B8BDB5"/>
            <w:vAlign w:val="center"/>
          </w:tcPr>
          <w:p w14:paraId="6F305522" w14:textId="77777777" w:rsidR="00E504A3" w:rsidRPr="000D7300" w:rsidRDefault="00E504A3" w:rsidP="002C25AC">
            <w:pPr>
              <w:spacing w:after="100"/>
              <w:textAlignment w:val="center"/>
              <w:rPr>
                <w:rFonts w:ascii="Arial" w:hAnsi="Arial" w:cs="Arial"/>
                <w:b/>
                <w:sz w:val="24"/>
                <w:szCs w:val="24"/>
                <w:lang w:val="en-US"/>
              </w:rPr>
            </w:pPr>
          </w:p>
        </w:tc>
        <w:tc>
          <w:tcPr>
            <w:tcW w:w="1134" w:type="dxa"/>
            <w:shd w:val="clear" w:color="auto" w:fill="B8BDB5"/>
            <w:vAlign w:val="center"/>
          </w:tcPr>
          <w:p w14:paraId="2C3ED956" w14:textId="77777777" w:rsidR="00E504A3" w:rsidRPr="000D7300" w:rsidRDefault="00E504A3" w:rsidP="002C25AC">
            <w:pPr>
              <w:spacing w:after="100"/>
              <w:jc w:val="center"/>
              <w:textAlignment w:val="center"/>
              <w:rPr>
                <w:rFonts w:ascii="Arial" w:hAnsi="Arial" w:cs="Arial"/>
                <w:b/>
                <w:sz w:val="24"/>
                <w:szCs w:val="24"/>
                <w:lang w:val="en-US"/>
              </w:rPr>
            </w:pPr>
          </w:p>
        </w:tc>
      </w:tr>
      <w:tr w:rsidR="00E504A3" w:rsidRPr="0098155F" w14:paraId="417F4409" w14:textId="77777777" w:rsidTr="002C25AC">
        <w:tc>
          <w:tcPr>
            <w:tcW w:w="5245" w:type="dxa"/>
            <w:shd w:val="clear" w:color="auto" w:fill="FFFFFF" w:themeFill="text1"/>
            <w:vAlign w:val="center"/>
          </w:tcPr>
          <w:p w14:paraId="4E335640"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Global horizontal irradiation</w:t>
            </w:r>
          </w:p>
        </w:tc>
        <w:tc>
          <w:tcPr>
            <w:tcW w:w="1418" w:type="dxa"/>
            <w:shd w:val="clear" w:color="auto" w:fill="FFFFFF" w:themeFill="text1"/>
            <w:vAlign w:val="center"/>
          </w:tcPr>
          <w:p w14:paraId="2280BE14"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1888.4</w:t>
            </w:r>
          </w:p>
        </w:tc>
        <w:tc>
          <w:tcPr>
            <w:tcW w:w="1417" w:type="dxa"/>
            <w:shd w:val="clear" w:color="auto" w:fill="FFFFFF" w:themeFill="text1"/>
            <w:vAlign w:val="center"/>
          </w:tcPr>
          <w:p w14:paraId="4008D42A"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2DC0335D" w14:textId="77777777" w:rsidR="00E504A3" w:rsidRPr="00077F7B" w:rsidRDefault="00E504A3" w:rsidP="002C25AC">
            <w:pPr>
              <w:spacing w:after="100"/>
              <w:jc w:val="center"/>
              <w:textAlignment w:val="center"/>
              <w:rPr>
                <w:rFonts w:ascii="Arial" w:hAnsi="Arial" w:cs="Arial"/>
                <w:sz w:val="24"/>
                <w:szCs w:val="24"/>
                <w:lang w:val="en-US"/>
              </w:rPr>
            </w:pPr>
          </w:p>
        </w:tc>
      </w:tr>
      <w:tr w:rsidR="00E504A3" w:rsidRPr="0098155F" w14:paraId="691330D8" w14:textId="77777777" w:rsidTr="002C25AC">
        <w:tc>
          <w:tcPr>
            <w:tcW w:w="5245" w:type="dxa"/>
            <w:shd w:val="clear" w:color="auto" w:fill="FFFFFF" w:themeFill="text1"/>
            <w:vAlign w:val="center"/>
          </w:tcPr>
          <w:p w14:paraId="4A61F186"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Ground reflected irradiance</w:t>
            </w:r>
          </w:p>
        </w:tc>
        <w:tc>
          <w:tcPr>
            <w:tcW w:w="1418" w:type="dxa"/>
            <w:shd w:val="clear" w:color="auto" w:fill="FFFFFF" w:themeFill="text1"/>
            <w:vAlign w:val="center"/>
          </w:tcPr>
          <w:p w14:paraId="2A7B7CDE"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324.1</w:t>
            </w:r>
          </w:p>
        </w:tc>
        <w:tc>
          <w:tcPr>
            <w:tcW w:w="1417" w:type="dxa"/>
            <w:shd w:val="clear" w:color="auto" w:fill="FFFFFF" w:themeFill="text1"/>
            <w:vAlign w:val="center"/>
          </w:tcPr>
          <w:p w14:paraId="5E722CA9"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5D282B55"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-82.84 %</w:t>
            </w:r>
          </w:p>
        </w:tc>
      </w:tr>
      <w:tr w:rsidR="00E504A3" w:rsidRPr="0098155F" w14:paraId="18B0D395" w14:textId="77777777" w:rsidTr="002C25AC">
        <w:tc>
          <w:tcPr>
            <w:tcW w:w="5245" w:type="dxa"/>
            <w:shd w:val="clear" w:color="auto" w:fill="FFFFFF" w:themeFill="text1"/>
            <w:vAlign w:val="center"/>
          </w:tcPr>
          <w:p w14:paraId="2045CDED"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Transposition to the plane of array</w:t>
            </w:r>
          </w:p>
        </w:tc>
        <w:tc>
          <w:tcPr>
            <w:tcW w:w="1418" w:type="dxa"/>
            <w:shd w:val="clear" w:color="auto" w:fill="FFFFFF" w:themeFill="text1"/>
          </w:tcPr>
          <w:p w14:paraId="30F9AF73"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366.1</w:t>
            </w:r>
          </w:p>
        </w:tc>
        <w:tc>
          <w:tcPr>
            <w:tcW w:w="1417" w:type="dxa"/>
            <w:shd w:val="clear" w:color="auto" w:fill="FFFFFF" w:themeFill="text1"/>
            <w:vAlign w:val="center"/>
          </w:tcPr>
          <w:p w14:paraId="75CCAB03"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47C982EF"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+12.96 %</w:t>
            </w:r>
          </w:p>
        </w:tc>
      </w:tr>
      <w:tr w:rsidR="00E504A3" w:rsidRPr="0098155F" w14:paraId="3B84E7B8" w14:textId="77777777" w:rsidTr="002C25AC">
        <w:tc>
          <w:tcPr>
            <w:tcW w:w="5245" w:type="dxa"/>
            <w:shd w:val="clear" w:color="auto" w:fill="FFFFFF" w:themeFill="text1"/>
            <w:vAlign w:val="center"/>
          </w:tcPr>
          <w:p w14:paraId="52B1BCEA"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Effect of ground shades</w:t>
            </w:r>
          </w:p>
        </w:tc>
        <w:tc>
          <w:tcPr>
            <w:tcW w:w="1418" w:type="dxa"/>
            <w:shd w:val="clear" w:color="auto" w:fill="FFFFFF" w:themeFill="text1"/>
            <w:vAlign w:val="center"/>
          </w:tcPr>
          <w:p w14:paraId="07A94948"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146.6</w:t>
            </w:r>
          </w:p>
        </w:tc>
        <w:tc>
          <w:tcPr>
            <w:tcW w:w="1417" w:type="dxa"/>
            <w:shd w:val="clear" w:color="auto" w:fill="FFFFFF" w:themeFill="text1"/>
            <w:vAlign w:val="center"/>
          </w:tcPr>
          <w:p w14:paraId="046D14B2"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67BF935B"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-59.96 %</w:t>
            </w:r>
          </w:p>
        </w:tc>
      </w:tr>
      <w:tr w:rsidR="00E504A3" w:rsidRPr="0098155F" w14:paraId="47732D2A" w14:textId="77777777" w:rsidTr="002C25AC">
        <w:tc>
          <w:tcPr>
            <w:tcW w:w="5245" w:type="dxa"/>
            <w:shd w:val="clear" w:color="auto" w:fill="FFFFFF" w:themeFill="text1"/>
            <w:vAlign w:val="center"/>
          </w:tcPr>
          <w:p w14:paraId="74BA59A1"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Far shadings (horizon profile effect on beam)</w:t>
            </w:r>
          </w:p>
        </w:tc>
        <w:tc>
          <w:tcPr>
            <w:tcW w:w="1418" w:type="dxa"/>
            <w:shd w:val="clear" w:color="auto" w:fill="FFFFFF" w:themeFill="text1"/>
            <w:vAlign w:val="center"/>
          </w:tcPr>
          <w:p w14:paraId="2C0D62E3"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146.6</w:t>
            </w:r>
          </w:p>
        </w:tc>
        <w:tc>
          <w:tcPr>
            <w:tcW w:w="1417" w:type="dxa"/>
            <w:shd w:val="clear" w:color="auto" w:fill="FFFFFF" w:themeFill="text1"/>
            <w:vAlign w:val="center"/>
          </w:tcPr>
          <w:p w14:paraId="18975970"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014ECF4B" w14:textId="77777777" w:rsidR="00E504A3" w:rsidRPr="00077F7B" w:rsidRDefault="00E504A3" w:rsidP="002C25AC">
            <w:pPr>
              <w:pStyle w:val=""/>
              <w:spacing w:after="100"/>
              <w:jc w:val="center"/>
              <w:textAlignment w:val="center"/>
              <w:rPr>
                <w:rFonts w:ascii="Arial" w:hAnsi="Arial" w:cs="Arial"/>
                <w:sz w:val="24"/>
                <w:szCs w:val="24"/>
              </w:rPr>
            </w:pPr>
            <w:r>
              <w:rPr>
                <w:b w:val="false"/>
              </w:rPr>
              <w:t>0.00 %</w:t>
            </w:r>
          </w:p>
        </w:tc>
      </w:tr>
      <w:tr w:rsidR="00E504A3" w:rsidRPr="0098155F" w14:paraId="6CE1A074" w14:textId="77777777" w:rsidTr="002C25AC">
        <w:tc>
          <w:tcPr>
            <w:tcW w:w="5245" w:type="dxa"/>
            <w:shd w:val="clear" w:color="auto" w:fill="FFFFFF" w:themeFill="text1"/>
            <w:vAlign w:val="center"/>
          </w:tcPr>
          <w:p w14:paraId="28987196"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Near shadings</w:t>
            </w:r>
          </w:p>
        </w:tc>
        <w:tc>
          <w:tcPr>
            <w:tcW w:w="1418" w:type="dxa"/>
            <w:shd w:val="clear" w:color="auto" w:fill="FFFFFF" w:themeFill="text1"/>
            <w:vAlign w:val="center"/>
          </w:tcPr>
          <w:p w14:paraId="7B4A57D0"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126.5</w:t>
            </w:r>
          </w:p>
        </w:tc>
        <w:tc>
          <w:tcPr>
            <w:tcW w:w="1417" w:type="dxa"/>
            <w:shd w:val="clear" w:color="auto" w:fill="FFFFFF" w:themeFill="text1"/>
            <w:vAlign w:val="center"/>
          </w:tcPr>
          <w:p w14:paraId="6E17BBF9"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1F933193"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-13.69 %</w:t>
            </w:r>
          </w:p>
        </w:tc>
      </w:tr>
      <w:tr w:rsidR="00E504A3" w:rsidRPr="0098155F" w14:paraId="0F7C561A" w14:textId="77777777" w:rsidTr="002C25AC">
        <w:tc>
          <w:tcPr>
            <w:tcW w:w="5245" w:type="dxa"/>
            <w:shd w:val="clear" w:color="auto" w:fill="FFFFFF" w:themeFill="text1"/>
            <w:vAlign w:val="center"/>
          </w:tcPr>
          <w:p w14:paraId="26D569FE"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Soiling</w:t>
            </w:r>
          </w:p>
        </w:tc>
        <w:tc>
          <w:tcPr>
            <w:tcW w:w="1418" w:type="dxa"/>
            <w:shd w:val="clear" w:color="auto" w:fill="FFFFFF" w:themeFill="text1"/>
            <w:vAlign w:val="center"/>
          </w:tcPr>
          <w:p w14:paraId="645005D2"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126.5</w:t>
            </w:r>
          </w:p>
        </w:tc>
        <w:tc>
          <w:tcPr>
            <w:tcW w:w="1417" w:type="dxa"/>
            <w:shd w:val="clear" w:color="auto" w:fill="FFFFFF" w:themeFill="text1"/>
            <w:vAlign w:val="center"/>
          </w:tcPr>
          <w:p w14:paraId="6CFC2D3E"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21608934"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0.00 %</w:t>
            </w:r>
          </w:p>
        </w:tc>
      </w:tr>
      <w:tr w:rsidR="00E504A3" w:rsidRPr="0098155F" w14:paraId="50A0B1A3" w14:textId="77777777" w:rsidTr="002C25AC">
        <w:tc>
          <w:tcPr>
            <w:tcW w:w="5245" w:type="dxa"/>
            <w:shd w:val="clear" w:color="auto" w:fill="FFFFFF" w:themeFill="text1"/>
            <w:vAlign w:val="center"/>
          </w:tcPr>
          <w:p w14:paraId="2FFFDE7D"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IAM loss</w:t>
            </w:r>
          </w:p>
        </w:tc>
        <w:tc>
          <w:tcPr>
            <w:tcW w:w="1418" w:type="dxa"/>
            <w:shd w:val="clear" w:color="auto" w:fill="FFFFFF" w:themeFill="text1"/>
            <w:vAlign w:val="center"/>
          </w:tcPr>
          <w:p w14:paraId="06074059"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116.6</w:t>
            </w:r>
          </w:p>
        </w:tc>
        <w:tc>
          <w:tcPr>
            <w:tcW w:w="1417" w:type="dxa"/>
            <w:shd w:val="clear" w:color="auto" w:fill="FFFFFF" w:themeFill="text1"/>
            <w:vAlign w:val="center"/>
          </w:tcPr>
          <w:p w14:paraId="5F3C4F20" w14:textId="77777777" w:rsidR="00E504A3" w:rsidRPr="00077F7B" w:rsidRDefault="00E504A3" w:rsidP="002C25AC">
            <w:pPr>
              <w:pStyle w:val=""/>
              <w:spacing w:after="100"/>
              <w:textAlignment w:val="center"/>
              <w:rPr>
                <w:rFonts w:ascii="Arial" w:hAnsi="Arial" w:cs="Arial"/>
                <w:sz w:val="24"/>
                <w:szCs w:val="24"/>
                <w:lang w:val="en-US"/>
              </w:rPr>
            </w:pPr>
            <w:r>
              <w:rPr>
                <w:b w:val="false"/>
              </w:rPr>
              <w:t>kWh/m2</w:t>
            </w:r>
          </w:p>
        </w:tc>
        <w:tc>
          <w:tcPr>
            <w:tcW w:w="1134" w:type="dxa"/>
            <w:shd w:val="clear" w:color="auto" w:fill="FFFFFF" w:themeFill="text1"/>
            <w:vAlign w:val="center"/>
          </w:tcPr>
          <w:p w14:paraId="27B472B1"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-7.83 %</w:t>
            </w:r>
          </w:p>
        </w:tc>
      </w:tr>
      <w:tr w:rsidR="00E504A3" w:rsidRPr="0098155F" w14:paraId="248228EE" w14:textId="77777777" w:rsidTr="002C25AC">
        <w:tc>
          <w:tcPr>
            <w:tcW w:w="5245" w:type="dxa"/>
            <w:shd w:val="clear" w:color="auto" w:fill="FFFFFF" w:themeFill="text1"/>
            <w:vAlign w:val="center"/>
          </w:tcPr>
          <w:p w14:paraId="3FCBA30A"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lastRenderedPageBreak/>
              <w:t>Back-face effective irradiation</w:t>
            </w:r>
          </w:p>
        </w:tc>
        <w:tc>
          <w:tcPr>
            <w:tcW w:w="1418" w:type="dxa"/>
            <w:shd w:val="clear" w:color="auto" w:fill="FFFFFF" w:themeFill="text1"/>
            <w:vAlign w:val="center"/>
          </w:tcPr>
          <w:p w14:paraId="023A94E6" w14:textId="77777777" w:rsidR="00E504A3" w:rsidRPr="00077F7B" w:rsidRDefault="00E504A3" w:rsidP="002C25AC">
            <w:pPr>
              <w:pStyle w:val=""/>
              <w:spacing w:after="100"/>
              <w:jc w:val="right"/>
              <w:textAlignment w:val="center"/>
              <w:rPr>
                <w:rFonts w:ascii="Arial" w:hAnsi="Arial" w:cs="Arial"/>
                <w:b/>
                <w:sz w:val="24"/>
                <w:szCs w:val="24"/>
                <w:lang w:val="en-US"/>
              </w:rPr>
            </w:pPr>
            <w:r>
              <w:rPr>
                <w:b w:val="true"/>
              </w:rPr>
              <w:t>116.6</w:t>
            </w:r>
          </w:p>
        </w:tc>
        <w:tc>
          <w:tcPr>
            <w:tcW w:w="1417" w:type="dxa"/>
            <w:shd w:val="clear" w:color="auto" w:fill="FFFFFF" w:themeFill="text1"/>
            <w:vAlign w:val="center"/>
          </w:tcPr>
          <w:p w14:paraId="1C6EDC00" w14:textId="77777777" w:rsidR="00E504A3" w:rsidRPr="00077F7B" w:rsidRDefault="00E504A3" w:rsidP="002C25AC">
            <w:pPr>
              <w:pStyle w:val=""/>
              <w:spacing w:after="100"/>
              <w:textAlignment w:val="center"/>
              <w:rPr>
                <w:rFonts w:ascii="Arial" w:hAnsi="Arial" w:cs="Arial"/>
                <w:b/>
                <w:sz w:val="24"/>
                <w:szCs w:val="24"/>
                <w:lang w:val="en-US"/>
              </w:rPr>
            </w:pPr>
            <w:r>
              <w:rPr>
                <w:b w:val="true"/>
              </w:rPr>
              <w:t>kWh/m2</w:t>
            </w:r>
          </w:p>
        </w:tc>
        <w:tc>
          <w:tcPr>
            <w:tcW w:w="1134" w:type="dxa"/>
            <w:shd w:val="clear" w:color="auto" w:fill="FFFFFF" w:themeFill="text1"/>
            <w:vAlign w:val="center"/>
          </w:tcPr>
          <w:p w14:paraId="63FAB86D" w14:textId="77777777" w:rsidR="00E504A3" w:rsidRPr="00077F7B" w:rsidRDefault="00E504A3" w:rsidP="002C25AC">
            <w:pPr>
              <w:spacing w:after="100"/>
              <w:jc w:val="center"/>
              <w:textAlignment w:val="center"/>
              <w:rPr>
                <w:rFonts w:ascii="Arial" w:hAnsi="Arial" w:cs="Arial"/>
                <w:b/>
                <w:sz w:val="24"/>
                <w:szCs w:val="24"/>
                <w:lang w:val="en-US"/>
              </w:rPr>
            </w:pPr>
          </w:p>
        </w:tc>
      </w:tr>
    </w:tbl>
    <w:p w14:paraId="30690B8D" w14:textId="77777777" w:rsidR="00E504A3" w:rsidRPr="0098155F" w:rsidRDefault="00E504A3" w:rsidP="00E504A3">
      <w:pPr>
        <w:pStyle w:val="NameTableImg"/>
        <w:rPr>
          <w:rFonts w:cs="Arial"/>
          <w:lang w:val="en-US"/>
        </w:rPr>
      </w:pPr>
      <w:r>
        <w:rPr>
          <w:b w:val="false"/>
          <w:i w:val="true"/>
        </w:rPr>
        <w:t>Table 21. Yields and losses for the first year.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1418"/>
        <w:gridCol w:w="1417"/>
        <w:gridCol w:w="1134"/>
      </w:tblGrid>
      <w:tr w:rsidR="00BB5186" w:rsidRPr="00BB5186" w14:paraId="68FC474C" w14:textId="77777777" w:rsidTr="00BB5186">
        <w:tc>
          <w:tcPr>
            <w:tcW w:w="5245" w:type="dxa"/>
            <w:shd w:val="clear" w:color="auto" w:fill="989E95"/>
            <w:vAlign w:val="center"/>
          </w:tcPr>
          <w:p w14:paraId="48ECF8F0" w14:textId="77777777" w:rsidR="00E504A3" w:rsidRPr="00BB5186" w:rsidRDefault="00E504A3" w:rsidP="002C25AC">
            <w:pPr>
              <w:pStyle w:val="paragraph"/>
              <w:spacing w:after="100"/>
              <w:jc w:val="left"/>
              <w:textAlignment w:val="center"/>
              <w:rPr>
                <w:rFonts w:ascii="Arial" w:hAnsi="Arial" w:cs="Arial"/>
                <w:bCs/>
                <w:sz w:val="28"/>
                <w:szCs w:val="24"/>
                <w:lang w:val="en-US"/>
              </w:rPr>
            </w:pPr>
            <w:r>
              <w:rPr>
                <w:b w:val="false"/>
              </w:rPr>
              <w:t>Description</w:t>
            </w:r>
          </w:p>
        </w:tc>
        <w:tc>
          <w:tcPr>
            <w:tcW w:w="1418" w:type="dxa"/>
            <w:shd w:val="clear" w:color="auto" w:fill="989E95"/>
            <w:vAlign w:val="center"/>
          </w:tcPr>
          <w:p w14:paraId="4616EB6D" w14:textId="77777777" w:rsidR="00E504A3" w:rsidRPr="00BB5186" w:rsidRDefault="00E504A3" w:rsidP="002C25AC">
            <w:pPr>
              <w:pStyle w:val="paragraph"/>
              <w:spacing w:after="100"/>
              <w:jc w:val="right"/>
              <w:textAlignment w:val="center"/>
              <w:rPr>
                <w:rFonts w:ascii="Arial" w:hAnsi="Arial" w:cs="Arial"/>
                <w:bCs/>
                <w:sz w:val="28"/>
                <w:szCs w:val="24"/>
                <w:lang w:val="en-US"/>
              </w:rPr>
            </w:pPr>
            <w:r w:rsidRPr="00BB5186">
              <w:rPr>
                <w:rFonts w:ascii="Arial" w:hAnsi="Arial" w:cs="Arial"/>
                <w:bCs/>
                <w:sz w:val="28"/>
                <w:szCs w:val="24"/>
                <w:lang w:val="en-US"/>
              </w:rPr>
              <w:t>Value</w:t>
            </w:r>
          </w:p>
        </w:tc>
        <w:tc>
          <w:tcPr>
            <w:tcW w:w="1417" w:type="dxa"/>
            <w:shd w:val="clear" w:color="auto" w:fill="989E95"/>
            <w:vAlign w:val="center"/>
          </w:tcPr>
          <w:p w14:paraId="78527F13" w14:textId="77777777" w:rsidR="00E504A3" w:rsidRPr="00BB5186" w:rsidRDefault="00E504A3" w:rsidP="002C25AC">
            <w:pPr>
              <w:pStyle w:val="paragraph"/>
              <w:spacing w:after="100"/>
              <w:jc w:val="left"/>
              <w:textAlignment w:val="center"/>
              <w:rPr>
                <w:rFonts w:ascii="Arial" w:hAnsi="Arial" w:cs="Arial"/>
                <w:bCs/>
                <w:sz w:val="28"/>
                <w:szCs w:val="24"/>
                <w:lang w:val="en-US"/>
              </w:rPr>
            </w:pPr>
            <w:r w:rsidRPr="00BB5186">
              <w:rPr>
                <w:rFonts w:ascii="Arial" w:hAnsi="Arial" w:cs="Arial"/>
                <w:bCs/>
                <w:sz w:val="28"/>
                <w:szCs w:val="24"/>
                <w:lang w:val="en-US"/>
              </w:rPr>
              <w:t>Unit</w:t>
            </w:r>
          </w:p>
        </w:tc>
        <w:tc>
          <w:tcPr>
            <w:tcW w:w="1134" w:type="dxa"/>
            <w:shd w:val="clear" w:color="auto" w:fill="989E95"/>
            <w:vAlign w:val="center"/>
          </w:tcPr>
          <w:p w14:paraId="0FE1EAE0" w14:textId="77777777" w:rsidR="00E504A3" w:rsidRPr="00BB5186" w:rsidRDefault="00E504A3" w:rsidP="002C25AC">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Loss</w:t>
            </w:r>
          </w:p>
        </w:tc>
      </w:tr>
      <w:tr w:rsidR="00077F7B" w:rsidRPr="00077F7B" w14:paraId="07833644" w14:textId="77777777" w:rsidTr="00077F7B">
        <w:tc>
          <w:tcPr>
            <w:tcW w:w="5245" w:type="dxa"/>
            <w:shd w:val="clear" w:color="auto" w:fill="B8BDB5"/>
            <w:vAlign w:val="center"/>
          </w:tcPr>
          <w:p w14:paraId="31482A18"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Solar resource</w:t>
            </w:r>
          </w:p>
        </w:tc>
        <w:tc>
          <w:tcPr>
            <w:tcW w:w="1418" w:type="dxa"/>
            <w:shd w:val="clear" w:color="auto" w:fill="B8BDB5"/>
            <w:vAlign w:val="center"/>
          </w:tcPr>
          <w:p w14:paraId="38839B62" w14:textId="77777777" w:rsidR="00E504A3" w:rsidRPr="00077F7B" w:rsidRDefault="00E504A3" w:rsidP="002C25AC">
            <w:pPr>
              <w:spacing w:after="100"/>
              <w:jc w:val="right"/>
              <w:textAlignment w:val="center"/>
              <w:rPr>
                <w:rFonts w:ascii="Arial" w:hAnsi="Arial" w:cs="Arial"/>
                <w:b/>
                <w:sz w:val="24"/>
                <w:szCs w:val="24"/>
                <w:lang w:val="en-US"/>
              </w:rPr>
            </w:pPr>
          </w:p>
        </w:tc>
        <w:tc>
          <w:tcPr>
            <w:tcW w:w="1417" w:type="dxa"/>
            <w:shd w:val="clear" w:color="auto" w:fill="B8BDB5"/>
            <w:vAlign w:val="center"/>
          </w:tcPr>
          <w:p w14:paraId="2BECCF13" w14:textId="77777777" w:rsidR="00E504A3" w:rsidRPr="00077F7B" w:rsidRDefault="00E504A3" w:rsidP="002C25AC">
            <w:pPr>
              <w:spacing w:after="100"/>
              <w:textAlignment w:val="center"/>
              <w:rPr>
                <w:rFonts w:ascii="Arial" w:hAnsi="Arial" w:cs="Arial"/>
                <w:b/>
                <w:sz w:val="24"/>
                <w:szCs w:val="24"/>
                <w:lang w:val="en-US"/>
              </w:rPr>
            </w:pPr>
          </w:p>
        </w:tc>
        <w:tc>
          <w:tcPr>
            <w:tcW w:w="1134" w:type="dxa"/>
            <w:shd w:val="clear" w:color="auto" w:fill="B8BDB5"/>
            <w:vAlign w:val="center"/>
          </w:tcPr>
          <w:p w14:paraId="36D0E8E4" w14:textId="77777777" w:rsidR="00E504A3" w:rsidRPr="00077F7B" w:rsidRDefault="00E504A3" w:rsidP="002C25AC">
            <w:pPr>
              <w:spacing w:after="100"/>
              <w:jc w:val="center"/>
              <w:textAlignment w:val="center"/>
              <w:rPr>
                <w:rFonts w:ascii="Arial" w:hAnsi="Arial" w:cs="Arial"/>
                <w:b/>
                <w:sz w:val="24"/>
                <w:szCs w:val="24"/>
                <w:lang w:val="en-US"/>
              </w:rPr>
            </w:pPr>
          </w:p>
        </w:tc>
      </w:tr>
      <w:tr w:rsidR="00E504A3" w:rsidRPr="0098155F" w14:paraId="36015E4A" w14:textId="77777777" w:rsidTr="002C25AC">
        <w:tc>
          <w:tcPr>
            <w:tcW w:w="5245" w:type="dxa"/>
            <w:shd w:val="clear" w:color="auto" w:fill="FFFFFF" w:themeFill="text1"/>
            <w:vAlign w:val="center"/>
          </w:tcPr>
          <w:p w14:paraId="4FC59476" w14:textId="77777777" w:rsidR="00E504A3" w:rsidRPr="00077F7B" w:rsidRDefault="00E504A3" w:rsidP="002C25AC">
            <w:pPr>
              <w:spacing w:after="100"/>
              <w:textAlignment w:val="center"/>
              <w:rPr>
                <w:rFonts w:ascii="Arial" w:hAnsi="Arial" w:cs="Arial"/>
                <w:bCs/>
                <w:sz w:val="24"/>
                <w:szCs w:val="24"/>
                <w:lang w:val="en-US"/>
              </w:rPr>
            </w:pPr>
            <w:r w:rsidRPr="00077F7B">
              <w:rPr>
                <w:rFonts w:ascii="Arial" w:hAnsi="Arial" w:cs="Arial"/>
                <w:bCs/>
                <w:sz w:val="24"/>
                <w:szCs w:val="24"/>
                <w:lang w:val="en-US"/>
              </w:rPr>
              <w:t>Front face effective irradiation</w:t>
            </w:r>
          </w:p>
        </w:tc>
        <w:tc>
          <w:tcPr>
            <w:tcW w:w="1418" w:type="dxa"/>
            <w:shd w:val="clear" w:color="auto" w:fill="FFFFFF" w:themeFill="text1"/>
            <w:vAlign w:val="center"/>
          </w:tcPr>
          <w:p w14:paraId="69DD50D3" w14:textId="77777777" w:rsidR="00E504A3" w:rsidRPr="00077F7B" w:rsidRDefault="00E504A3" w:rsidP="002C25AC">
            <w:pPr>
              <w:pStyle w:val=""/>
              <w:spacing w:after="100"/>
              <w:jc w:val="right"/>
              <w:textAlignment w:val="center"/>
              <w:rPr>
                <w:rFonts w:ascii="Arial" w:hAnsi="Arial" w:cs="Arial"/>
                <w:bCs/>
                <w:sz w:val="24"/>
                <w:szCs w:val="24"/>
                <w:lang w:val="en-US"/>
              </w:rPr>
            </w:pPr>
            <w:r>
              <w:rPr>
                <w:b w:val="false"/>
              </w:rPr>
              <w:t>2372.2</w:t>
            </w:r>
          </w:p>
        </w:tc>
        <w:tc>
          <w:tcPr>
            <w:tcW w:w="1417" w:type="dxa"/>
            <w:shd w:val="clear" w:color="auto" w:fill="FFFFFF" w:themeFill="text1"/>
            <w:vAlign w:val="center"/>
          </w:tcPr>
          <w:p w14:paraId="6A72A650" w14:textId="77777777" w:rsidR="00E504A3" w:rsidRPr="00077F7B" w:rsidRDefault="00E504A3" w:rsidP="002C25AC">
            <w:pPr>
              <w:pStyle w:val=""/>
              <w:spacing w:after="100"/>
              <w:textAlignment w:val="center"/>
              <w:rPr>
                <w:rFonts w:ascii="Arial" w:hAnsi="Arial" w:cs="Arial"/>
                <w:bCs/>
                <w:sz w:val="24"/>
                <w:szCs w:val="24"/>
                <w:lang w:val="en-US"/>
              </w:rPr>
            </w:pPr>
            <w:r>
              <w:rPr>
                <w:b w:val="false"/>
              </w:rPr>
              <w:t>kWh/m2</w:t>
            </w:r>
          </w:p>
        </w:tc>
        <w:tc>
          <w:tcPr>
            <w:tcW w:w="1134" w:type="dxa"/>
            <w:shd w:val="clear" w:color="auto" w:fill="FFFFFF" w:themeFill="text1"/>
            <w:vAlign w:val="center"/>
          </w:tcPr>
          <w:p w14:paraId="4B6327F9" w14:textId="77777777" w:rsidR="00E504A3" w:rsidRPr="00077F7B" w:rsidRDefault="00E504A3" w:rsidP="002C25AC">
            <w:pPr>
              <w:spacing w:after="100"/>
              <w:jc w:val="center"/>
              <w:textAlignment w:val="center"/>
              <w:rPr>
                <w:rFonts w:ascii="Arial" w:hAnsi="Arial" w:cs="Arial"/>
                <w:b/>
                <w:sz w:val="24"/>
                <w:szCs w:val="24"/>
                <w:lang w:val="en-US"/>
              </w:rPr>
            </w:pPr>
          </w:p>
        </w:tc>
      </w:tr>
      <w:tr w:rsidR="00E504A3" w:rsidRPr="0098155F" w14:paraId="7B198306" w14:textId="77777777" w:rsidTr="002C25AC">
        <w:tc>
          <w:tcPr>
            <w:tcW w:w="5245" w:type="dxa"/>
            <w:shd w:val="clear" w:color="auto" w:fill="FFFFFF" w:themeFill="text1"/>
            <w:vAlign w:val="center"/>
          </w:tcPr>
          <w:p w14:paraId="6D8B06C2" w14:textId="77777777" w:rsidR="00E504A3" w:rsidRPr="00077F7B" w:rsidRDefault="00E504A3" w:rsidP="002C25AC">
            <w:pPr>
              <w:spacing w:after="100"/>
              <w:textAlignment w:val="center"/>
              <w:rPr>
                <w:rFonts w:ascii="Arial" w:hAnsi="Arial" w:cs="Arial"/>
                <w:bCs/>
                <w:sz w:val="24"/>
                <w:szCs w:val="24"/>
                <w:lang w:val="en-US"/>
              </w:rPr>
            </w:pPr>
            <w:r w:rsidRPr="00077F7B">
              <w:rPr>
                <w:rFonts w:ascii="Arial" w:hAnsi="Arial" w:cs="Arial"/>
                <w:bCs/>
                <w:sz w:val="24"/>
                <w:szCs w:val="24"/>
                <w:lang w:val="en-US"/>
              </w:rPr>
              <w:t>Back face effective irradiation</w:t>
            </w:r>
          </w:p>
        </w:tc>
        <w:tc>
          <w:tcPr>
            <w:tcW w:w="1418" w:type="dxa"/>
            <w:shd w:val="clear" w:color="auto" w:fill="FFFFFF" w:themeFill="text1"/>
            <w:vAlign w:val="center"/>
          </w:tcPr>
          <w:p w14:paraId="098F446E" w14:textId="77777777" w:rsidR="00E504A3" w:rsidRPr="00077F7B" w:rsidRDefault="00E504A3" w:rsidP="002C25AC">
            <w:pPr>
              <w:pStyle w:val=""/>
              <w:spacing w:after="100"/>
              <w:jc w:val="right"/>
              <w:textAlignment w:val="center"/>
              <w:rPr>
                <w:rFonts w:ascii="Arial" w:hAnsi="Arial" w:cs="Arial"/>
                <w:bCs/>
                <w:sz w:val="24"/>
                <w:szCs w:val="24"/>
                <w:lang w:val="en-US"/>
              </w:rPr>
            </w:pPr>
            <w:r>
              <w:rPr>
                <w:b w:val="false"/>
              </w:rPr>
              <w:t>116.6</w:t>
            </w:r>
          </w:p>
        </w:tc>
        <w:tc>
          <w:tcPr>
            <w:tcW w:w="1417" w:type="dxa"/>
            <w:shd w:val="clear" w:color="auto" w:fill="FFFFFF" w:themeFill="text1"/>
            <w:vAlign w:val="center"/>
          </w:tcPr>
          <w:p w14:paraId="5840DE7E" w14:textId="77777777" w:rsidR="00E504A3" w:rsidRPr="00077F7B" w:rsidRDefault="00E504A3" w:rsidP="002C25AC">
            <w:pPr>
              <w:pStyle w:val=""/>
              <w:spacing w:after="100"/>
              <w:textAlignment w:val="center"/>
              <w:rPr>
                <w:rFonts w:ascii="Arial" w:hAnsi="Arial" w:cs="Arial"/>
                <w:bCs/>
                <w:sz w:val="24"/>
                <w:szCs w:val="24"/>
                <w:lang w:val="en-US"/>
              </w:rPr>
            </w:pPr>
            <w:r>
              <w:rPr>
                <w:b w:val="false"/>
              </w:rPr>
              <w:t>kWh/m2</w:t>
            </w:r>
          </w:p>
        </w:tc>
        <w:tc>
          <w:tcPr>
            <w:tcW w:w="1134" w:type="dxa"/>
            <w:shd w:val="clear" w:color="auto" w:fill="FFFFFF" w:themeFill="text1"/>
            <w:vAlign w:val="center"/>
          </w:tcPr>
          <w:p w14:paraId="4BA459E5" w14:textId="77777777" w:rsidR="00E504A3" w:rsidRPr="00077F7B" w:rsidRDefault="00E504A3" w:rsidP="002C25AC">
            <w:pPr>
              <w:spacing w:after="100"/>
              <w:jc w:val="center"/>
              <w:textAlignment w:val="center"/>
              <w:rPr>
                <w:rFonts w:ascii="Arial" w:hAnsi="Arial" w:cs="Arial"/>
                <w:b/>
                <w:sz w:val="24"/>
                <w:szCs w:val="24"/>
                <w:lang w:val="en-US"/>
              </w:rPr>
            </w:pPr>
          </w:p>
        </w:tc>
      </w:tr>
      <w:tr w:rsidR="00E504A3" w:rsidRPr="0098155F" w14:paraId="72007112" w14:textId="77777777" w:rsidTr="002C25AC">
        <w:tc>
          <w:tcPr>
            <w:tcW w:w="5245" w:type="dxa"/>
            <w:shd w:val="clear" w:color="auto" w:fill="FFFFFF" w:themeFill="text1"/>
            <w:vAlign w:val="center"/>
          </w:tcPr>
          <w:p w14:paraId="1CC47F68"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Global effective irradiation</w:t>
            </w:r>
          </w:p>
        </w:tc>
        <w:tc>
          <w:tcPr>
            <w:tcW w:w="1418" w:type="dxa"/>
            <w:shd w:val="clear" w:color="auto" w:fill="FFFFFF" w:themeFill="text1"/>
            <w:vAlign w:val="center"/>
          </w:tcPr>
          <w:p w14:paraId="395886EF" w14:textId="77777777" w:rsidR="00E504A3" w:rsidRPr="00077F7B" w:rsidRDefault="00E504A3" w:rsidP="002C25AC">
            <w:pPr>
              <w:pStyle w:val=""/>
              <w:spacing w:after="100"/>
              <w:jc w:val="right"/>
              <w:textAlignment w:val="center"/>
              <w:rPr>
                <w:rFonts w:ascii="Arial" w:hAnsi="Arial" w:cs="Arial"/>
                <w:b/>
                <w:sz w:val="24"/>
                <w:szCs w:val="24"/>
                <w:lang w:val="en-US"/>
              </w:rPr>
            </w:pPr>
            <w:r>
              <w:rPr>
                <w:b w:val="true"/>
              </w:rPr>
              <w:t>2488.8</w:t>
            </w:r>
          </w:p>
        </w:tc>
        <w:tc>
          <w:tcPr>
            <w:tcW w:w="1417" w:type="dxa"/>
            <w:shd w:val="clear" w:color="auto" w:fill="FFFFFF" w:themeFill="text1"/>
            <w:vAlign w:val="center"/>
          </w:tcPr>
          <w:p w14:paraId="143D439D" w14:textId="77777777" w:rsidR="00E504A3" w:rsidRPr="00077F7B" w:rsidRDefault="00E504A3" w:rsidP="002C25AC">
            <w:pPr>
              <w:pStyle w:val=""/>
              <w:spacing w:after="100"/>
              <w:textAlignment w:val="center"/>
              <w:rPr>
                <w:rFonts w:ascii="Arial" w:hAnsi="Arial" w:cs="Arial"/>
                <w:b/>
                <w:sz w:val="24"/>
                <w:szCs w:val="24"/>
                <w:lang w:val="en-US"/>
              </w:rPr>
            </w:pPr>
            <w:r>
              <w:rPr>
                <w:b w:val="true"/>
              </w:rPr>
              <w:t>kWh/m2</w:t>
            </w:r>
          </w:p>
        </w:tc>
        <w:tc>
          <w:tcPr>
            <w:tcW w:w="1134" w:type="dxa"/>
            <w:shd w:val="clear" w:color="auto" w:fill="FFFFFF" w:themeFill="text1"/>
            <w:vAlign w:val="center"/>
          </w:tcPr>
          <w:p w14:paraId="0D5787C6" w14:textId="77777777" w:rsidR="00E504A3" w:rsidRPr="00077F7B" w:rsidRDefault="00E504A3" w:rsidP="002C25AC">
            <w:pPr>
              <w:spacing w:after="100"/>
              <w:jc w:val="center"/>
              <w:textAlignment w:val="center"/>
              <w:rPr>
                <w:rFonts w:ascii="Arial" w:hAnsi="Arial" w:cs="Arial"/>
                <w:b/>
                <w:sz w:val="24"/>
                <w:szCs w:val="24"/>
                <w:lang w:val="en-US"/>
              </w:rPr>
            </w:pPr>
          </w:p>
        </w:tc>
      </w:tr>
      <w:tr w:rsidR="000D7300" w:rsidRPr="000D7300" w14:paraId="1F6C6A2A" w14:textId="77777777" w:rsidTr="000D7300">
        <w:tc>
          <w:tcPr>
            <w:tcW w:w="5245" w:type="dxa"/>
            <w:shd w:val="clear" w:color="auto" w:fill="B8BDB5"/>
            <w:vAlign w:val="center"/>
          </w:tcPr>
          <w:p w14:paraId="15FEBDF2"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Photovoltaic conversion (nominal efficiency)</w:t>
            </w:r>
          </w:p>
        </w:tc>
        <w:tc>
          <w:tcPr>
            <w:tcW w:w="1418" w:type="dxa"/>
            <w:shd w:val="clear" w:color="auto" w:fill="B8BDB5"/>
            <w:vAlign w:val="center"/>
          </w:tcPr>
          <w:p w14:paraId="68C9B0DF" w14:textId="77777777" w:rsidR="00E504A3" w:rsidRPr="00077F7B" w:rsidRDefault="00E504A3" w:rsidP="002C25AC">
            <w:pPr>
              <w:spacing w:after="100"/>
              <w:jc w:val="right"/>
              <w:textAlignment w:val="center"/>
              <w:rPr>
                <w:rFonts w:ascii="Arial" w:hAnsi="Arial" w:cs="Arial"/>
                <w:b/>
                <w:sz w:val="24"/>
                <w:szCs w:val="24"/>
                <w:lang w:val="en-US"/>
              </w:rPr>
            </w:pPr>
          </w:p>
        </w:tc>
        <w:tc>
          <w:tcPr>
            <w:tcW w:w="1417" w:type="dxa"/>
            <w:shd w:val="clear" w:color="auto" w:fill="B8BDB5"/>
            <w:vAlign w:val="center"/>
          </w:tcPr>
          <w:p w14:paraId="1C93518D" w14:textId="77777777" w:rsidR="00E504A3" w:rsidRPr="00077F7B" w:rsidRDefault="00E504A3" w:rsidP="002C25AC">
            <w:pPr>
              <w:spacing w:after="100"/>
              <w:textAlignment w:val="center"/>
              <w:rPr>
                <w:rFonts w:ascii="Arial" w:hAnsi="Arial" w:cs="Arial"/>
                <w:b/>
                <w:sz w:val="24"/>
                <w:szCs w:val="24"/>
                <w:lang w:val="en-US"/>
              </w:rPr>
            </w:pPr>
          </w:p>
        </w:tc>
        <w:tc>
          <w:tcPr>
            <w:tcW w:w="1134" w:type="dxa"/>
            <w:shd w:val="clear" w:color="auto" w:fill="B8BDB5"/>
            <w:vAlign w:val="center"/>
          </w:tcPr>
          <w:p w14:paraId="5AAC4F56" w14:textId="77777777" w:rsidR="00E504A3" w:rsidRPr="00077F7B" w:rsidRDefault="00E504A3" w:rsidP="002C25AC">
            <w:pPr>
              <w:spacing w:after="100"/>
              <w:jc w:val="center"/>
              <w:textAlignment w:val="center"/>
              <w:rPr>
                <w:rFonts w:ascii="Arial" w:hAnsi="Arial" w:cs="Arial"/>
                <w:b/>
                <w:sz w:val="24"/>
                <w:szCs w:val="24"/>
                <w:lang w:val="en-US"/>
              </w:rPr>
            </w:pPr>
          </w:p>
        </w:tc>
      </w:tr>
      <w:tr w:rsidR="00E504A3" w:rsidRPr="0098155F" w14:paraId="42C67ED6" w14:textId="77777777" w:rsidTr="002C25AC">
        <w:tc>
          <w:tcPr>
            <w:tcW w:w="5245" w:type="dxa"/>
            <w:shd w:val="clear" w:color="auto" w:fill="FFFFFF" w:themeFill="text1"/>
            <w:vAlign w:val="center"/>
          </w:tcPr>
          <w:p w14:paraId="1D319185"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Total receptive surface</w:t>
            </w:r>
          </w:p>
        </w:tc>
        <w:tc>
          <w:tcPr>
            <w:tcW w:w="1418" w:type="dxa"/>
            <w:shd w:val="clear" w:color="auto" w:fill="FFFFFF" w:themeFill="text1"/>
            <w:vAlign w:val="center"/>
          </w:tcPr>
          <w:p w14:paraId="11A86101"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166740</w:t>
            </w:r>
          </w:p>
        </w:tc>
        <w:tc>
          <w:tcPr>
            <w:tcW w:w="1417" w:type="dxa"/>
            <w:shd w:val="clear" w:color="auto" w:fill="FFFFFF" w:themeFill="text1"/>
            <w:vAlign w:val="center"/>
          </w:tcPr>
          <w:p w14:paraId="039E13FF"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m2</w:t>
            </w:r>
          </w:p>
        </w:tc>
        <w:tc>
          <w:tcPr>
            <w:tcW w:w="1134" w:type="dxa"/>
            <w:shd w:val="clear" w:color="auto" w:fill="FFFFFF" w:themeFill="text1"/>
            <w:vAlign w:val="center"/>
          </w:tcPr>
          <w:p w14:paraId="6271CCB1" w14:textId="77777777" w:rsidR="00E504A3" w:rsidRPr="00077F7B" w:rsidRDefault="00E504A3" w:rsidP="002C25AC">
            <w:pPr>
              <w:spacing w:after="100"/>
              <w:jc w:val="center"/>
              <w:textAlignment w:val="center"/>
              <w:rPr>
                <w:rFonts w:ascii="Arial" w:hAnsi="Arial" w:cs="Arial"/>
                <w:sz w:val="24"/>
                <w:szCs w:val="24"/>
                <w:lang w:val="en-US"/>
              </w:rPr>
            </w:pPr>
          </w:p>
        </w:tc>
      </w:tr>
      <w:tr w:rsidR="00E504A3" w:rsidRPr="0098155F" w14:paraId="2520BAF7" w14:textId="77777777" w:rsidTr="002C25AC">
        <w:tc>
          <w:tcPr>
            <w:tcW w:w="5245" w:type="dxa"/>
            <w:shd w:val="clear" w:color="auto" w:fill="FFFFFF" w:themeFill="text1"/>
            <w:vAlign w:val="center"/>
          </w:tcPr>
          <w:p w14:paraId="53FCBE18"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Effective solar energy reaching the photovoltaic cells</w:t>
            </w:r>
          </w:p>
        </w:tc>
        <w:tc>
          <w:tcPr>
            <w:tcW w:w="1418" w:type="dxa"/>
            <w:shd w:val="clear" w:color="auto" w:fill="FFFFFF" w:themeFill="text1"/>
            <w:vAlign w:val="center"/>
          </w:tcPr>
          <w:p w14:paraId="22157D35"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415.0</w:t>
            </w:r>
          </w:p>
        </w:tc>
        <w:tc>
          <w:tcPr>
            <w:tcW w:w="1417" w:type="dxa"/>
            <w:shd w:val="clear" w:color="auto" w:fill="FFFFFF" w:themeFill="text1"/>
            <w:vAlign w:val="center"/>
          </w:tcPr>
          <w:p w14:paraId="2D710F9B"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65706D5F" w14:textId="77777777" w:rsidR="00E504A3" w:rsidRPr="00077F7B" w:rsidRDefault="00E504A3" w:rsidP="002C25AC">
            <w:pPr>
              <w:spacing w:after="100"/>
              <w:jc w:val="center"/>
              <w:textAlignment w:val="center"/>
              <w:rPr>
                <w:rFonts w:ascii="Arial" w:hAnsi="Arial" w:cs="Arial"/>
                <w:sz w:val="24"/>
                <w:szCs w:val="24"/>
                <w:lang w:val="en-US"/>
              </w:rPr>
            </w:pPr>
          </w:p>
        </w:tc>
      </w:tr>
      <w:tr w:rsidR="00E504A3" w:rsidRPr="0098155F" w14:paraId="1C7DC5B2" w14:textId="77777777" w:rsidTr="002C25AC">
        <w:tc>
          <w:tcPr>
            <w:tcW w:w="5245" w:type="dxa"/>
            <w:shd w:val="clear" w:color="auto" w:fill="FFFFFF" w:themeFill="text1"/>
            <w:vAlign w:val="center"/>
          </w:tcPr>
          <w:p w14:paraId="73B16D52"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 xml:space="preserve">Effective energy after the </w:t>
            </w:r>
            <w:proofErr w:type="spellStart"/>
            <w:r w:rsidRPr="00077F7B">
              <w:rPr>
                <w:rFonts w:ascii="Arial" w:hAnsi="Arial" w:cs="Arial"/>
                <w:sz w:val="24"/>
                <w:szCs w:val="24"/>
                <w:lang w:val="en-US"/>
              </w:rPr>
              <w:t>bifaciality</w:t>
            </w:r>
            <w:proofErr w:type="spellEnd"/>
            <w:r w:rsidRPr="00077F7B">
              <w:rPr>
                <w:rFonts w:ascii="Arial" w:hAnsi="Arial" w:cs="Arial"/>
                <w:sz w:val="24"/>
                <w:szCs w:val="24"/>
                <w:lang w:val="en-US"/>
              </w:rPr>
              <w:t xml:space="preserve"> factor</w:t>
            </w:r>
          </w:p>
        </w:tc>
        <w:tc>
          <w:tcPr>
            <w:tcW w:w="1418" w:type="dxa"/>
            <w:shd w:val="clear" w:color="auto" w:fill="FFFFFF" w:themeFill="text1"/>
            <w:vAlign w:val="center"/>
          </w:tcPr>
          <w:p w14:paraId="78BBC996"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411.1</w:t>
            </w:r>
          </w:p>
        </w:tc>
        <w:tc>
          <w:tcPr>
            <w:tcW w:w="1417" w:type="dxa"/>
            <w:shd w:val="clear" w:color="auto" w:fill="FFFFFF" w:themeFill="text1"/>
            <w:vAlign w:val="center"/>
          </w:tcPr>
          <w:p w14:paraId="573187C9"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22331372"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-0.94 %</w:t>
            </w:r>
          </w:p>
        </w:tc>
      </w:tr>
      <w:tr w:rsidR="00E504A3" w:rsidRPr="0098155F" w14:paraId="48194902" w14:textId="77777777" w:rsidTr="002C25AC">
        <w:tc>
          <w:tcPr>
            <w:tcW w:w="5245" w:type="dxa"/>
            <w:shd w:val="clear" w:color="auto" w:fill="FFFFFF" w:themeFill="text1"/>
            <w:vAlign w:val="center"/>
          </w:tcPr>
          <w:p w14:paraId="201609DE"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STC photovoltaic module efficiency</w:t>
            </w:r>
          </w:p>
        </w:tc>
        <w:tc>
          <w:tcPr>
            <w:tcW w:w="1418" w:type="dxa"/>
            <w:shd w:val="clear" w:color="auto" w:fill="FFFFFF" w:themeFill="text1"/>
            <w:vAlign w:val="center"/>
          </w:tcPr>
          <w:p w14:paraId="08855913"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21.85</w:t>
            </w:r>
          </w:p>
        </w:tc>
        <w:tc>
          <w:tcPr>
            <w:tcW w:w="1417" w:type="dxa"/>
            <w:shd w:val="clear" w:color="auto" w:fill="FFFFFF" w:themeFill="text1"/>
            <w:vAlign w:val="center"/>
          </w:tcPr>
          <w:p w14:paraId="7EB6F60E"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w:t>
            </w:r>
          </w:p>
        </w:tc>
        <w:tc>
          <w:tcPr>
            <w:tcW w:w="1134" w:type="dxa"/>
            <w:shd w:val="clear" w:color="auto" w:fill="FFFFFF" w:themeFill="text1"/>
            <w:vAlign w:val="center"/>
          </w:tcPr>
          <w:p w14:paraId="4C0A7437" w14:textId="77777777" w:rsidR="00E504A3" w:rsidRPr="00077F7B" w:rsidRDefault="00E504A3" w:rsidP="002C25AC">
            <w:pPr>
              <w:spacing w:after="100"/>
              <w:jc w:val="center"/>
              <w:textAlignment w:val="center"/>
              <w:rPr>
                <w:rFonts w:ascii="Arial" w:hAnsi="Arial" w:cs="Arial"/>
                <w:sz w:val="24"/>
                <w:szCs w:val="24"/>
                <w:lang w:val="en-US"/>
              </w:rPr>
            </w:pPr>
          </w:p>
        </w:tc>
      </w:tr>
      <w:tr w:rsidR="00E504A3" w:rsidRPr="0098155F" w14:paraId="65B08DF3" w14:textId="77777777" w:rsidTr="002C25AC">
        <w:tc>
          <w:tcPr>
            <w:tcW w:w="5245" w:type="dxa"/>
            <w:shd w:val="clear" w:color="auto" w:fill="FFFFFF" w:themeFill="text1"/>
            <w:vAlign w:val="center"/>
          </w:tcPr>
          <w:p w14:paraId="0D12A234"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Energy with STC conversion efficiency</w:t>
            </w:r>
          </w:p>
        </w:tc>
        <w:tc>
          <w:tcPr>
            <w:tcW w:w="1418" w:type="dxa"/>
            <w:shd w:val="clear" w:color="auto" w:fill="FFFFFF" w:themeFill="text1"/>
            <w:vAlign w:val="center"/>
          </w:tcPr>
          <w:p w14:paraId="1EE55B84" w14:textId="77777777" w:rsidR="00E504A3" w:rsidRPr="00077F7B" w:rsidRDefault="00E504A3" w:rsidP="002C25AC">
            <w:pPr>
              <w:pStyle w:val=""/>
              <w:spacing w:after="100"/>
              <w:jc w:val="right"/>
              <w:textAlignment w:val="center"/>
              <w:rPr>
                <w:rFonts w:ascii="Arial" w:hAnsi="Arial" w:cs="Arial"/>
                <w:b/>
                <w:sz w:val="24"/>
                <w:szCs w:val="24"/>
                <w:lang w:val="en-US"/>
              </w:rPr>
            </w:pPr>
            <w:r>
              <w:rPr>
                <w:b w:val="true"/>
              </w:rPr>
              <w:t>89.83</w:t>
            </w:r>
          </w:p>
        </w:tc>
        <w:tc>
          <w:tcPr>
            <w:tcW w:w="1417" w:type="dxa"/>
            <w:shd w:val="clear" w:color="auto" w:fill="FFFFFF" w:themeFill="text1"/>
            <w:vAlign w:val="center"/>
          </w:tcPr>
          <w:p w14:paraId="5FF49A63" w14:textId="77777777" w:rsidR="00E504A3" w:rsidRPr="00077F7B" w:rsidRDefault="00E504A3" w:rsidP="002C25AC">
            <w:pPr>
              <w:pStyle w:val=""/>
              <w:spacing w:after="100"/>
              <w:textAlignment w:val="center"/>
              <w:rPr>
                <w:rFonts w:ascii="Arial" w:hAnsi="Arial" w:cs="Arial"/>
                <w:b/>
                <w:sz w:val="24"/>
                <w:szCs w:val="24"/>
                <w:lang w:val="en-US"/>
              </w:rPr>
            </w:pPr>
            <w:r>
              <w:rPr>
                <w:b w:val="true"/>
              </w:rPr>
              <w:t>GWh</w:t>
            </w:r>
          </w:p>
        </w:tc>
        <w:tc>
          <w:tcPr>
            <w:tcW w:w="1134" w:type="dxa"/>
            <w:shd w:val="clear" w:color="auto" w:fill="FFFFFF" w:themeFill="text1"/>
            <w:vAlign w:val="center"/>
          </w:tcPr>
          <w:p w14:paraId="45D3B416" w14:textId="77777777" w:rsidR="00E504A3" w:rsidRPr="00077F7B" w:rsidRDefault="00E504A3" w:rsidP="002C25AC">
            <w:pPr>
              <w:spacing w:after="100"/>
              <w:jc w:val="center"/>
              <w:textAlignment w:val="center"/>
              <w:rPr>
                <w:rFonts w:ascii="Arial" w:hAnsi="Arial" w:cs="Arial"/>
                <w:b/>
                <w:sz w:val="24"/>
                <w:szCs w:val="24"/>
                <w:lang w:val="en-US"/>
              </w:rPr>
            </w:pPr>
          </w:p>
        </w:tc>
      </w:tr>
      <w:tr w:rsidR="000D7300" w:rsidRPr="000D7300" w14:paraId="78C25B0C" w14:textId="77777777" w:rsidTr="000D7300">
        <w:tc>
          <w:tcPr>
            <w:tcW w:w="5245" w:type="dxa"/>
            <w:shd w:val="clear" w:color="auto" w:fill="B8BDB5"/>
            <w:vAlign w:val="center"/>
          </w:tcPr>
          <w:p w14:paraId="41429AF0"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Photovoltaic module losses</w:t>
            </w:r>
          </w:p>
        </w:tc>
        <w:tc>
          <w:tcPr>
            <w:tcW w:w="1418" w:type="dxa"/>
            <w:shd w:val="clear" w:color="auto" w:fill="B8BDB5"/>
            <w:vAlign w:val="center"/>
          </w:tcPr>
          <w:p w14:paraId="333EC61A" w14:textId="77777777" w:rsidR="00E504A3" w:rsidRPr="00077F7B" w:rsidRDefault="00E504A3" w:rsidP="002C25AC">
            <w:pPr>
              <w:spacing w:after="100"/>
              <w:jc w:val="right"/>
              <w:textAlignment w:val="center"/>
              <w:rPr>
                <w:rFonts w:ascii="Arial" w:hAnsi="Arial" w:cs="Arial"/>
                <w:b/>
                <w:sz w:val="24"/>
                <w:szCs w:val="24"/>
                <w:lang w:val="en-US"/>
              </w:rPr>
            </w:pPr>
          </w:p>
        </w:tc>
        <w:tc>
          <w:tcPr>
            <w:tcW w:w="1417" w:type="dxa"/>
            <w:shd w:val="clear" w:color="auto" w:fill="B8BDB5"/>
            <w:vAlign w:val="center"/>
          </w:tcPr>
          <w:p w14:paraId="0A428FEB" w14:textId="77777777" w:rsidR="00E504A3" w:rsidRPr="00077F7B" w:rsidRDefault="00E504A3" w:rsidP="002C25AC">
            <w:pPr>
              <w:spacing w:after="100"/>
              <w:textAlignment w:val="center"/>
              <w:rPr>
                <w:rFonts w:ascii="Arial" w:hAnsi="Arial" w:cs="Arial"/>
                <w:b/>
                <w:sz w:val="24"/>
                <w:szCs w:val="24"/>
                <w:lang w:val="en-US"/>
              </w:rPr>
            </w:pPr>
          </w:p>
        </w:tc>
        <w:tc>
          <w:tcPr>
            <w:tcW w:w="1134" w:type="dxa"/>
            <w:shd w:val="clear" w:color="auto" w:fill="B8BDB5"/>
            <w:vAlign w:val="center"/>
          </w:tcPr>
          <w:p w14:paraId="3697CDE3" w14:textId="77777777" w:rsidR="00E504A3" w:rsidRPr="00077F7B" w:rsidRDefault="00E504A3" w:rsidP="002C25AC">
            <w:pPr>
              <w:spacing w:after="100"/>
              <w:jc w:val="center"/>
              <w:textAlignment w:val="center"/>
              <w:rPr>
                <w:rFonts w:ascii="Arial" w:hAnsi="Arial" w:cs="Arial"/>
                <w:b/>
                <w:sz w:val="24"/>
                <w:szCs w:val="24"/>
                <w:lang w:val="en-US"/>
              </w:rPr>
            </w:pPr>
          </w:p>
        </w:tc>
      </w:tr>
      <w:tr w:rsidR="00E504A3" w:rsidRPr="0098155F" w14:paraId="2A61218A" w14:textId="77777777" w:rsidTr="002C25AC">
        <w:tc>
          <w:tcPr>
            <w:tcW w:w="5245" w:type="dxa"/>
            <w:shd w:val="clear" w:color="auto" w:fill="FFFFFF" w:themeFill="text1"/>
            <w:vAlign w:val="center"/>
          </w:tcPr>
          <w:p w14:paraId="532BD68A" w14:textId="77777777" w:rsidR="00E504A3" w:rsidRPr="00077F7B" w:rsidRDefault="00E504A3" w:rsidP="002C25AC">
            <w:pPr>
              <w:spacing w:after="100"/>
              <w:textAlignment w:val="center"/>
              <w:rPr>
                <w:rFonts w:ascii="Arial" w:hAnsi="Arial" w:cs="Arial"/>
                <w:b/>
                <w:color w:val="FFFFFF" w:themeColor="text1"/>
                <w:sz w:val="24"/>
                <w:szCs w:val="24"/>
                <w:lang w:val="en-US"/>
              </w:rPr>
            </w:pPr>
            <w:r w:rsidRPr="00077F7B">
              <w:rPr>
                <w:rFonts w:ascii="Arial" w:hAnsi="Arial" w:cs="Arial"/>
                <w:sz w:val="24"/>
                <w:szCs w:val="24"/>
                <w:lang w:val="en-US"/>
              </w:rPr>
              <w:t>Module degradation</w:t>
            </w:r>
          </w:p>
        </w:tc>
        <w:tc>
          <w:tcPr>
            <w:tcW w:w="1418" w:type="dxa"/>
            <w:shd w:val="clear" w:color="auto" w:fill="FFFFFF" w:themeFill="text1"/>
            <w:vAlign w:val="center"/>
          </w:tcPr>
          <w:p w14:paraId="53D25DA6" w14:textId="77777777" w:rsidR="00E504A3" w:rsidRPr="00077F7B" w:rsidRDefault="00E504A3" w:rsidP="002C25AC">
            <w:pPr>
              <w:pStyle w:val=""/>
              <w:spacing w:after="100"/>
              <w:jc w:val="right"/>
              <w:textAlignment w:val="center"/>
              <w:rPr>
                <w:rFonts w:ascii="Arial" w:hAnsi="Arial" w:cs="Arial"/>
                <w:b/>
                <w:color w:val="FFFFFF" w:themeColor="text1"/>
                <w:sz w:val="24"/>
                <w:szCs w:val="24"/>
                <w:lang w:val="en-US"/>
              </w:rPr>
            </w:pPr>
            <w:r>
              <w:rPr>
                <w:b w:val="false"/>
              </w:rPr>
              <w:t>89.56</w:t>
            </w:r>
          </w:p>
        </w:tc>
        <w:tc>
          <w:tcPr>
            <w:tcW w:w="1417" w:type="dxa"/>
            <w:shd w:val="clear" w:color="auto" w:fill="FFFFFF" w:themeFill="text1"/>
            <w:vAlign w:val="center"/>
          </w:tcPr>
          <w:p w14:paraId="485F8A43" w14:textId="77777777" w:rsidR="00E504A3" w:rsidRPr="00077F7B" w:rsidRDefault="00E504A3" w:rsidP="002C25AC">
            <w:pPr>
              <w:pStyle w:val=""/>
              <w:spacing w:after="100"/>
              <w:textAlignment w:val="center"/>
              <w:rPr>
                <w:rFonts w:ascii="Arial" w:hAnsi="Arial" w:cs="Arial"/>
                <w:b/>
                <w:color w:val="FFFFFF" w:themeColor="text1"/>
                <w:sz w:val="24"/>
                <w:szCs w:val="24"/>
                <w:lang w:val="en-US"/>
              </w:rPr>
            </w:pPr>
            <w:r>
              <w:rPr>
                <w:b w:val="false"/>
              </w:rPr>
              <w:t>GWh</w:t>
            </w:r>
          </w:p>
        </w:tc>
        <w:tc>
          <w:tcPr>
            <w:tcW w:w="1134" w:type="dxa"/>
            <w:shd w:val="clear" w:color="auto" w:fill="FFFFFF" w:themeFill="text1"/>
            <w:vAlign w:val="center"/>
          </w:tcPr>
          <w:p w14:paraId="144807D5" w14:textId="77777777" w:rsidR="00E504A3" w:rsidRPr="00077F7B" w:rsidRDefault="00E504A3" w:rsidP="002C25AC">
            <w:pPr>
              <w:pStyle w:val=""/>
              <w:spacing w:after="100"/>
              <w:jc w:val="center"/>
              <w:textAlignment w:val="center"/>
              <w:rPr>
                <w:rFonts w:ascii="Arial" w:hAnsi="Arial" w:cs="Arial"/>
                <w:b/>
                <w:color w:val="FFFFFF" w:themeColor="text1"/>
                <w:sz w:val="24"/>
                <w:szCs w:val="24"/>
                <w:lang w:val="en-US"/>
              </w:rPr>
            </w:pPr>
            <w:r>
              <w:rPr>
                <w:b w:val="false"/>
              </w:rPr>
              <w:t>-0.30 %</w:t>
            </w:r>
          </w:p>
        </w:tc>
      </w:tr>
      <w:tr w:rsidR="00E504A3" w:rsidRPr="0098155F" w14:paraId="7A1C59EA" w14:textId="77777777" w:rsidTr="002C25AC">
        <w:tc>
          <w:tcPr>
            <w:tcW w:w="5245" w:type="dxa"/>
            <w:shd w:val="clear" w:color="auto" w:fill="FFFFFF" w:themeFill="text1"/>
            <w:vAlign w:val="center"/>
          </w:tcPr>
          <w:p w14:paraId="6B507695"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Irradiance level loss</w:t>
            </w:r>
          </w:p>
        </w:tc>
        <w:tc>
          <w:tcPr>
            <w:tcW w:w="1418" w:type="dxa"/>
            <w:shd w:val="clear" w:color="auto" w:fill="FFFFFF" w:themeFill="text1"/>
            <w:vAlign w:val="center"/>
          </w:tcPr>
          <w:p w14:paraId="08E22EF7"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89.83</w:t>
            </w:r>
          </w:p>
        </w:tc>
        <w:tc>
          <w:tcPr>
            <w:tcW w:w="1417" w:type="dxa"/>
            <w:shd w:val="clear" w:color="auto" w:fill="FFFFFF" w:themeFill="text1"/>
            <w:vAlign w:val="center"/>
          </w:tcPr>
          <w:p w14:paraId="68305E85"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22A6F547"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+0.30 %</w:t>
            </w:r>
          </w:p>
        </w:tc>
      </w:tr>
      <w:tr w:rsidR="00E504A3" w:rsidRPr="0098155F" w14:paraId="771C18D2" w14:textId="77777777" w:rsidTr="002C25AC">
        <w:tc>
          <w:tcPr>
            <w:tcW w:w="5245" w:type="dxa"/>
            <w:shd w:val="clear" w:color="auto" w:fill="FFFFFF" w:themeFill="text1"/>
            <w:vAlign w:val="center"/>
          </w:tcPr>
          <w:p w14:paraId="2CB25DE5"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Temperature loss</w:t>
            </w:r>
          </w:p>
        </w:tc>
        <w:tc>
          <w:tcPr>
            <w:tcW w:w="1418" w:type="dxa"/>
            <w:shd w:val="clear" w:color="auto" w:fill="FFFFFF" w:themeFill="text1"/>
            <w:vAlign w:val="center"/>
          </w:tcPr>
          <w:p w14:paraId="51C8E5A5"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85.93</w:t>
            </w:r>
          </w:p>
        </w:tc>
        <w:tc>
          <w:tcPr>
            <w:tcW w:w="1417" w:type="dxa"/>
            <w:shd w:val="clear" w:color="auto" w:fill="FFFFFF" w:themeFill="text1"/>
            <w:vAlign w:val="center"/>
          </w:tcPr>
          <w:p w14:paraId="231EC169"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6DEEA425"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-4.34 %</w:t>
            </w:r>
          </w:p>
        </w:tc>
      </w:tr>
      <w:tr w:rsidR="00E504A3" w:rsidRPr="0098155F" w14:paraId="77BAF479" w14:textId="77777777" w:rsidTr="002C25AC">
        <w:tc>
          <w:tcPr>
            <w:tcW w:w="5245" w:type="dxa"/>
            <w:shd w:val="clear" w:color="auto" w:fill="FFFFFF" w:themeFill="text1"/>
            <w:vAlign w:val="center"/>
          </w:tcPr>
          <w:p w14:paraId="0BF13A63"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Spectral correction</w:t>
            </w:r>
          </w:p>
        </w:tc>
        <w:tc>
          <w:tcPr>
            <w:tcW w:w="1418" w:type="dxa"/>
            <w:shd w:val="clear" w:color="auto" w:fill="FFFFFF" w:themeFill="text1"/>
            <w:vAlign w:val="center"/>
          </w:tcPr>
          <w:p w14:paraId="40599273"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85.93</w:t>
            </w:r>
          </w:p>
        </w:tc>
        <w:tc>
          <w:tcPr>
            <w:tcW w:w="1417" w:type="dxa"/>
            <w:shd w:val="clear" w:color="auto" w:fill="FFFFFF" w:themeFill="text1"/>
            <w:vAlign w:val="center"/>
          </w:tcPr>
          <w:p w14:paraId="47541F3E"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013F62B9"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0.00 %</w:t>
            </w:r>
          </w:p>
        </w:tc>
      </w:tr>
      <w:tr w:rsidR="00E504A3" w:rsidRPr="0098155F" w14:paraId="4E7EB62E" w14:textId="77777777" w:rsidTr="002C25AC">
        <w:tc>
          <w:tcPr>
            <w:tcW w:w="5245" w:type="dxa"/>
            <w:shd w:val="clear" w:color="auto" w:fill="FFFFFF" w:themeFill="text1"/>
            <w:vAlign w:val="center"/>
          </w:tcPr>
          <w:p w14:paraId="5A41B8AC"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Quality</w:t>
            </w:r>
          </w:p>
        </w:tc>
        <w:tc>
          <w:tcPr>
            <w:tcW w:w="1418" w:type="dxa"/>
            <w:shd w:val="clear" w:color="auto" w:fill="FFFFFF" w:themeFill="text1"/>
            <w:vAlign w:val="center"/>
          </w:tcPr>
          <w:p w14:paraId="26568776"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86.53</w:t>
            </w:r>
          </w:p>
        </w:tc>
        <w:tc>
          <w:tcPr>
            <w:tcW w:w="1417" w:type="dxa"/>
            <w:shd w:val="clear" w:color="auto" w:fill="FFFFFF" w:themeFill="text1"/>
            <w:vAlign w:val="center"/>
          </w:tcPr>
          <w:p w14:paraId="60977FB3"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2F0ADAF5"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+0.70 %</w:t>
            </w:r>
          </w:p>
        </w:tc>
      </w:tr>
      <w:tr w:rsidR="00E504A3" w:rsidRPr="0098155F" w14:paraId="1B1ACBF0" w14:textId="77777777" w:rsidTr="002C25AC">
        <w:tc>
          <w:tcPr>
            <w:tcW w:w="5245" w:type="dxa"/>
            <w:shd w:val="clear" w:color="auto" w:fill="FFFFFF" w:themeFill="text1"/>
            <w:vAlign w:val="center"/>
          </w:tcPr>
          <w:p w14:paraId="6E1FDFFF"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LID (Light Induced Degradation)</w:t>
            </w:r>
          </w:p>
        </w:tc>
        <w:tc>
          <w:tcPr>
            <w:tcW w:w="1418" w:type="dxa"/>
            <w:shd w:val="clear" w:color="auto" w:fill="FFFFFF" w:themeFill="text1"/>
            <w:vAlign w:val="center"/>
          </w:tcPr>
          <w:p w14:paraId="57E118F2"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84.8</w:t>
            </w:r>
          </w:p>
        </w:tc>
        <w:tc>
          <w:tcPr>
            <w:tcW w:w="1417" w:type="dxa"/>
            <w:shd w:val="clear" w:color="auto" w:fill="FFFFFF" w:themeFill="text1"/>
            <w:vAlign w:val="center"/>
          </w:tcPr>
          <w:p w14:paraId="7186D78C"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5D081BAE"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-2.00 %</w:t>
            </w:r>
          </w:p>
        </w:tc>
      </w:tr>
      <w:tr w:rsidR="00E504A3" w:rsidRPr="0098155F" w14:paraId="18016B19" w14:textId="77777777" w:rsidTr="002C25AC">
        <w:tc>
          <w:tcPr>
            <w:tcW w:w="5245" w:type="dxa"/>
            <w:shd w:val="clear" w:color="auto" w:fill="FFFFFF" w:themeFill="text1"/>
            <w:vAlign w:val="center"/>
          </w:tcPr>
          <w:p w14:paraId="6E0E74FA"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Bifacial mismatch</w:t>
            </w:r>
          </w:p>
        </w:tc>
        <w:tc>
          <w:tcPr>
            <w:tcW w:w="1418" w:type="dxa"/>
            <w:shd w:val="clear" w:color="auto" w:fill="FFFFFF" w:themeFill="text1"/>
            <w:vAlign w:val="center"/>
          </w:tcPr>
          <w:p w14:paraId="3BAA7CE7"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84.68</w:t>
            </w:r>
          </w:p>
        </w:tc>
        <w:tc>
          <w:tcPr>
            <w:tcW w:w="1417" w:type="dxa"/>
            <w:shd w:val="clear" w:color="auto" w:fill="FFFFFF" w:themeFill="text1"/>
            <w:vAlign w:val="center"/>
          </w:tcPr>
          <w:p w14:paraId="16867AEB"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40264A69"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-0.14 %</w:t>
            </w:r>
          </w:p>
        </w:tc>
      </w:tr>
      <w:tr w:rsidR="00E504A3" w:rsidRPr="0098155F" w14:paraId="0F682579" w14:textId="77777777" w:rsidTr="002C25AC">
        <w:tc>
          <w:tcPr>
            <w:tcW w:w="5245" w:type="dxa"/>
            <w:shd w:val="clear" w:color="auto" w:fill="FFFFFF" w:themeFill="text1"/>
            <w:vAlign w:val="center"/>
          </w:tcPr>
          <w:p w14:paraId="09766677"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lastRenderedPageBreak/>
              <w:t>Electrical mismatch</w:t>
            </w:r>
          </w:p>
        </w:tc>
        <w:tc>
          <w:tcPr>
            <w:tcW w:w="1418" w:type="dxa"/>
            <w:shd w:val="clear" w:color="auto" w:fill="FFFFFF" w:themeFill="text1"/>
            <w:vAlign w:val="center"/>
          </w:tcPr>
          <w:p w14:paraId="1E45A88B"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83.83</w:t>
            </w:r>
          </w:p>
        </w:tc>
        <w:tc>
          <w:tcPr>
            <w:tcW w:w="1417" w:type="dxa"/>
            <w:shd w:val="clear" w:color="auto" w:fill="FFFFFF" w:themeFill="text1"/>
            <w:vAlign w:val="center"/>
          </w:tcPr>
          <w:p w14:paraId="715F90A5"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7A3CF3F6"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-1.00 %</w:t>
            </w:r>
          </w:p>
        </w:tc>
      </w:tr>
      <w:tr w:rsidR="00E504A3" w:rsidRPr="0098155F" w14:paraId="7449026A" w14:textId="77777777" w:rsidTr="002C25AC">
        <w:tc>
          <w:tcPr>
            <w:tcW w:w="5245" w:type="dxa"/>
            <w:shd w:val="clear" w:color="auto" w:fill="FFFFFF" w:themeFill="text1"/>
            <w:vAlign w:val="center"/>
          </w:tcPr>
          <w:p w14:paraId="2972453C"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Shading mismatch</w:t>
            </w:r>
          </w:p>
        </w:tc>
        <w:tc>
          <w:tcPr>
            <w:tcW w:w="1418" w:type="dxa"/>
            <w:shd w:val="clear" w:color="auto" w:fill="FFFFFF" w:themeFill="text1"/>
            <w:vAlign w:val="center"/>
          </w:tcPr>
          <w:p w14:paraId="1FD6E411"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83.83</w:t>
            </w:r>
          </w:p>
        </w:tc>
        <w:tc>
          <w:tcPr>
            <w:tcW w:w="1417" w:type="dxa"/>
            <w:shd w:val="clear" w:color="auto" w:fill="FFFFFF" w:themeFill="text1"/>
            <w:vAlign w:val="center"/>
          </w:tcPr>
          <w:p w14:paraId="11F82EC7"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79275085"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0.00 %</w:t>
            </w:r>
          </w:p>
        </w:tc>
      </w:tr>
      <w:tr w:rsidR="00E504A3" w:rsidRPr="0098155F" w14:paraId="21F7C095" w14:textId="77777777" w:rsidTr="002C25AC">
        <w:tc>
          <w:tcPr>
            <w:tcW w:w="5245" w:type="dxa"/>
            <w:shd w:val="clear" w:color="auto" w:fill="FFFFFF" w:themeFill="text1"/>
            <w:vAlign w:val="center"/>
          </w:tcPr>
          <w:p w14:paraId="2FEE7F57"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DC cable losses</w:t>
            </w:r>
          </w:p>
        </w:tc>
        <w:tc>
          <w:tcPr>
            <w:tcW w:w="1418" w:type="dxa"/>
            <w:shd w:val="clear" w:color="auto" w:fill="FFFFFF" w:themeFill="text1"/>
            <w:vAlign w:val="center"/>
          </w:tcPr>
          <w:p w14:paraId="6B97F68F"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82.87</w:t>
            </w:r>
          </w:p>
        </w:tc>
        <w:tc>
          <w:tcPr>
            <w:tcW w:w="1417" w:type="dxa"/>
            <w:shd w:val="clear" w:color="auto" w:fill="FFFFFF" w:themeFill="text1"/>
            <w:vAlign w:val="center"/>
          </w:tcPr>
          <w:p w14:paraId="3FDAB081"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43B215B6"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-1.15 %</w:t>
            </w:r>
          </w:p>
        </w:tc>
      </w:tr>
      <w:tr w:rsidR="00E504A3" w:rsidRPr="0098155F" w14:paraId="32F44C49" w14:textId="77777777" w:rsidTr="002C25AC">
        <w:tc>
          <w:tcPr>
            <w:tcW w:w="5245" w:type="dxa"/>
            <w:shd w:val="clear" w:color="auto" w:fill="FFFFFF" w:themeFill="text1"/>
            <w:vAlign w:val="center"/>
          </w:tcPr>
          <w:p w14:paraId="38A3E953"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Energy at the inverter input</w:t>
            </w:r>
          </w:p>
        </w:tc>
        <w:tc>
          <w:tcPr>
            <w:tcW w:w="1418" w:type="dxa"/>
            <w:shd w:val="clear" w:color="auto" w:fill="FFFFFF" w:themeFill="text1"/>
            <w:vAlign w:val="center"/>
          </w:tcPr>
          <w:p w14:paraId="033ADCCA" w14:textId="77777777" w:rsidR="00E504A3" w:rsidRPr="00077F7B" w:rsidRDefault="00E504A3" w:rsidP="002C25AC">
            <w:pPr>
              <w:pStyle w:val=""/>
              <w:spacing w:after="100"/>
              <w:jc w:val="right"/>
              <w:textAlignment w:val="center"/>
              <w:rPr>
                <w:rFonts w:ascii="Arial" w:hAnsi="Arial" w:cs="Arial"/>
                <w:b/>
                <w:sz w:val="24"/>
                <w:szCs w:val="24"/>
                <w:lang w:val="en-US"/>
              </w:rPr>
            </w:pPr>
            <w:r>
              <w:rPr>
                <w:b w:val="true"/>
              </w:rPr>
              <w:t>82.87</w:t>
            </w:r>
          </w:p>
        </w:tc>
        <w:tc>
          <w:tcPr>
            <w:tcW w:w="1417" w:type="dxa"/>
            <w:shd w:val="clear" w:color="auto" w:fill="FFFFFF" w:themeFill="text1"/>
            <w:vAlign w:val="center"/>
          </w:tcPr>
          <w:p w14:paraId="0434D760" w14:textId="77777777" w:rsidR="00E504A3" w:rsidRPr="00077F7B" w:rsidRDefault="00E504A3" w:rsidP="002C25AC">
            <w:pPr>
              <w:pStyle w:val=""/>
              <w:spacing w:after="100"/>
              <w:textAlignment w:val="center"/>
              <w:rPr>
                <w:rFonts w:ascii="Arial" w:hAnsi="Arial" w:cs="Arial"/>
                <w:b/>
                <w:sz w:val="24"/>
                <w:szCs w:val="24"/>
                <w:lang w:val="en-US"/>
              </w:rPr>
            </w:pPr>
            <w:r>
              <w:rPr>
                <w:b w:val="true"/>
              </w:rPr>
              <w:t>GWh</w:t>
            </w:r>
          </w:p>
        </w:tc>
        <w:tc>
          <w:tcPr>
            <w:tcW w:w="1134" w:type="dxa"/>
            <w:shd w:val="clear" w:color="auto" w:fill="FFFFFF" w:themeFill="text1"/>
            <w:vAlign w:val="center"/>
          </w:tcPr>
          <w:p w14:paraId="7A3734DF" w14:textId="77777777" w:rsidR="00E504A3" w:rsidRPr="00077F7B" w:rsidRDefault="00E504A3" w:rsidP="002C25AC">
            <w:pPr>
              <w:spacing w:after="100"/>
              <w:jc w:val="center"/>
              <w:textAlignment w:val="center"/>
              <w:rPr>
                <w:rFonts w:ascii="Arial" w:hAnsi="Arial" w:cs="Arial"/>
                <w:b/>
                <w:sz w:val="24"/>
                <w:szCs w:val="24"/>
                <w:lang w:val="en-US"/>
              </w:rPr>
            </w:pPr>
          </w:p>
        </w:tc>
      </w:tr>
      <w:tr w:rsidR="000D7300" w:rsidRPr="00400390" w14:paraId="7C3C1354" w14:textId="77777777" w:rsidTr="000D7300">
        <w:tc>
          <w:tcPr>
            <w:tcW w:w="5245" w:type="dxa"/>
            <w:shd w:val="clear" w:color="auto" w:fill="B8BDB5"/>
            <w:vAlign w:val="center"/>
          </w:tcPr>
          <w:p w14:paraId="611F4BD5"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Inverter DC to AC conversion</w:t>
            </w:r>
          </w:p>
        </w:tc>
        <w:tc>
          <w:tcPr>
            <w:tcW w:w="1418" w:type="dxa"/>
            <w:shd w:val="clear" w:color="auto" w:fill="B8BDB5"/>
            <w:vAlign w:val="center"/>
          </w:tcPr>
          <w:p w14:paraId="08AD16E1" w14:textId="77777777" w:rsidR="00E504A3" w:rsidRPr="00077F7B" w:rsidRDefault="00E504A3" w:rsidP="002C25AC">
            <w:pPr>
              <w:spacing w:after="100"/>
              <w:jc w:val="right"/>
              <w:textAlignment w:val="center"/>
              <w:rPr>
                <w:rFonts w:ascii="Arial" w:hAnsi="Arial" w:cs="Arial"/>
                <w:b/>
                <w:sz w:val="24"/>
                <w:szCs w:val="24"/>
                <w:lang w:val="en-US"/>
              </w:rPr>
            </w:pPr>
          </w:p>
        </w:tc>
        <w:tc>
          <w:tcPr>
            <w:tcW w:w="1417" w:type="dxa"/>
            <w:shd w:val="clear" w:color="auto" w:fill="B8BDB5"/>
            <w:vAlign w:val="center"/>
          </w:tcPr>
          <w:p w14:paraId="735369D0" w14:textId="77777777" w:rsidR="00E504A3" w:rsidRPr="00077F7B" w:rsidRDefault="00E504A3" w:rsidP="002C25AC">
            <w:pPr>
              <w:spacing w:after="100"/>
              <w:textAlignment w:val="center"/>
              <w:rPr>
                <w:rFonts w:ascii="Arial" w:hAnsi="Arial" w:cs="Arial"/>
                <w:b/>
                <w:sz w:val="24"/>
                <w:szCs w:val="24"/>
                <w:lang w:val="en-US"/>
              </w:rPr>
            </w:pPr>
          </w:p>
        </w:tc>
        <w:tc>
          <w:tcPr>
            <w:tcW w:w="1134" w:type="dxa"/>
            <w:shd w:val="clear" w:color="auto" w:fill="B8BDB5"/>
            <w:vAlign w:val="center"/>
          </w:tcPr>
          <w:p w14:paraId="620F339E" w14:textId="77777777" w:rsidR="00E504A3" w:rsidRPr="00077F7B" w:rsidRDefault="00E504A3" w:rsidP="002C25AC">
            <w:pPr>
              <w:spacing w:after="100"/>
              <w:jc w:val="center"/>
              <w:textAlignment w:val="center"/>
              <w:rPr>
                <w:rFonts w:ascii="Arial" w:hAnsi="Arial" w:cs="Arial"/>
                <w:b/>
                <w:sz w:val="24"/>
                <w:szCs w:val="24"/>
                <w:lang w:val="en-US"/>
              </w:rPr>
            </w:pPr>
          </w:p>
        </w:tc>
      </w:tr>
      <w:tr w:rsidR="00E504A3" w:rsidRPr="0098155F" w14:paraId="67A25585" w14:textId="77777777" w:rsidTr="002C25AC">
        <w:tc>
          <w:tcPr>
            <w:tcW w:w="5245" w:type="dxa"/>
            <w:shd w:val="clear" w:color="auto" w:fill="FFFFFF" w:themeFill="text1"/>
            <w:vAlign w:val="center"/>
          </w:tcPr>
          <w:p w14:paraId="27BE830A"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Loss due to the inverter input voltage threshold</w:t>
            </w:r>
          </w:p>
        </w:tc>
        <w:tc>
          <w:tcPr>
            <w:tcW w:w="1418" w:type="dxa"/>
            <w:shd w:val="clear" w:color="auto" w:fill="FFFFFF" w:themeFill="text1"/>
            <w:vAlign w:val="center"/>
          </w:tcPr>
          <w:p w14:paraId="52B5E47C"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82.87</w:t>
            </w:r>
          </w:p>
        </w:tc>
        <w:tc>
          <w:tcPr>
            <w:tcW w:w="1417" w:type="dxa"/>
            <w:shd w:val="clear" w:color="auto" w:fill="FFFFFF" w:themeFill="text1"/>
            <w:vAlign w:val="center"/>
          </w:tcPr>
          <w:p w14:paraId="270B3853"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747C825E"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0.00 %</w:t>
            </w:r>
          </w:p>
        </w:tc>
      </w:tr>
      <w:tr w:rsidR="00E504A3" w:rsidRPr="0098155F" w14:paraId="7C6158BD" w14:textId="77777777" w:rsidTr="002C25AC">
        <w:tc>
          <w:tcPr>
            <w:tcW w:w="5245" w:type="dxa"/>
            <w:shd w:val="clear" w:color="auto" w:fill="FFFFFF" w:themeFill="text1"/>
            <w:vAlign w:val="center"/>
          </w:tcPr>
          <w:p w14:paraId="59B7B571"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Loss due to the inverter maximum input voltage limit</w:t>
            </w:r>
          </w:p>
        </w:tc>
        <w:tc>
          <w:tcPr>
            <w:tcW w:w="1418" w:type="dxa"/>
            <w:shd w:val="clear" w:color="auto" w:fill="FFFFFF" w:themeFill="text1"/>
            <w:vAlign w:val="center"/>
          </w:tcPr>
          <w:p w14:paraId="77B89FFE"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82.87</w:t>
            </w:r>
          </w:p>
        </w:tc>
        <w:tc>
          <w:tcPr>
            <w:tcW w:w="1417" w:type="dxa"/>
            <w:shd w:val="clear" w:color="auto" w:fill="FFFFFF" w:themeFill="text1"/>
            <w:vAlign w:val="center"/>
          </w:tcPr>
          <w:p w14:paraId="00DEBB5A"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7BC62AB5"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0.00 %</w:t>
            </w:r>
          </w:p>
        </w:tc>
      </w:tr>
      <w:tr w:rsidR="00E504A3" w:rsidRPr="0098155F" w14:paraId="07E54A5C" w14:textId="77777777" w:rsidTr="002C25AC">
        <w:tc>
          <w:tcPr>
            <w:tcW w:w="5245" w:type="dxa"/>
            <w:shd w:val="clear" w:color="auto" w:fill="FFFFFF" w:themeFill="text1"/>
            <w:vAlign w:val="center"/>
          </w:tcPr>
          <w:p w14:paraId="3D96411F"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Loss due to the inverter input power threshold</w:t>
            </w:r>
          </w:p>
        </w:tc>
        <w:tc>
          <w:tcPr>
            <w:tcW w:w="1418" w:type="dxa"/>
            <w:shd w:val="clear" w:color="auto" w:fill="FFFFFF" w:themeFill="text1"/>
            <w:vAlign w:val="center"/>
          </w:tcPr>
          <w:p w14:paraId="484D22D8"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82.87</w:t>
            </w:r>
          </w:p>
        </w:tc>
        <w:tc>
          <w:tcPr>
            <w:tcW w:w="1417" w:type="dxa"/>
            <w:shd w:val="clear" w:color="auto" w:fill="FFFFFF" w:themeFill="text1"/>
            <w:vAlign w:val="center"/>
          </w:tcPr>
          <w:p w14:paraId="523E977A"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46460973"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0.00 %</w:t>
            </w:r>
          </w:p>
        </w:tc>
      </w:tr>
      <w:tr w:rsidR="00E504A3" w:rsidRPr="0098155F" w14:paraId="7564A2F3" w14:textId="77777777" w:rsidTr="002C25AC">
        <w:tc>
          <w:tcPr>
            <w:tcW w:w="5245" w:type="dxa"/>
            <w:shd w:val="clear" w:color="auto" w:fill="FFFFFF" w:themeFill="text1"/>
            <w:vAlign w:val="center"/>
          </w:tcPr>
          <w:p w14:paraId="02626D23"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Loss due to the inverter output power limit</w:t>
            </w:r>
          </w:p>
        </w:tc>
        <w:tc>
          <w:tcPr>
            <w:tcW w:w="1418" w:type="dxa"/>
            <w:shd w:val="clear" w:color="auto" w:fill="FFFFFF" w:themeFill="text1"/>
            <w:vAlign w:val="center"/>
          </w:tcPr>
          <w:p w14:paraId="150196A8"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81.43</w:t>
            </w:r>
          </w:p>
        </w:tc>
        <w:tc>
          <w:tcPr>
            <w:tcW w:w="1417" w:type="dxa"/>
            <w:shd w:val="clear" w:color="auto" w:fill="FFFFFF" w:themeFill="text1"/>
            <w:vAlign w:val="center"/>
          </w:tcPr>
          <w:p w14:paraId="78FD74AF"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2E72639F"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-1.74 %</w:t>
            </w:r>
          </w:p>
        </w:tc>
      </w:tr>
      <w:tr w:rsidR="00E504A3" w:rsidRPr="0098155F" w14:paraId="364BAFA2" w14:textId="77777777" w:rsidTr="002C25AC">
        <w:tc>
          <w:tcPr>
            <w:tcW w:w="5245" w:type="dxa"/>
            <w:shd w:val="clear" w:color="auto" w:fill="FFFFFF" w:themeFill="text1"/>
            <w:vAlign w:val="center"/>
          </w:tcPr>
          <w:p w14:paraId="30CC3C77"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Auxiliary consumption</w:t>
            </w:r>
          </w:p>
        </w:tc>
        <w:tc>
          <w:tcPr>
            <w:tcW w:w="1418" w:type="dxa"/>
            <w:shd w:val="clear" w:color="auto" w:fill="FFFFFF" w:themeFill="text1"/>
            <w:vAlign w:val="center"/>
          </w:tcPr>
          <w:p w14:paraId="26386232"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81.43</w:t>
            </w:r>
          </w:p>
        </w:tc>
        <w:tc>
          <w:tcPr>
            <w:tcW w:w="1417" w:type="dxa"/>
            <w:shd w:val="clear" w:color="auto" w:fill="FFFFFF" w:themeFill="text1"/>
            <w:vAlign w:val="center"/>
          </w:tcPr>
          <w:p w14:paraId="5C1BDE25"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3426244F"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0.00 %</w:t>
            </w:r>
          </w:p>
        </w:tc>
      </w:tr>
      <w:tr w:rsidR="00E504A3" w:rsidRPr="0098155F" w14:paraId="7E2F55DD" w14:textId="77777777" w:rsidTr="002C25AC">
        <w:tc>
          <w:tcPr>
            <w:tcW w:w="5245" w:type="dxa"/>
            <w:shd w:val="clear" w:color="auto" w:fill="FFFFFF" w:themeFill="text1"/>
            <w:vAlign w:val="center"/>
          </w:tcPr>
          <w:p w14:paraId="109DB7E4"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Conversion efficiency loss</w:t>
            </w:r>
          </w:p>
        </w:tc>
        <w:tc>
          <w:tcPr>
            <w:tcW w:w="1418" w:type="dxa"/>
            <w:shd w:val="clear" w:color="auto" w:fill="FFFFFF" w:themeFill="text1"/>
            <w:vAlign w:val="center"/>
          </w:tcPr>
          <w:p w14:paraId="0DA457BC"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80.29</w:t>
            </w:r>
          </w:p>
        </w:tc>
        <w:tc>
          <w:tcPr>
            <w:tcW w:w="1417" w:type="dxa"/>
            <w:shd w:val="clear" w:color="auto" w:fill="FFFFFF" w:themeFill="text1"/>
            <w:vAlign w:val="center"/>
          </w:tcPr>
          <w:p w14:paraId="74C679B9" w14:textId="77777777" w:rsidR="00E504A3" w:rsidRPr="00077F7B" w:rsidRDefault="00E504A3" w:rsidP="002C25AC">
            <w:pPr>
              <w:pStyle w:val=""/>
              <w:spacing w:after="100"/>
              <w:textAlignment w:val="center"/>
              <w:rPr>
                <w:rFonts w:ascii="Arial" w:hAnsi="Arial" w:cs="Arial"/>
                <w:sz w:val="24"/>
                <w:szCs w:val="24"/>
                <w:lang w:val="en-US"/>
              </w:rPr>
            </w:pPr>
            <w:r>
              <w:rPr>
                <w:b w:val="false"/>
              </w:rPr>
              <w:t>GVAh</w:t>
            </w:r>
          </w:p>
        </w:tc>
        <w:tc>
          <w:tcPr>
            <w:tcW w:w="1134" w:type="dxa"/>
            <w:shd w:val="clear" w:color="auto" w:fill="FFFFFF" w:themeFill="text1"/>
            <w:vAlign w:val="center"/>
          </w:tcPr>
          <w:p w14:paraId="7D389169"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-1.39 %</w:t>
            </w:r>
          </w:p>
        </w:tc>
      </w:tr>
      <w:tr w:rsidR="00E504A3" w:rsidRPr="0098155F" w14:paraId="24737657" w14:textId="77777777" w:rsidTr="002C25AC">
        <w:tc>
          <w:tcPr>
            <w:tcW w:w="5245" w:type="dxa"/>
            <w:shd w:val="clear" w:color="auto" w:fill="FFFFFF" w:themeFill="text1"/>
            <w:vAlign w:val="center"/>
          </w:tcPr>
          <w:p w14:paraId="78FDEEB3" w14:textId="77777777" w:rsidR="00E504A3" w:rsidRPr="00077F7B" w:rsidRDefault="00E504A3" w:rsidP="002C25AC">
            <w:pPr>
              <w:spacing w:after="100"/>
              <w:textAlignment w:val="center"/>
              <w:rPr>
                <w:rFonts w:ascii="Arial" w:hAnsi="Arial" w:cs="Arial"/>
                <w:b/>
                <w:bCs/>
                <w:sz w:val="24"/>
                <w:szCs w:val="24"/>
                <w:lang w:val="en-US"/>
              </w:rPr>
            </w:pPr>
            <w:r w:rsidRPr="00077F7B">
              <w:rPr>
                <w:rFonts w:ascii="Arial" w:hAnsi="Arial" w:cs="Arial"/>
                <w:b/>
                <w:bCs/>
                <w:sz w:val="24"/>
                <w:szCs w:val="24"/>
                <w:lang w:val="en-US"/>
              </w:rPr>
              <w:t>Energy at the inverter output</w:t>
            </w:r>
          </w:p>
        </w:tc>
        <w:tc>
          <w:tcPr>
            <w:tcW w:w="1418" w:type="dxa"/>
            <w:shd w:val="clear" w:color="auto" w:fill="FFFFFF" w:themeFill="text1"/>
            <w:vAlign w:val="center"/>
          </w:tcPr>
          <w:p w14:paraId="40BB4D20" w14:textId="77777777" w:rsidR="00E504A3" w:rsidRPr="00077F7B" w:rsidRDefault="00E504A3" w:rsidP="002C25AC">
            <w:pPr>
              <w:pStyle w:val=""/>
              <w:spacing w:after="100"/>
              <w:jc w:val="right"/>
              <w:textAlignment w:val="center"/>
              <w:rPr>
                <w:rFonts w:ascii="Arial" w:hAnsi="Arial" w:cs="Arial"/>
                <w:b/>
                <w:bCs/>
                <w:sz w:val="24"/>
                <w:szCs w:val="24"/>
                <w:lang w:val="en-US"/>
              </w:rPr>
            </w:pPr>
            <w:r>
              <w:rPr>
                <w:b w:val="true"/>
              </w:rPr>
              <w:t>80.29</w:t>
            </w:r>
          </w:p>
        </w:tc>
        <w:tc>
          <w:tcPr>
            <w:tcW w:w="1417" w:type="dxa"/>
            <w:shd w:val="clear" w:color="auto" w:fill="FFFFFF" w:themeFill="text1"/>
            <w:vAlign w:val="center"/>
          </w:tcPr>
          <w:p w14:paraId="6C8AA774" w14:textId="77777777" w:rsidR="00E504A3" w:rsidRPr="00077F7B" w:rsidRDefault="00E504A3" w:rsidP="002C25AC">
            <w:pPr>
              <w:pStyle w:val=""/>
              <w:spacing w:after="100"/>
              <w:textAlignment w:val="center"/>
              <w:rPr>
                <w:rFonts w:ascii="Arial" w:hAnsi="Arial" w:cs="Arial"/>
                <w:b/>
                <w:bCs/>
                <w:sz w:val="24"/>
                <w:szCs w:val="24"/>
                <w:lang w:val="en-US"/>
              </w:rPr>
            </w:pPr>
            <w:r>
              <w:rPr>
                <w:b w:val="true"/>
              </w:rPr>
              <w:t>GWh</w:t>
            </w:r>
          </w:p>
        </w:tc>
        <w:tc>
          <w:tcPr>
            <w:tcW w:w="1134" w:type="dxa"/>
            <w:shd w:val="clear" w:color="auto" w:fill="FFFFFF" w:themeFill="text1"/>
            <w:vAlign w:val="center"/>
          </w:tcPr>
          <w:p w14:paraId="1E46FD63" w14:textId="77777777" w:rsidR="00E504A3" w:rsidRPr="00077F7B" w:rsidRDefault="00E504A3" w:rsidP="002C25AC">
            <w:pPr>
              <w:spacing w:after="100"/>
              <w:jc w:val="center"/>
              <w:textAlignment w:val="center"/>
              <w:rPr>
                <w:rFonts w:ascii="Arial" w:hAnsi="Arial" w:cs="Arial"/>
                <w:sz w:val="24"/>
                <w:szCs w:val="24"/>
                <w:lang w:val="en-US"/>
              </w:rPr>
            </w:pPr>
          </w:p>
        </w:tc>
      </w:tr>
      <w:tr w:rsidR="000D7300" w:rsidRPr="00400390" w14:paraId="0121E4A6" w14:textId="77777777" w:rsidTr="000D7300">
        <w:tc>
          <w:tcPr>
            <w:tcW w:w="5245" w:type="dxa"/>
            <w:shd w:val="clear" w:color="auto" w:fill="B8BDB5"/>
            <w:vAlign w:val="center"/>
          </w:tcPr>
          <w:p w14:paraId="7C8FA3FF"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Power station and MV System losses</w:t>
            </w:r>
          </w:p>
        </w:tc>
        <w:tc>
          <w:tcPr>
            <w:tcW w:w="1418" w:type="dxa"/>
            <w:shd w:val="clear" w:color="auto" w:fill="B8BDB5"/>
            <w:vAlign w:val="center"/>
          </w:tcPr>
          <w:p w14:paraId="2D9356EA" w14:textId="77777777" w:rsidR="00E504A3" w:rsidRPr="00077F7B" w:rsidRDefault="00E504A3" w:rsidP="002C25AC">
            <w:pPr>
              <w:spacing w:after="100"/>
              <w:jc w:val="right"/>
              <w:textAlignment w:val="center"/>
              <w:rPr>
                <w:rFonts w:ascii="Arial" w:hAnsi="Arial" w:cs="Arial"/>
                <w:b/>
                <w:sz w:val="24"/>
                <w:szCs w:val="24"/>
                <w:lang w:val="en-US"/>
              </w:rPr>
            </w:pPr>
          </w:p>
        </w:tc>
        <w:tc>
          <w:tcPr>
            <w:tcW w:w="1417" w:type="dxa"/>
            <w:shd w:val="clear" w:color="auto" w:fill="B8BDB5"/>
            <w:vAlign w:val="center"/>
          </w:tcPr>
          <w:p w14:paraId="087A0A6E" w14:textId="77777777" w:rsidR="00E504A3" w:rsidRPr="00077F7B" w:rsidRDefault="00E504A3" w:rsidP="002C25AC">
            <w:pPr>
              <w:spacing w:after="100"/>
              <w:textAlignment w:val="center"/>
              <w:rPr>
                <w:rFonts w:ascii="Arial" w:hAnsi="Arial" w:cs="Arial"/>
                <w:b/>
                <w:sz w:val="24"/>
                <w:szCs w:val="24"/>
                <w:lang w:val="en-US"/>
              </w:rPr>
            </w:pPr>
          </w:p>
        </w:tc>
        <w:tc>
          <w:tcPr>
            <w:tcW w:w="1134" w:type="dxa"/>
            <w:shd w:val="clear" w:color="auto" w:fill="B8BDB5"/>
            <w:vAlign w:val="center"/>
          </w:tcPr>
          <w:p w14:paraId="4CEED302" w14:textId="77777777" w:rsidR="00E504A3" w:rsidRPr="00077F7B" w:rsidRDefault="00E504A3" w:rsidP="002C25AC">
            <w:pPr>
              <w:spacing w:after="100"/>
              <w:jc w:val="center"/>
              <w:textAlignment w:val="center"/>
              <w:rPr>
                <w:rFonts w:ascii="Arial" w:hAnsi="Arial" w:cs="Arial"/>
                <w:b/>
                <w:sz w:val="24"/>
                <w:szCs w:val="24"/>
                <w:lang w:val="en-US"/>
              </w:rPr>
            </w:pPr>
          </w:p>
        </w:tc>
      </w:tr>
      <w:tr w:rsidR="00E504A3" w:rsidRPr="0098155F" w14:paraId="006CBDC3" w14:textId="77777777" w:rsidTr="002C25AC">
        <w:tc>
          <w:tcPr>
            <w:tcW w:w="5245" w:type="dxa"/>
            <w:shd w:val="clear" w:color="auto" w:fill="FFFFFF" w:themeFill="text1"/>
            <w:vAlign w:val="center"/>
          </w:tcPr>
          <w:p w14:paraId="0C4D5D85" w14:textId="77777777" w:rsidR="00E504A3" w:rsidRPr="00077F7B" w:rsidRDefault="00E504A3" w:rsidP="002C25AC">
            <w:pPr>
              <w:spacing w:after="100"/>
              <w:textAlignment w:val="center"/>
              <w:rPr>
                <w:rFonts w:ascii="Arial" w:hAnsi="Arial" w:cs="Arial"/>
                <w:b/>
                <w:color w:val="FFFFFF" w:themeColor="text1"/>
                <w:sz w:val="24"/>
                <w:szCs w:val="24"/>
                <w:lang w:val="en-US"/>
              </w:rPr>
            </w:pPr>
            <w:r w:rsidRPr="00077F7B">
              <w:rPr>
                <w:rFonts w:ascii="Arial" w:hAnsi="Arial" w:cs="Arial"/>
                <w:sz w:val="24"/>
                <w:szCs w:val="24"/>
                <w:lang w:val="en-US"/>
              </w:rPr>
              <w:t>AC cable from inverter to transformer loss</w:t>
            </w:r>
          </w:p>
        </w:tc>
        <w:tc>
          <w:tcPr>
            <w:tcW w:w="1418" w:type="dxa"/>
            <w:shd w:val="clear" w:color="auto" w:fill="FFFFFF" w:themeFill="text1"/>
            <w:vAlign w:val="center"/>
          </w:tcPr>
          <w:p w14:paraId="0F09670D"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80.29</w:t>
            </w:r>
          </w:p>
        </w:tc>
        <w:tc>
          <w:tcPr>
            <w:tcW w:w="1417" w:type="dxa"/>
            <w:shd w:val="clear" w:color="auto" w:fill="FFFFFF" w:themeFill="text1"/>
            <w:vAlign w:val="center"/>
          </w:tcPr>
          <w:p w14:paraId="76C31162"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347ED2E0"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0.00 %</w:t>
            </w:r>
          </w:p>
        </w:tc>
      </w:tr>
      <w:tr w:rsidR="00E504A3" w:rsidRPr="0098155F" w14:paraId="5F153187" w14:textId="77777777" w:rsidTr="002C25AC">
        <w:tc>
          <w:tcPr>
            <w:tcW w:w="5245" w:type="dxa"/>
            <w:shd w:val="clear" w:color="auto" w:fill="FFFFFF" w:themeFill="text1"/>
            <w:vAlign w:val="center"/>
          </w:tcPr>
          <w:p w14:paraId="66B881E8"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Transformer iron loss</w:t>
            </w:r>
          </w:p>
        </w:tc>
        <w:tc>
          <w:tcPr>
            <w:tcW w:w="1418" w:type="dxa"/>
            <w:shd w:val="clear" w:color="auto" w:fill="FFFFFF" w:themeFill="text1"/>
            <w:vAlign w:val="center"/>
          </w:tcPr>
          <w:p w14:paraId="4F5C9798"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80.16</w:t>
            </w:r>
          </w:p>
        </w:tc>
        <w:tc>
          <w:tcPr>
            <w:tcW w:w="1417" w:type="dxa"/>
            <w:shd w:val="clear" w:color="auto" w:fill="FFFFFF" w:themeFill="text1"/>
            <w:vAlign w:val="center"/>
          </w:tcPr>
          <w:p w14:paraId="2E308041"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15B515E2"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-0.16 %</w:t>
            </w:r>
          </w:p>
        </w:tc>
      </w:tr>
      <w:tr w:rsidR="00E504A3" w:rsidRPr="0098155F" w14:paraId="7420CF54" w14:textId="77777777" w:rsidTr="002C25AC">
        <w:tc>
          <w:tcPr>
            <w:tcW w:w="5245" w:type="dxa"/>
            <w:shd w:val="clear" w:color="auto" w:fill="FFFFFF" w:themeFill="text1"/>
            <w:vAlign w:val="center"/>
          </w:tcPr>
          <w:p w14:paraId="4B19EB3F"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Transformer copper loss</w:t>
            </w:r>
          </w:p>
        </w:tc>
        <w:tc>
          <w:tcPr>
            <w:tcW w:w="1418" w:type="dxa"/>
            <w:shd w:val="clear" w:color="auto" w:fill="FFFFFF" w:themeFill="text1"/>
            <w:vAlign w:val="center"/>
          </w:tcPr>
          <w:p w14:paraId="3C62BC9C"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79.52</w:t>
            </w:r>
          </w:p>
        </w:tc>
        <w:tc>
          <w:tcPr>
            <w:tcW w:w="1417" w:type="dxa"/>
            <w:shd w:val="clear" w:color="auto" w:fill="FFFFFF" w:themeFill="text1"/>
            <w:vAlign w:val="center"/>
          </w:tcPr>
          <w:p w14:paraId="32EA75A7"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67B05E5C"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-0.80 %</w:t>
            </w:r>
          </w:p>
        </w:tc>
      </w:tr>
      <w:tr w:rsidR="00E504A3" w:rsidRPr="0098155F" w14:paraId="2DB4F7A8" w14:textId="77777777" w:rsidTr="002C25AC">
        <w:tc>
          <w:tcPr>
            <w:tcW w:w="5245" w:type="dxa"/>
            <w:shd w:val="clear" w:color="auto" w:fill="FFFFFF" w:themeFill="text1"/>
            <w:vAlign w:val="center"/>
          </w:tcPr>
          <w:p w14:paraId="29BEB68A"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MV network transmission loss</w:t>
            </w:r>
          </w:p>
        </w:tc>
        <w:tc>
          <w:tcPr>
            <w:tcW w:w="1418" w:type="dxa"/>
            <w:shd w:val="clear" w:color="auto" w:fill="FFFFFF" w:themeFill="text1"/>
            <w:vAlign w:val="center"/>
          </w:tcPr>
          <w:p w14:paraId="146D8AB3"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79.22</w:t>
            </w:r>
          </w:p>
        </w:tc>
        <w:tc>
          <w:tcPr>
            <w:tcW w:w="1417" w:type="dxa"/>
            <w:shd w:val="clear" w:color="auto" w:fill="FFFFFF" w:themeFill="text1"/>
            <w:vAlign w:val="center"/>
          </w:tcPr>
          <w:p w14:paraId="496EC234"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391D222D"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-0.38 %</w:t>
            </w:r>
          </w:p>
        </w:tc>
      </w:tr>
      <w:tr w:rsidR="00E504A3" w:rsidRPr="0098155F" w14:paraId="01847F9E" w14:textId="77777777" w:rsidTr="002C25AC">
        <w:tc>
          <w:tcPr>
            <w:tcW w:w="5245" w:type="dxa"/>
            <w:shd w:val="clear" w:color="auto" w:fill="FFFFFF" w:themeFill="text1"/>
            <w:vAlign w:val="center"/>
          </w:tcPr>
          <w:p w14:paraId="128DC3AC"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Energy available at the MV system output</w:t>
            </w:r>
          </w:p>
        </w:tc>
        <w:tc>
          <w:tcPr>
            <w:tcW w:w="1418" w:type="dxa"/>
            <w:shd w:val="clear" w:color="auto" w:fill="FFFFFF" w:themeFill="text1"/>
            <w:vAlign w:val="center"/>
          </w:tcPr>
          <w:p w14:paraId="63985694" w14:textId="77777777" w:rsidR="00E504A3" w:rsidRPr="00077F7B" w:rsidRDefault="00E504A3" w:rsidP="002C25AC">
            <w:pPr>
              <w:pStyle w:val=""/>
              <w:spacing w:after="100"/>
              <w:jc w:val="right"/>
              <w:textAlignment w:val="center"/>
              <w:rPr>
                <w:rFonts w:ascii="Arial" w:hAnsi="Arial" w:cs="Arial"/>
                <w:b/>
                <w:sz w:val="24"/>
                <w:szCs w:val="24"/>
                <w:lang w:val="en-US"/>
              </w:rPr>
            </w:pPr>
            <w:r>
              <w:rPr>
                <w:b w:val="true"/>
              </w:rPr>
              <w:t>79.22</w:t>
            </w:r>
          </w:p>
        </w:tc>
        <w:tc>
          <w:tcPr>
            <w:tcW w:w="1417" w:type="dxa"/>
            <w:shd w:val="clear" w:color="auto" w:fill="FFFFFF" w:themeFill="text1"/>
            <w:vAlign w:val="center"/>
          </w:tcPr>
          <w:p w14:paraId="663E5556" w14:textId="77777777" w:rsidR="00E504A3" w:rsidRPr="00077F7B" w:rsidRDefault="00E504A3" w:rsidP="002C25AC">
            <w:pPr>
              <w:pStyle w:val=""/>
              <w:spacing w:after="100"/>
              <w:textAlignment w:val="center"/>
              <w:rPr>
                <w:rFonts w:ascii="Arial" w:hAnsi="Arial" w:cs="Arial"/>
                <w:b/>
                <w:sz w:val="24"/>
                <w:szCs w:val="24"/>
                <w:lang w:val="en-US"/>
              </w:rPr>
            </w:pPr>
            <w:r>
              <w:rPr>
                <w:b w:val="true"/>
              </w:rPr>
              <w:t>GWh</w:t>
            </w:r>
          </w:p>
        </w:tc>
        <w:tc>
          <w:tcPr>
            <w:tcW w:w="1134" w:type="dxa"/>
            <w:shd w:val="clear" w:color="auto" w:fill="FFFFFF" w:themeFill="text1"/>
            <w:vAlign w:val="center"/>
          </w:tcPr>
          <w:p w14:paraId="005CC1D4" w14:textId="77777777" w:rsidR="00E504A3" w:rsidRPr="00077F7B" w:rsidRDefault="00E504A3" w:rsidP="002C25AC">
            <w:pPr>
              <w:spacing w:after="100"/>
              <w:jc w:val="center"/>
              <w:textAlignment w:val="center"/>
              <w:rPr>
                <w:rFonts w:ascii="Arial" w:hAnsi="Arial" w:cs="Arial"/>
                <w:b/>
                <w:sz w:val="24"/>
                <w:szCs w:val="24"/>
                <w:lang w:val="en-US"/>
              </w:rPr>
            </w:pPr>
          </w:p>
        </w:tc>
      </w:tr>
      <w:tr w:rsidR="00E504A3" w:rsidRPr="0098155F" w14:paraId="00D48178" w14:textId="77777777" w:rsidTr="002C25AC">
        <w:tc>
          <w:tcPr>
            <w:tcW w:w="5245" w:type="dxa"/>
            <w:shd w:val="clear" w:color="auto" w:fill="FFFFFF" w:themeFill="text1"/>
            <w:vAlign w:val="center"/>
          </w:tcPr>
          <w:p w14:paraId="53207A36" w14:textId="77777777" w:rsidR="00E504A3" w:rsidRPr="00077F7B" w:rsidRDefault="00E504A3" w:rsidP="002C25AC">
            <w:pPr>
              <w:spacing w:after="100"/>
              <w:textAlignment w:val="center"/>
              <w:rPr>
                <w:rFonts w:ascii="Arial" w:hAnsi="Arial" w:cs="Arial"/>
                <w:bCs/>
                <w:i/>
                <w:iCs/>
                <w:sz w:val="24"/>
                <w:szCs w:val="24"/>
                <w:lang w:val="en-US"/>
              </w:rPr>
            </w:pPr>
            <w:r w:rsidRPr="00077F7B">
              <w:rPr>
                <w:rFonts w:ascii="Arial" w:hAnsi="Arial" w:cs="Arial"/>
                <w:bCs/>
                <w:i/>
                <w:iCs/>
                <w:sz w:val="24"/>
                <w:szCs w:val="24"/>
                <w:lang w:val="en-US"/>
              </w:rPr>
              <w:lastRenderedPageBreak/>
              <w:t>Reactive energy at the MV system output</w:t>
            </w:r>
          </w:p>
        </w:tc>
        <w:tc>
          <w:tcPr>
            <w:tcW w:w="1418" w:type="dxa"/>
            <w:shd w:val="clear" w:color="auto" w:fill="FFFFFF" w:themeFill="text1"/>
            <w:vAlign w:val="center"/>
          </w:tcPr>
          <w:p w14:paraId="1FFD391B" w14:textId="77777777" w:rsidR="00E504A3" w:rsidRPr="00077F7B" w:rsidRDefault="00E504A3" w:rsidP="002C25AC">
            <w:pPr>
              <w:pStyle w:val=""/>
              <w:spacing w:after="100"/>
              <w:jc w:val="right"/>
              <w:textAlignment w:val="center"/>
              <w:rPr>
                <w:rFonts w:ascii="Arial" w:hAnsi="Arial" w:cs="Arial"/>
                <w:bCs/>
                <w:i/>
                <w:iCs/>
                <w:sz w:val="24"/>
                <w:szCs w:val="24"/>
                <w:lang w:val="en-US"/>
              </w:rPr>
            </w:pPr>
            <w:r>
              <w:rPr>
                <w:b w:val="false"/>
              </w:rPr>
              <w:t>0.0</w:t>
            </w:r>
          </w:p>
        </w:tc>
        <w:tc>
          <w:tcPr>
            <w:tcW w:w="1417" w:type="dxa"/>
            <w:shd w:val="clear" w:color="auto" w:fill="FFFFFF" w:themeFill="text1"/>
            <w:vAlign w:val="center"/>
          </w:tcPr>
          <w:p w14:paraId="5084848B" w14:textId="77777777" w:rsidR="00E504A3" w:rsidRPr="00077F7B" w:rsidRDefault="00E504A3" w:rsidP="002C25AC">
            <w:pPr>
              <w:pStyle w:val=""/>
              <w:spacing w:after="100"/>
              <w:textAlignment w:val="center"/>
              <w:rPr>
                <w:rFonts w:ascii="Arial" w:hAnsi="Arial" w:cs="Arial"/>
                <w:bCs/>
                <w:i/>
                <w:iCs/>
                <w:sz w:val="24"/>
                <w:szCs w:val="24"/>
                <w:lang w:val="en-US"/>
              </w:rPr>
            </w:pPr>
            <w:r>
              <w:rPr>
                <w:b w:val="false"/>
              </w:rPr>
              <w:t>GVArh</w:t>
            </w:r>
          </w:p>
        </w:tc>
        <w:tc>
          <w:tcPr>
            <w:tcW w:w="1134" w:type="dxa"/>
            <w:shd w:val="clear" w:color="auto" w:fill="FFFFFF" w:themeFill="text1"/>
            <w:vAlign w:val="center"/>
          </w:tcPr>
          <w:p w14:paraId="06DDAA22" w14:textId="77777777" w:rsidR="00E504A3" w:rsidRPr="00077F7B" w:rsidRDefault="00E504A3" w:rsidP="002C25AC">
            <w:pPr>
              <w:spacing w:after="100"/>
              <w:jc w:val="center"/>
              <w:textAlignment w:val="center"/>
              <w:rPr>
                <w:rFonts w:ascii="Arial" w:hAnsi="Arial" w:cs="Arial"/>
                <w:bCs/>
                <w:i/>
                <w:iCs/>
                <w:sz w:val="24"/>
                <w:szCs w:val="24"/>
                <w:lang w:val="en-US"/>
              </w:rPr>
            </w:pPr>
          </w:p>
        </w:tc>
      </w:tr>
      <w:tr w:rsidR="00E504A3" w:rsidRPr="0098155F" w14:paraId="20D585DF" w14:textId="77777777" w:rsidTr="002C25AC">
        <w:tc>
          <w:tcPr>
            <w:tcW w:w="5245" w:type="dxa"/>
            <w:shd w:val="clear" w:color="auto" w:fill="FFFFFF" w:themeFill="text1"/>
            <w:vAlign w:val="center"/>
          </w:tcPr>
          <w:p w14:paraId="73778506" w14:textId="77777777" w:rsidR="00E504A3" w:rsidRPr="00077F7B" w:rsidRDefault="00E504A3" w:rsidP="002C25AC">
            <w:pPr>
              <w:spacing w:after="100"/>
              <w:textAlignment w:val="center"/>
              <w:rPr>
                <w:rFonts w:ascii="Arial" w:hAnsi="Arial" w:cs="Arial"/>
                <w:bCs/>
                <w:i/>
                <w:iCs/>
                <w:sz w:val="24"/>
                <w:szCs w:val="24"/>
                <w:lang w:val="en-US"/>
              </w:rPr>
            </w:pPr>
            <w:r w:rsidRPr="00077F7B">
              <w:rPr>
                <w:rFonts w:ascii="Arial" w:hAnsi="Arial" w:cs="Arial"/>
                <w:bCs/>
                <w:i/>
                <w:iCs/>
                <w:sz w:val="24"/>
                <w:szCs w:val="24"/>
                <w:lang w:val="en-US"/>
              </w:rPr>
              <w:t>Power factor at the MV system output</w:t>
            </w:r>
          </w:p>
        </w:tc>
        <w:tc>
          <w:tcPr>
            <w:tcW w:w="1418" w:type="dxa"/>
            <w:shd w:val="clear" w:color="auto" w:fill="FFFFFF" w:themeFill="text1"/>
            <w:vAlign w:val="center"/>
          </w:tcPr>
          <w:p w14:paraId="4B372C5E" w14:textId="77777777" w:rsidR="00E504A3" w:rsidRPr="00077F7B" w:rsidRDefault="00E504A3" w:rsidP="002C25AC">
            <w:pPr>
              <w:pStyle w:val=""/>
              <w:spacing w:after="100"/>
              <w:jc w:val="right"/>
              <w:textAlignment w:val="center"/>
              <w:rPr>
                <w:rFonts w:ascii="Arial" w:hAnsi="Arial" w:cs="Arial"/>
                <w:bCs/>
                <w:i/>
                <w:iCs/>
                <w:sz w:val="24"/>
                <w:szCs w:val="24"/>
                <w:lang w:val="en-US"/>
              </w:rPr>
            </w:pPr>
            <w:r>
              <w:rPr>
                <w:b w:val="false"/>
              </w:rPr>
              <w:t>1.000</w:t>
            </w:r>
          </w:p>
        </w:tc>
        <w:tc>
          <w:tcPr>
            <w:tcW w:w="1417" w:type="dxa"/>
            <w:shd w:val="clear" w:color="auto" w:fill="FFFFFF" w:themeFill="text1"/>
            <w:vAlign w:val="center"/>
          </w:tcPr>
          <w:p w14:paraId="1EADFAD3" w14:textId="77777777" w:rsidR="00E504A3" w:rsidRPr="00077F7B" w:rsidRDefault="00E504A3" w:rsidP="002C25AC">
            <w:pPr>
              <w:spacing w:after="100"/>
              <w:textAlignment w:val="center"/>
              <w:rPr>
                <w:rFonts w:ascii="Arial" w:hAnsi="Arial" w:cs="Arial"/>
                <w:bCs/>
                <w:i/>
                <w:iCs/>
                <w:sz w:val="24"/>
                <w:szCs w:val="24"/>
                <w:lang w:val="en-US"/>
              </w:rPr>
            </w:pPr>
          </w:p>
        </w:tc>
        <w:tc>
          <w:tcPr>
            <w:tcW w:w="1134" w:type="dxa"/>
            <w:shd w:val="clear" w:color="auto" w:fill="FFFFFF" w:themeFill="text1"/>
            <w:vAlign w:val="center"/>
          </w:tcPr>
          <w:p w14:paraId="137C40FB" w14:textId="77777777" w:rsidR="00E504A3" w:rsidRPr="00077F7B" w:rsidRDefault="00E504A3" w:rsidP="002C25AC">
            <w:pPr>
              <w:spacing w:after="100"/>
              <w:jc w:val="center"/>
              <w:textAlignment w:val="center"/>
              <w:rPr>
                <w:rFonts w:ascii="Arial" w:hAnsi="Arial" w:cs="Arial"/>
                <w:bCs/>
                <w:i/>
                <w:iCs/>
                <w:sz w:val="24"/>
                <w:szCs w:val="24"/>
                <w:lang w:val="en-US"/>
              </w:rPr>
            </w:pPr>
          </w:p>
        </w:tc>
      </w:tr>
      <w:tr w:rsidR="000D7300" w:rsidRPr="000D7300" w14:paraId="1BA75AF0" w14:textId="77777777" w:rsidTr="000D7300">
        <w:tc>
          <w:tcPr>
            <w:tcW w:w="5245" w:type="dxa"/>
            <w:shd w:val="clear" w:color="auto" w:fill="B8BDB5"/>
            <w:vAlign w:val="center"/>
          </w:tcPr>
          <w:p w14:paraId="3A7D87B1"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Substation losses</w:t>
            </w:r>
          </w:p>
        </w:tc>
        <w:tc>
          <w:tcPr>
            <w:tcW w:w="1418" w:type="dxa"/>
            <w:shd w:val="clear" w:color="auto" w:fill="B8BDB5"/>
            <w:vAlign w:val="center"/>
          </w:tcPr>
          <w:p w14:paraId="7CCB564E" w14:textId="77777777" w:rsidR="00E504A3" w:rsidRPr="00077F7B" w:rsidRDefault="00E504A3" w:rsidP="002C25AC">
            <w:pPr>
              <w:spacing w:after="100"/>
              <w:jc w:val="right"/>
              <w:textAlignment w:val="center"/>
              <w:rPr>
                <w:rFonts w:ascii="Arial" w:hAnsi="Arial" w:cs="Arial"/>
                <w:b/>
                <w:sz w:val="24"/>
                <w:szCs w:val="24"/>
                <w:lang w:val="en-US"/>
              </w:rPr>
            </w:pPr>
          </w:p>
        </w:tc>
        <w:tc>
          <w:tcPr>
            <w:tcW w:w="1417" w:type="dxa"/>
            <w:shd w:val="clear" w:color="auto" w:fill="B8BDB5"/>
            <w:vAlign w:val="center"/>
          </w:tcPr>
          <w:p w14:paraId="1FBAF9B4" w14:textId="77777777" w:rsidR="00E504A3" w:rsidRPr="00077F7B" w:rsidRDefault="00E504A3" w:rsidP="002C25AC">
            <w:pPr>
              <w:spacing w:after="100"/>
              <w:textAlignment w:val="center"/>
              <w:rPr>
                <w:rFonts w:ascii="Arial" w:hAnsi="Arial" w:cs="Arial"/>
                <w:b/>
                <w:sz w:val="24"/>
                <w:szCs w:val="24"/>
                <w:lang w:val="en-US"/>
              </w:rPr>
            </w:pPr>
          </w:p>
        </w:tc>
        <w:tc>
          <w:tcPr>
            <w:tcW w:w="1134" w:type="dxa"/>
            <w:shd w:val="clear" w:color="auto" w:fill="B8BDB5"/>
            <w:vAlign w:val="center"/>
          </w:tcPr>
          <w:p w14:paraId="630A4289" w14:textId="77777777" w:rsidR="00E504A3" w:rsidRPr="00077F7B" w:rsidRDefault="00E504A3" w:rsidP="002C25AC">
            <w:pPr>
              <w:spacing w:after="100"/>
              <w:jc w:val="center"/>
              <w:textAlignment w:val="center"/>
              <w:rPr>
                <w:rFonts w:ascii="Arial" w:hAnsi="Arial" w:cs="Arial"/>
                <w:b/>
                <w:sz w:val="24"/>
                <w:szCs w:val="24"/>
                <w:lang w:val="en-US"/>
              </w:rPr>
            </w:pPr>
          </w:p>
        </w:tc>
      </w:tr>
      <w:tr w:rsidR="00E504A3" w:rsidRPr="0098155F" w14:paraId="3301FA45" w14:textId="77777777" w:rsidTr="002C25AC">
        <w:tc>
          <w:tcPr>
            <w:tcW w:w="5245" w:type="dxa"/>
            <w:shd w:val="clear" w:color="auto" w:fill="FFFFFF" w:themeFill="text1"/>
            <w:vAlign w:val="center"/>
          </w:tcPr>
          <w:p w14:paraId="7E586281"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Plant auxiliary consumption</w:t>
            </w:r>
          </w:p>
        </w:tc>
        <w:tc>
          <w:tcPr>
            <w:tcW w:w="1418" w:type="dxa"/>
            <w:shd w:val="clear" w:color="auto" w:fill="FFFFFF" w:themeFill="text1"/>
            <w:vAlign w:val="center"/>
          </w:tcPr>
          <w:p w14:paraId="1FC7ED58"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79.22</w:t>
            </w:r>
          </w:p>
        </w:tc>
        <w:tc>
          <w:tcPr>
            <w:tcW w:w="1417" w:type="dxa"/>
            <w:shd w:val="clear" w:color="auto" w:fill="FFFFFF" w:themeFill="text1"/>
            <w:vAlign w:val="center"/>
          </w:tcPr>
          <w:p w14:paraId="53E913D2"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2FAA4ABD"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0.00 %</w:t>
            </w:r>
          </w:p>
        </w:tc>
      </w:tr>
      <w:tr w:rsidR="00E504A3" w:rsidRPr="0098155F" w14:paraId="06553AA9" w14:textId="77777777" w:rsidTr="002C25AC">
        <w:tc>
          <w:tcPr>
            <w:tcW w:w="5245" w:type="dxa"/>
            <w:shd w:val="clear" w:color="auto" w:fill="FFFFFF" w:themeFill="text1"/>
            <w:vAlign w:val="center"/>
          </w:tcPr>
          <w:p w14:paraId="6DEAF916"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Substation transformer iron loss</w:t>
            </w:r>
          </w:p>
        </w:tc>
        <w:tc>
          <w:tcPr>
            <w:tcW w:w="1418" w:type="dxa"/>
            <w:shd w:val="clear" w:color="auto" w:fill="FFFFFF" w:themeFill="text1"/>
            <w:vAlign w:val="center"/>
          </w:tcPr>
          <w:p w14:paraId="6A62C0E4"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79.09</w:t>
            </w:r>
          </w:p>
        </w:tc>
        <w:tc>
          <w:tcPr>
            <w:tcW w:w="1417" w:type="dxa"/>
            <w:shd w:val="clear" w:color="auto" w:fill="FFFFFF" w:themeFill="text1"/>
            <w:vAlign w:val="center"/>
          </w:tcPr>
          <w:p w14:paraId="698EED6D"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2B375F71"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-0.16 %</w:t>
            </w:r>
          </w:p>
        </w:tc>
      </w:tr>
      <w:tr w:rsidR="00E504A3" w:rsidRPr="0098155F" w14:paraId="4B268A9A" w14:textId="77777777" w:rsidTr="002C25AC">
        <w:tc>
          <w:tcPr>
            <w:tcW w:w="5245" w:type="dxa"/>
            <w:shd w:val="clear" w:color="auto" w:fill="FFFFFF" w:themeFill="text1"/>
            <w:vAlign w:val="center"/>
          </w:tcPr>
          <w:p w14:paraId="0EB81940"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Substation transformer copper loss</w:t>
            </w:r>
          </w:p>
        </w:tc>
        <w:tc>
          <w:tcPr>
            <w:tcW w:w="1418" w:type="dxa"/>
            <w:shd w:val="clear" w:color="auto" w:fill="FFFFFF" w:themeFill="text1"/>
            <w:vAlign w:val="center"/>
          </w:tcPr>
          <w:p w14:paraId="47AD5409"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78.47</w:t>
            </w:r>
          </w:p>
        </w:tc>
        <w:tc>
          <w:tcPr>
            <w:tcW w:w="1417" w:type="dxa"/>
            <w:shd w:val="clear" w:color="auto" w:fill="FFFFFF" w:themeFill="text1"/>
            <w:vAlign w:val="center"/>
          </w:tcPr>
          <w:p w14:paraId="5F7DC86A"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777E80F7"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-0.79 %</w:t>
            </w:r>
          </w:p>
        </w:tc>
      </w:tr>
      <w:tr w:rsidR="00E504A3" w:rsidRPr="0098155F" w14:paraId="3FE6DFF1" w14:textId="77777777" w:rsidTr="002C25AC">
        <w:tc>
          <w:tcPr>
            <w:tcW w:w="5245" w:type="dxa"/>
            <w:shd w:val="clear" w:color="auto" w:fill="FFFFFF" w:themeFill="text1"/>
            <w:vAlign w:val="center"/>
          </w:tcPr>
          <w:p w14:paraId="20A00DFD"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Delivery point limitation loss</w:t>
            </w:r>
          </w:p>
        </w:tc>
        <w:tc>
          <w:tcPr>
            <w:tcW w:w="1418" w:type="dxa"/>
            <w:shd w:val="clear" w:color="auto" w:fill="FFFFFF" w:themeFill="text1"/>
            <w:vAlign w:val="center"/>
          </w:tcPr>
          <w:p w14:paraId="374566CC"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78.47</w:t>
            </w:r>
          </w:p>
        </w:tc>
        <w:tc>
          <w:tcPr>
            <w:tcW w:w="1417" w:type="dxa"/>
            <w:shd w:val="clear" w:color="auto" w:fill="FFFFFF" w:themeFill="text1"/>
            <w:vAlign w:val="center"/>
          </w:tcPr>
          <w:p w14:paraId="7C856950"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25260DA9"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0.00 %</w:t>
            </w:r>
          </w:p>
        </w:tc>
      </w:tr>
      <w:tr w:rsidR="00E504A3" w:rsidRPr="0098155F" w14:paraId="0E6D367D" w14:textId="77777777" w:rsidTr="002C25AC">
        <w:tc>
          <w:tcPr>
            <w:tcW w:w="5245" w:type="dxa"/>
            <w:shd w:val="clear" w:color="auto" w:fill="FFFFFF" w:themeFill="text1"/>
            <w:vAlign w:val="center"/>
          </w:tcPr>
          <w:p w14:paraId="1729E856"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Energy available at the substation output</w:t>
            </w:r>
          </w:p>
        </w:tc>
        <w:tc>
          <w:tcPr>
            <w:tcW w:w="1418" w:type="dxa"/>
            <w:shd w:val="clear" w:color="auto" w:fill="FFFFFF" w:themeFill="text1"/>
            <w:vAlign w:val="center"/>
          </w:tcPr>
          <w:p w14:paraId="3DC2DF2B" w14:textId="77777777" w:rsidR="00E504A3" w:rsidRPr="00077F7B" w:rsidRDefault="00E504A3" w:rsidP="002C25AC">
            <w:pPr>
              <w:pStyle w:val=""/>
              <w:spacing w:after="100"/>
              <w:jc w:val="right"/>
              <w:textAlignment w:val="center"/>
              <w:rPr>
                <w:rFonts w:ascii="Arial" w:hAnsi="Arial" w:cs="Arial"/>
                <w:sz w:val="24"/>
                <w:szCs w:val="24"/>
                <w:lang w:val="en-US"/>
              </w:rPr>
            </w:pPr>
            <w:r>
              <w:rPr>
                <w:b w:val="true"/>
              </w:rPr>
              <w:t>78.47</w:t>
            </w:r>
          </w:p>
        </w:tc>
        <w:tc>
          <w:tcPr>
            <w:tcW w:w="1417" w:type="dxa"/>
            <w:shd w:val="clear" w:color="auto" w:fill="FFFFFF" w:themeFill="text1"/>
            <w:vAlign w:val="center"/>
          </w:tcPr>
          <w:p w14:paraId="77F849BD" w14:textId="77777777" w:rsidR="00E504A3" w:rsidRPr="00077F7B" w:rsidRDefault="00E504A3" w:rsidP="002C25AC">
            <w:pPr>
              <w:pStyle w:val=""/>
              <w:spacing w:after="100"/>
              <w:textAlignment w:val="center"/>
              <w:rPr>
                <w:rFonts w:ascii="Arial" w:hAnsi="Arial" w:cs="Arial"/>
                <w:sz w:val="24"/>
                <w:szCs w:val="24"/>
                <w:lang w:val="en-US"/>
              </w:rPr>
            </w:pPr>
            <w:r>
              <w:rPr>
                <w:b w:val="true"/>
              </w:rPr>
              <w:t>GWh</w:t>
            </w:r>
          </w:p>
        </w:tc>
        <w:tc>
          <w:tcPr>
            <w:tcW w:w="1134" w:type="dxa"/>
            <w:shd w:val="clear" w:color="auto" w:fill="FFFFFF" w:themeFill="text1"/>
            <w:vAlign w:val="center"/>
          </w:tcPr>
          <w:p w14:paraId="0B31BEB1" w14:textId="77777777" w:rsidR="00E504A3" w:rsidRPr="00077F7B" w:rsidRDefault="00E504A3" w:rsidP="002C25AC">
            <w:pPr>
              <w:spacing w:after="100"/>
              <w:jc w:val="center"/>
              <w:textAlignment w:val="center"/>
              <w:rPr>
                <w:rFonts w:ascii="Arial" w:hAnsi="Arial" w:cs="Arial"/>
                <w:sz w:val="24"/>
                <w:szCs w:val="24"/>
                <w:lang w:val="en-US"/>
              </w:rPr>
            </w:pPr>
          </w:p>
        </w:tc>
      </w:tr>
      <w:tr w:rsidR="00E504A3" w:rsidRPr="0098155F" w14:paraId="420FBBD6" w14:textId="77777777" w:rsidTr="002C25AC">
        <w:tc>
          <w:tcPr>
            <w:tcW w:w="5245" w:type="dxa"/>
            <w:shd w:val="clear" w:color="auto" w:fill="FFFFFF" w:themeFill="text1"/>
            <w:vAlign w:val="center"/>
          </w:tcPr>
          <w:p w14:paraId="0ED01701" w14:textId="77777777" w:rsidR="00E504A3" w:rsidRPr="00077F7B" w:rsidRDefault="00E504A3" w:rsidP="002C25AC">
            <w:pPr>
              <w:spacing w:after="100"/>
              <w:textAlignment w:val="center"/>
              <w:rPr>
                <w:rFonts w:ascii="Arial" w:hAnsi="Arial" w:cs="Arial"/>
                <w:bCs/>
                <w:i/>
                <w:iCs/>
                <w:sz w:val="24"/>
                <w:szCs w:val="24"/>
                <w:lang w:val="en-US"/>
              </w:rPr>
            </w:pPr>
            <w:r w:rsidRPr="00077F7B">
              <w:rPr>
                <w:rFonts w:ascii="Arial" w:hAnsi="Arial" w:cs="Arial"/>
                <w:bCs/>
                <w:i/>
                <w:iCs/>
                <w:sz w:val="24"/>
                <w:szCs w:val="24"/>
                <w:lang w:val="en-US"/>
              </w:rPr>
              <w:t>Reactive energy at the substation output</w:t>
            </w:r>
          </w:p>
        </w:tc>
        <w:tc>
          <w:tcPr>
            <w:tcW w:w="1418" w:type="dxa"/>
            <w:shd w:val="clear" w:color="auto" w:fill="FFFFFF" w:themeFill="text1"/>
            <w:vAlign w:val="center"/>
          </w:tcPr>
          <w:p w14:paraId="600F40AD" w14:textId="77777777" w:rsidR="00E504A3" w:rsidRPr="00077F7B" w:rsidRDefault="00E504A3" w:rsidP="002C25AC">
            <w:pPr>
              <w:pStyle w:val=""/>
              <w:spacing w:after="100"/>
              <w:jc w:val="right"/>
              <w:textAlignment w:val="center"/>
              <w:rPr>
                <w:rFonts w:ascii="Arial" w:hAnsi="Arial" w:cs="Arial"/>
                <w:bCs/>
                <w:i/>
                <w:iCs/>
                <w:sz w:val="24"/>
                <w:szCs w:val="24"/>
                <w:lang w:val="en-US"/>
              </w:rPr>
            </w:pPr>
            <w:r>
              <w:rPr>
                <w:b w:val="false"/>
              </w:rPr>
              <w:t>0.0</w:t>
            </w:r>
          </w:p>
        </w:tc>
        <w:tc>
          <w:tcPr>
            <w:tcW w:w="1417" w:type="dxa"/>
            <w:shd w:val="clear" w:color="auto" w:fill="FFFFFF" w:themeFill="text1"/>
            <w:vAlign w:val="center"/>
          </w:tcPr>
          <w:p w14:paraId="44311958" w14:textId="77777777" w:rsidR="00E504A3" w:rsidRPr="00077F7B" w:rsidRDefault="00E504A3" w:rsidP="002C25AC">
            <w:pPr>
              <w:pStyle w:val=""/>
              <w:spacing w:after="100"/>
              <w:textAlignment w:val="center"/>
              <w:rPr>
                <w:rFonts w:ascii="Arial" w:hAnsi="Arial" w:cs="Arial"/>
                <w:bCs/>
                <w:i/>
                <w:iCs/>
                <w:sz w:val="24"/>
                <w:szCs w:val="24"/>
                <w:lang w:val="en-US"/>
              </w:rPr>
            </w:pPr>
            <w:r>
              <w:rPr>
                <w:b w:val="false"/>
              </w:rPr>
              <w:t>GVArh</w:t>
            </w:r>
          </w:p>
        </w:tc>
        <w:tc>
          <w:tcPr>
            <w:tcW w:w="1134" w:type="dxa"/>
            <w:shd w:val="clear" w:color="auto" w:fill="FFFFFF" w:themeFill="text1"/>
            <w:vAlign w:val="center"/>
          </w:tcPr>
          <w:p w14:paraId="2AA61F69" w14:textId="77777777" w:rsidR="00E504A3" w:rsidRPr="00077F7B" w:rsidRDefault="00E504A3" w:rsidP="002C25AC">
            <w:pPr>
              <w:spacing w:after="100"/>
              <w:jc w:val="center"/>
              <w:textAlignment w:val="center"/>
              <w:rPr>
                <w:rFonts w:ascii="Arial" w:hAnsi="Arial" w:cs="Arial"/>
                <w:bCs/>
                <w:i/>
                <w:iCs/>
                <w:sz w:val="24"/>
                <w:szCs w:val="24"/>
                <w:lang w:val="en-US"/>
              </w:rPr>
            </w:pPr>
          </w:p>
        </w:tc>
      </w:tr>
      <w:tr w:rsidR="00E504A3" w:rsidRPr="0098155F" w14:paraId="1D453BB3" w14:textId="77777777" w:rsidTr="002C25AC">
        <w:tc>
          <w:tcPr>
            <w:tcW w:w="5245" w:type="dxa"/>
            <w:shd w:val="clear" w:color="auto" w:fill="FFFFFF" w:themeFill="text1"/>
            <w:vAlign w:val="center"/>
          </w:tcPr>
          <w:p w14:paraId="70A5DF86" w14:textId="77777777" w:rsidR="00E504A3" w:rsidRPr="00077F7B" w:rsidRDefault="00E504A3" w:rsidP="002C25AC">
            <w:pPr>
              <w:spacing w:after="100"/>
              <w:textAlignment w:val="center"/>
              <w:rPr>
                <w:rFonts w:ascii="Arial" w:hAnsi="Arial" w:cs="Arial"/>
                <w:bCs/>
                <w:i/>
                <w:iCs/>
                <w:sz w:val="24"/>
                <w:szCs w:val="24"/>
                <w:lang w:val="en-US"/>
              </w:rPr>
            </w:pPr>
            <w:r w:rsidRPr="00077F7B">
              <w:rPr>
                <w:rFonts w:ascii="Arial" w:hAnsi="Arial" w:cs="Arial"/>
                <w:bCs/>
                <w:i/>
                <w:iCs/>
                <w:sz w:val="24"/>
                <w:szCs w:val="24"/>
                <w:lang w:val="en-US"/>
              </w:rPr>
              <w:t>Power factor the substation output</w:t>
            </w:r>
          </w:p>
        </w:tc>
        <w:tc>
          <w:tcPr>
            <w:tcW w:w="1418" w:type="dxa"/>
            <w:shd w:val="clear" w:color="auto" w:fill="FFFFFF" w:themeFill="text1"/>
            <w:vAlign w:val="center"/>
          </w:tcPr>
          <w:p w14:paraId="267D0F44" w14:textId="77777777" w:rsidR="00E504A3" w:rsidRPr="00077F7B" w:rsidRDefault="00E504A3" w:rsidP="002C25AC">
            <w:pPr>
              <w:pStyle w:val=""/>
              <w:spacing w:after="100"/>
              <w:jc w:val="right"/>
              <w:textAlignment w:val="center"/>
              <w:rPr>
                <w:rFonts w:ascii="Arial" w:hAnsi="Arial" w:cs="Arial"/>
                <w:bCs/>
                <w:i/>
                <w:iCs/>
                <w:sz w:val="24"/>
                <w:szCs w:val="24"/>
                <w:lang w:val="en-US"/>
              </w:rPr>
            </w:pPr>
            <w:r>
              <w:rPr>
                <w:b w:val="false"/>
              </w:rPr>
              <w:t>1.000</w:t>
            </w:r>
          </w:p>
        </w:tc>
        <w:tc>
          <w:tcPr>
            <w:tcW w:w="1417" w:type="dxa"/>
            <w:shd w:val="clear" w:color="auto" w:fill="FFFFFF" w:themeFill="text1"/>
            <w:vAlign w:val="center"/>
          </w:tcPr>
          <w:p w14:paraId="26BF79A6" w14:textId="77777777" w:rsidR="00E504A3" w:rsidRPr="00077F7B" w:rsidRDefault="00E504A3" w:rsidP="002C25AC">
            <w:pPr>
              <w:spacing w:after="100"/>
              <w:textAlignment w:val="center"/>
              <w:rPr>
                <w:rFonts w:ascii="Arial" w:hAnsi="Arial" w:cs="Arial"/>
                <w:bCs/>
                <w:i/>
                <w:iCs/>
                <w:sz w:val="24"/>
                <w:szCs w:val="24"/>
                <w:lang w:val="en-US"/>
              </w:rPr>
            </w:pPr>
          </w:p>
        </w:tc>
        <w:tc>
          <w:tcPr>
            <w:tcW w:w="1134" w:type="dxa"/>
            <w:shd w:val="clear" w:color="auto" w:fill="FFFFFF" w:themeFill="text1"/>
            <w:vAlign w:val="center"/>
          </w:tcPr>
          <w:p w14:paraId="1AAA95E5" w14:textId="77777777" w:rsidR="00E504A3" w:rsidRPr="00077F7B" w:rsidRDefault="00E504A3" w:rsidP="002C25AC">
            <w:pPr>
              <w:spacing w:after="100"/>
              <w:jc w:val="center"/>
              <w:textAlignment w:val="center"/>
              <w:rPr>
                <w:rFonts w:ascii="Arial" w:hAnsi="Arial" w:cs="Arial"/>
                <w:bCs/>
                <w:i/>
                <w:iCs/>
                <w:sz w:val="24"/>
                <w:szCs w:val="24"/>
                <w:lang w:val="en-US"/>
              </w:rPr>
            </w:pPr>
          </w:p>
        </w:tc>
      </w:tr>
      <w:tr w:rsidR="000D7300" w:rsidRPr="00400390" w14:paraId="68B9FE8C" w14:textId="77777777" w:rsidTr="000D7300">
        <w:tc>
          <w:tcPr>
            <w:tcW w:w="5245" w:type="dxa"/>
            <w:shd w:val="clear" w:color="auto" w:fill="B8BDB5"/>
            <w:vAlign w:val="center"/>
          </w:tcPr>
          <w:p w14:paraId="040FFCC6"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Transmission to grid and availability</w:t>
            </w:r>
          </w:p>
        </w:tc>
        <w:tc>
          <w:tcPr>
            <w:tcW w:w="1418" w:type="dxa"/>
            <w:shd w:val="clear" w:color="auto" w:fill="B8BDB5"/>
            <w:vAlign w:val="center"/>
          </w:tcPr>
          <w:p w14:paraId="7460FAFD" w14:textId="77777777" w:rsidR="00E504A3" w:rsidRPr="00077F7B" w:rsidRDefault="00E504A3" w:rsidP="002C25AC">
            <w:pPr>
              <w:spacing w:after="100"/>
              <w:jc w:val="right"/>
              <w:textAlignment w:val="center"/>
              <w:rPr>
                <w:rFonts w:ascii="Arial" w:hAnsi="Arial" w:cs="Arial"/>
                <w:b/>
                <w:sz w:val="24"/>
                <w:szCs w:val="24"/>
                <w:lang w:val="en-US"/>
              </w:rPr>
            </w:pPr>
          </w:p>
        </w:tc>
        <w:tc>
          <w:tcPr>
            <w:tcW w:w="1417" w:type="dxa"/>
            <w:shd w:val="clear" w:color="auto" w:fill="B8BDB5"/>
            <w:vAlign w:val="center"/>
          </w:tcPr>
          <w:p w14:paraId="4789AB8E" w14:textId="77777777" w:rsidR="00E504A3" w:rsidRPr="00077F7B" w:rsidRDefault="00E504A3" w:rsidP="002C25AC">
            <w:pPr>
              <w:spacing w:after="100"/>
              <w:textAlignment w:val="center"/>
              <w:rPr>
                <w:rFonts w:ascii="Arial" w:hAnsi="Arial" w:cs="Arial"/>
                <w:b/>
                <w:sz w:val="24"/>
                <w:szCs w:val="24"/>
                <w:lang w:val="en-US"/>
              </w:rPr>
            </w:pPr>
          </w:p>
        </w:tc>
        <w:tc>
          <w:tcPr>
            <w:tcW w:w="1134" w:type="dxa"/>
            <w:shd w:val="clear" w:color="auto" w:fill="B8BDB5"/>
            <w:vAlign w:val="center"/>
          </w:tcPr>
          <w:p w14:paraId="078732F1" w14:textId="77777777" w:rsidR="00E504A3" w:rsidRPr="00077F7B" w:rsidRDefault="00E504A3" w:rsidP="002C25AC">
            <w:pPr>
              <w:spacing w:after="100"/>
              <w:jc w:val="center"/>
              <w:textAlignment w:val="center"/>
              <w:rPr>
                <w:rFonts w:ascii="Arial" w:hAnsi="Arial" w:cs="Arial"/>
                <w:b/>
                <w:sz w:val="24"/>
                <w:szCs w:val="24"/>
                <w:lang w:val="en-US"/>
              </w:rPr>
            </w:pPr>
          </w:p>
        </w:tc>
      </w:tr>
      <w:tr w:rsidR="00E504A3" w:rsidRPr="0098155F" w14:paraId="166AC717" w14:textId="77777777" w:rsidTr="002C25AC">
        <w:tc>
          <w:tcPr>
            <w:tcW w:w="5245" w:type="dxa"/>
            <w:shd w:val="clear" w:color="auto" w:fill="FFFFFF" w:themeFill="text1"/>
            <w:vAlign w:val="center"/>
          </w:tcPr>
          <w:p w14:paraId="42672723"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HV line from substation to grid loss</w:t>
            </w:r>
          </w:p>
        </w:tc>
        <w:tc>
          <w:tcPr>
            <w:tcW w:w="1418" w:type="dxa"/>
            <w:shd w:val="clear" w:color="auto" w:fill="FFFFFF" w:themeFill="text1"/>
            <w:vAlign w:val="center"/>
          </w:tcPr>
          <w:p w14:paraId="0A55413C"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78.42</w:t>
            </w:r>
          </w:p>
        </w:tc>
        <w:tc>
          <w:tcPr>
            <w:tcW w:w="1417" w:type="dxa"/>
            <w:shd w:val="clear" w:color="auto" w:fill="FFFFFF" w:themeFill="text1"/>
            <w:vAlign w:val="center"/>
          </w:tcPr>
          <w:p w14:paraId="03B45445"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38119AC2"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-0.06 %</w:t>
            </w:r>
          </w:p>
        </w:tc>
      </w:tr>
      <w:tr w:rsidR="00E504A3" w:rsidRPr="0098155F" w14:paraId="19C83D00" w14:textId="77777777" w:rsidTr="002C25AC">
        <w:tc>
          <w:tcPr>
            <w:tcW w:w="5245" w:type="dxa"/>
            <w:shd w:val="clear" w:color="auto" w:fill="FFFFFF" w:themeFill="text1"/>
            <w:vAlign w:val="center"/>
          </w:tcPr>
          <w:p w14:paraId="19648331"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Plant unavailability loss</w:t>
            </w:r>
          </w:p>
        </w:tc>
        <w:tc>
          <w:tcPr>
            <w:tcW w:w="1418" w:type="dxa"/>
            <w:shd w:val="clear" w:color="auto" w:fill="FFFFFF" w:themeFill="text1"/>
            <w:vAlign w:val="center"/>
          </w:tcPr>
          <w:p w14:paraId="4009AD5E"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78.42</w:t>
            </w:r>
          </w:p>
        </w:tc>
        <w:tc>
          <w:tcPr>
            <w:tcW w:w="1417" w:type="dxa"/>
            <w:shd w:val="clear" w:color="auto" w:fill="FFFFFF" w:themeFill="text1"/>
            <w:vAlign w:val="center"/>
          </w:tcPr>
          <w:p w14:paraId="4E4CBC53"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70E1996F"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0.00 %</w:t>
            </w:r>
          </w:p>
        </w:tc>
      </w:tr>
      <w:tr w:rsidR="00E504A3" w:rsidRPr="0098155F" w14:paraId="6E699527" w14:textId="77777777" w:rsidTr="002C25AC">
        <w:tc>
          <w:tcPr>
            <w:tcW w:w="5245" w:type="dxa"/>
            <w:shd w:val="clear" w:color="auto" w:fill="FFFFFF" w:themeFill="text1"/>
            <w:vAlign w:val="center"/>
          </w:tcPr>
          <w:p w14:paraId="31D8DE46" w14:textId="77777777" w:rsidR="00E504A3" w:rsidRPr="00077F7B" w:rsidRDefault="00E504A3" w:rsidP="002C25AC">
            <w:pPr>
              <w:spacing w:after="100"/>
              <w:textAlignment w:val="center"/>
              <w:rPr>
                <w:rFonts w:ascii="Arial" w:hAnsi="Arial" w:cs="Arial"/>
                <w:sz w:val="24"/>
                <w:szCs w:val="24"/>
                <w:lang w:val="en-US"/>
              </w:rPr>
            </w:pPr>
            <w:r w:rsidRPr="00077F7B">
              <w:rPr>
                <w:rFonts w:ascii="Arial" w:hAnsi="Arial" w:cs="Arial"/>
                <w:sz w:val="24"/>
                <w:szCs w:val="24"/>
                <w:lang w:val="en-US"/>
              </w:rPr>
              <w:t>Grid unavailability loss</w:t>
            </w:r>
          </w:p>
        </w:tc>
        <w:tc>
          <w:tcPr>
            <w:tcW w:w="1418" w:type="dxa"/>
            <w:shd w:val="clear" w:color="auto" w:fill="FFFFFF" w:themeFill="text1"/>
            <w:vAlign w:val="center"/>
          </w:tcPr>
          <w:p w14:paraId="67D402E3" w14:textId="77777777" w:rsidR="00E504A3" w:rsidRPr="00077F7B" w:rsidRDefault="00E504A3" w:rsidP="002C25AC">
            <w:pPr>
              <w:pStyle w:val=""/>
              <w:spacing w:after="100"/>
              <w:jc w:val="right"/>
              <w:textAlignment w:val="center"/>
              <w:rPr>
                <w:rFonts w:ascii="Arial" w:hAnsi="Arial" w:cs="Arial"/>
                <w:sz w:val="24"/>
                <w:szCs w:val="24"/>
                <w:lang w:val="en-US"/>
              </w:rPr>
            </w:pPr>
            <w:r>
              <w:rPr>
                <w:b w:val="false"/>
              </w:rPr>
              <w:t>78.42</w:t>
            </w:r>
          </w:p>
        </w:tc>
        <w:tc>
          <w:tcPr>
            <w:tcW w:w="1417" w:type="dxa"/>
            <w:shd w:val="clear" w:color="auto" w:fill="FFFFFF" w:themeFill="text1"/>
            <w:vAlign w:val="center"/>
          </w:tcPr>
          <w:p w14:paraId="4B7FA80A" w14:textId="77777777" w:rsidR="00E504A3" w:rsidRPr="00077F7B" w:rsidRDefault="00E504A3" w:rsidP="002C25AC">
            <w:pPr>
              <w:pStyle w:val=""/>
              <w:spacing w:after="100"/>
              <w:textAlignment w:val="center"/>
              <w:rPr>
                <w:rFonts w:ascii="Arial" w:hAnsi="Arial" w:cs="Arial"/>
                <w:sz w:val="24"/>
                <w:szCs w:val="24"/>
                <w:lang w:val="en-US"/>
              </w:rPr>
            </w:pPr>
            <w:r>
              <w:rPr>
                <w:b w:val="false"/>
              </w:rPr>
              <w:t>GWh</w:t>
            </w:r>
          </w:p>
        </w:tc>
        <w:tc>
          <w:tcPr>
            <w:tcW w:w="1134" w:type="dxa"/>
            <w:shd w:val="clear" w:color="auto" w:fill="FFFFFF" w:themeFill="text1"/>
            <w:vAlign w:val="center"/>
          </w:tcPr>
          <w:p w14:paraId="7B5E5ED9" w14:textId="77777777" w:rsidR="00E504A3" w:rsidRPr="00077F7B" w:rsidRDefault="00E504A3" w:rsidP="002C25AC">
            <w:pPr>
              <w:pStyle w:val=""/>
              <w:spacing w:after="100"/>
              <w:jc w:val="center"/>
              <w:textAlignment w:val="center"/>
              <w:rPr>
                <w:rFonts w:ascii="Arial" w:hAnsi="Arial" w:cs="Arial"/>
                <w:sz w:val="24"/>
                <w:szCs w:val="24"/>
                <w:lang w:val="en-US"/>
              </w:rPr>
            </w:pPr>
            <w:r>
              <w:rPr>
                <w:b w:val="false"/>
              </w:rPr>
              <w:t>0.00 %</w:t>
            </w:r>
          </w:p>
        </w:tc>
      </w:tr>
      <w:tr w:rsidR="00E504A3" w:rsidRPr="0098155F" w14:paraId="2D30BF3B" w14:textId="77777777" w:rsidTr="002C25AC">
        <w:tc>
          <w:tcPr>
            <w:tcW w:w="5245" w:type="dxa"/>
            <w:shd w:val="clear" w:color="auto" w:fill="FFFFFF" w:themeFill="text1"/>
            <w:vAlign w:val="center"/>
          </w:tcPr>
          <w:p w14:paraId="638BEFC7" w14:textId="77777777" w:rsidR="00E504A3" w:rsidRPr="00077F7B" w:rsidRDefault="00E504A3" w:rsidP="002C25AC">
            <w:pPr>
              <w:spacing w:after="100"/>
              <w:textAlignment w:val="center"/>
              <w:rPr>
                <w:rFonts w:ascii="Arial" w:hAnsi="Arial" w:cs="Arial"/>
                <w:b/>
                <w:sz w:val="24"/>
                <w:szCs w:val="24"/>
                <w:lang w:val="en-US"/>
              </w:rPr>
            </w:pPr>
            <w:r w:rsidRPr="00077F7B">
              <w:rPr>
                <w:rFonts w:ascii="Arial" w:hAnsi="Arial" w:cs="Arial"/>
                <w:b/>
                <w:sz w:val="24"/>
                <w:szCs w:val="24"/>
                <w:lang w:val="en-US"/>
              </w:rPr>
              <w:t>ENERGY INJECTED TO GRID</w:t>
            </w:r>
          </w:p>
        </w:tc>
        <w:tc>
          <w:tcPr>
            <w:tcW w:w="1418" w:type="dxa"/>
            <w:shd w:val="clear" w:color="auto" w:fill="FFFFFF" w:themeFill="text1"/>
            <w:vAlign w:val="center"/>
          </w:tcPr>
          <w:p w14:paraId="0A7A93D1" w14:textId="77777777" w:rsidR="00E504A3" w:rsidRPr="00077F7B" w:rsidRDefault="00E504A3" w:rsidP="002C25AC">
            <w:pPr>
              <w:pStyle w:val=""/>
              <w:spacing w:after="100"/>
              <w:jc w:val="right"/>
              <w:textAlignment w:val="center"/>
              <w:rPr>
                <w:rFonts w:ascii="Arial" w:hAnsi="Arial" w:cs="Arial"/>
                <w:b/>
                <w:sz w:val="24"/>
                <w:szCs w:val="24"/>
                <w:lang w:val="en-US"/>
              </w:rPr>
            </w:pPr>
            <w:r>
              <w:rPr>
                <w:b w:val="true"/>
              </w:rPr>
              <w:t>78.42</w:t>
            </w:r>
          </w:p>
        </w:tc>
        <w:tc>
          <w:tcPr>
            <w:tcW w:w="1417" w:type="dxa"/>
            <w:shd w:val="clear" w:color="auto" w:fill="FFFFFF" w:themeFill="text1"/>
            <w:vAlign w:val="center"/>
          </w:tcPr>
          <w:p w14:paraId="1B856955" w14:textId="77777777" w:rsidR="00E504A3" w:rsidRPr="00077F7B" w:rsidRDefault="00E504A3" w:rsidP="002C25AC">
            <w:pPr>
              <w:pStyle w:val=""/>
              <w:spacing w:after="100"/>
              <w:textAlignment w:val="center"/>
              <w:rPr>
                <w:rFonts w:ascii="Arial" w:hAnsi="Arial" w:cs="Arial"/>
                <w:b/>
                <w:sz w:val="24"/>
                <w:szCs w:val="24"/>
                <w:lang w:val="en-US"/>
              </w:rPr>
            </w:pPr>
            <w:r>
              <w:rPr>
                <w:b w:val="true"/>
              </w:rPr>
              <w:t>GWh</w:t>
            </w:r>
          </w:p>
        </w:tc>
        <w:tc>
          <w:tcPr>
            <w:tcW w:w="1134" w:type="dxa"/>
            <w:shd w:val="clear" w:color="auto" w:fill="FFFFFF" w:themeFill="text1"/>
            <w:vAlign w:val="center"/>
          </w:tcPr>
          <w:p w14:paraId="6826A264" w14:textId="77777777" w:rsidR="00E504A3" w:rsidRPr="00077F7B" w:rsidRDefault="00E504A3" w:rsidP="002C25AC">
            <w:pPr>
              <w:spacing w:after="100"/>
              <w:jc w:val="center"/>
              <w:textAlignment w:val="center"/>
              <w:rPr>
                <w:rFonts w:ascii="Arial" w:hAnsi="Arial" w:cs="Arial"/>
                <w:b/>
                <w:sz w:val="24"/>
                <w:szCs w:val="24"/>
                <w:lang w:val="en-US"/>
              </w:rPr>
            </w:pPr>
          </w:p>
        </w:tc>
      </w:tr>
      <w:tr w:rsidR="00E504A3" w:rsidRPr="0098155F" w14:paraId="75532901" w14:textId="77777777" w:rsidTr="002C25AC">
        <w:tc>
          <w:tcPr>
            <w:tcW w:w="5245" w:type="dxa"/>
            <w:shd w:val="clear" w:color="auto" w:fill="FFFFFF" w:themeFill="text1"/>
            <w:vAlign w:val="center"/>
          </w:tcPr>
          <w:p w14:paraId="4224F94C" w14:textId="77777777" w:rsidR="00E504A3" w:rsidRPr="00077F7B" w:rsidRDefault="00E504A3" w:rsidP="002C25AC">
            <w:pPr>
              <w:spacing w:after="100"/>
              <w:textAlignment w:val="center"/>
              <w:rPr>
                <w:rFonts w:ascii="Arial" w:hAnsi="Arial" w:cs="Arial"/>
                <w:bCs/>
                <w:i/>
                <w:iCs/>
                <w:sz w:val="24"/>
                <w:szCs w:val="24"/>
                <w:lang w:val="en-US"/>
              </w:rPr>
            </w:pPr>
            <w:r w:rsidRPr="00077F7B">
              <w:rPr>
                <w:rFonts w:ascii="Arial" w:hAnsi="Arial" w:cs="Arial"/>
                <w:bCs/>
                <w:i/>
                <w:iCs/>
                <w:sz w:val="24"/>
                <w:szCs w:val="24"/>
                <w:lang w:val="en-US"/>
              </w:rPr>
              <w:t>REACTIVE ENERGY INJECTED TO GRID</w:t>
            </w:r>
          </w:p>
        </w:tc>
        <w:tc>
          <w:tcPr>
            <w:tcW w:w="1418" w:type="dxa"/>
            <w:shd w:val="clear" w:color="auto" w:fill="FFFFFF" w:themeFill="text1"/>
            <w:vAlign w:val="center"/>
          </w:tcPr>
          <w:p w14:paraId="1F7CC1A9" w14:textId="77777777" w:rsidR="00E504A3" w:rsidRPr="00077F7B" w:rsidRDefault="00E504A3" w:rsidP="002C25AC">
            <w:pPr>
              <w:pStyle w:val=""/>
              <w:spacing w:after="100"/>
              <w:jc w:val="right"/>
              <w:textAlignment w:val="center"/>
              <w:rPr>
                <w:rFonts w:ascii="Arial" w:hAnsi="Arial" w:cs="Arial"/>
                <w:bCs/>
                <w:i/>
                <w:iCs/>
                <w:sz w:val="24"/>
                <w:szCs w:val="24"/>
                <w:lang w:val="en-US"/>
              </w:rPr>
            </w:pPr>
            <w:r>
              <w:rPr>
                <w:b w:val="false"/>
              </w:rPr>
              <w:t>0.0</w:t>
            </w:r>
          </w:p>
        </w:tc>
        <w:tc>
          <w:tcPr>
            <w:tcW w:w="1417" w:type="dxa"/>
            <w:shd w:val="clear" w:color="auto" w:fill="FFFFFF" w:themeFill="text1"/>
            <w:vAlign w:val="center"/>
          </w:tcPr>
          <w:p w14:paraId="101E3D33" w14:textId="77777777" w:rsidR="00E504A3" w:rsidRPr="00077F7B" w:rsidRDefault="00E504A3" w:rsidP="002C25AC">
            <w:pPr>
              <w:pStyle w:val=""/>
              <w:spacing w:after="100"/>
              <w:textAlignment w:val="center"/>
              <w:rPr>
                <w:rFonts w:ascii="Arial" w:hAnsi="Arial" w:cs="Arial"/>
                <w:bCs/>
                <w:i/>
                <w:iCs/>
                <w:sz w:val="24"/>
                <w:szCs w:val="24"/>
                <w:lang w:val="en-US"/>
              </w:rPr>
            </w:pPr>
            <w:r>
              <w:rPr>
                <w:b w:val="false"/>
              </w:rPr>
              <w:t>GVArh</w:t>
            </w:r>
          </w:p>
        </w:tc>
        <w:tc>
          <w:tcPr>
            <w:tcW w:w="1134" w:type="dxa"/>
            <w:shd w:val="clear" w:color="auto" w:fill="FFFFFF" w:themeFill="text1"/>
            <w:vAlign w:val="center"/>
          </w:tcPr>
          <w:p w14:paraId="731E87F8" w14:textId="77777777" w:rsidR="00E504A3" w:rsidRPr="00077F7B" w:rsidRDefault="00E504A3" w:rsidP="002C25AC">
            <w:pPr>
              <w:spacing w:after="100"/>
              <w:jc w:val="center"/>
              <w:textAlignment w:val="center"/>
              <w:rPr>
                <w:rFonts w:ascii="Arial" w:hAnsi="Arial" w:cs="Arial"/>
                <w:bCs/>
                <w:i/>
                <w:iCs/>
                <w:sz w:val="24"/>
                <w:szCs w:val="24"/>
                <w:lang w:val="en-US"/>
              </w:rPr>
            </w:pPr>
          </w:p>
        </w:tc>
      </w:tr>
      <w:tr w:rsidR="00E504A3" w:rsidRPr="0098155F" w14:paraId="44A02719" w14:textId="77777777" w:rsidTr="002C25AC">
        <w:tc>
          <w:tcPr>
            <w:tcW w:w="5245" w:type="dxa"/>
            <w:shd w:val="clear" w:color="auto" w:fill="FFFFFF" w:themeFill="text1"/>
            <w:vAlign w:val="center"/>
          </w:tcPr>
          <w:p w14:paraId="12590B92" w14:textId="77777777" w:rsidR="00E504A3" w:rsidRPr="00077F7B" w:rsidRDefault="00E504A3" w:rsidP="002C25AC">
            <w:pPr>
              <w:spacing w:after="100"/>
              <w:textAlignment w:val="center"/>
              <w:rPr>
                <w:rFonts w:ascii="Arial" w:hAnsi="Arial" w:cs="Arial"/>
                <w:bCs/>
                <w:i/>
                <w:iCs/>
                <w:sz w:val="24"/>
                <w:szCs w:val="24"/>
                <w:lang w:val="en-US"/>
              </w:rPr>
            </w:pPr>
            <w:r w:rsidRPr="00077F7B">
              <w:rPr>
                <w:rFonts w:ascii="Arial" w:hAnsi="Arial" w:cs="Arial"/>
                <w:bCs/>
                <w:i/>
                <w:iCs/>
                <w:sz w:val="24"/>
                <w:szCs w:val="24"/>
                <w:lang w:val="en-US"/>
              </w:rPr>
              <w:t>POWER FACTOR AT GRID CONNECTION</w:t>
            </w:r>
          </w:p>
        </w:tc>
        <w:tc>
          <w:tcPr>
            <w:tcW w:w="1418" w:type="dxa"/>
            <w:shd w:val="clear" w:color="auto" w:fill="FFFFFF" w:themeFill="text1"/>
            <w:vAlign w:val="center"/>
          </w:tcPr>
          <w:p w14:paraId="7D1D8B6B" w14:textId="77777777" w:rsidR="00E504A3" w:rsidRPr="00077F7B" w:rsidRDefault="00E504A3" w:rsidP="002C25AC">
            <w:pPr>
              <w:pStyle w:val=""/>
              <w:spacing w:after="100"/>
              <w:jc w:val="right"/>
              <w:textAlignment w:val="center"/>
              <w:rPr>
                <w:rFonts w:ascii="Arial" w:hAnsi="Arial" w:cs="Arial"/>
                <w:bCs/>
                <w:i/>
                <w:iCs/>
                <w:sz w:val="24"/>
                <w:szCs w:val="24"/>
                <w:lang w:val="en-US"/>
              </w:rPr>
            </w:pPr>
            <w:r>
              <w:rPr>
                <w:b w:val="false"/>
              </w:rPr>
              <w:t>1.000</w:t>
            </w:r>
          </w:p>
        </w:tc>
        <w:tc>
          <w:tcPr>
            <w:tcW w:w="1417" w:type="dxa"/>
            <w:shd w:val="clear" w:color="auto" w:fill="FFFFFF" w:themeFill="text1"/>
            <w:vAlign w:val="center"/>
          </w:tcPr>
          <w:p w14:paraId="717A8E97" w14:textId="77777777" w:rsidR="00E504A3" w:rsidRPr="00077F7B" w:rsidRDefault="00E504A3" w:rsidP="002C25AC">
            <w:pPr>
              <w:spacing w:after="100"/>
              <w:textAlignment w:val="center"/>
              <w:rPr>
                <w:rFonts w:ascii="Arial" w:hAnsi="Arial" w:cs="Arial"/>
                <w:bCs/>
                <w:i/>
                <w:iCs/>
                <w:sz w:val="24"/>
                <w:szCs w:val="24"/>
                <w:lang w:val="en-US"/>
              </w:rPr>
            </w:pPr>
          </w:p>
        </w:tc>
        <w:tc>
          <w:tcPr>
            <w:tcW w:w="1134" w:type="dxa"/>
            <w:shd w:val="clear" w:color="auto" w:fill="FFFFFF" w:themeFill="text1"/>
            <w:vAlign w:val="center"/>
          </w:tcPr>
          <w:p w14:paraId="05BD277A" w14:textId="77777777" w:rsidR="00E504A3" w:rsidRPr="00077F7B" w:rsidRDefault="00E504A3" w:rsidP="002C25AC">
            <w:pPr>
              <w:spacing w:after="100"/>
              <w:jc w:val="center"/>
              <w:textAlignment w:val="center"/>
              <w:rPr>
                <w:rFonts w:ascii="Arial" w:hAnsi="Arial" w:cs="Arial"/>
                <w:bCs/>
                <w:i/>
                <w:iCs/>
                <w:sz w:val="24"/>
                <w:szCs w:val="24"/>
                <w:lang w:val="en-US"/>
              </w:rPr>
            </w:pPr>
          </w:p>
        </w:tc>
      </w:tr>
    </w:tbl>
    <w:bookmarkEnd w:id="42"/>
    <w:p w14:paraId="08C3D821" w14:textId="77777777" w:rsidR="00903F96" w:rsidRPr="0098155F" w:rsidRDefault="00903F96" w:rsidP="00903F96">
      <w:pPr>
        <w:pStyle w:val="Title2"/>
        <w:rPr>
          <w:rFonts w:cs="Arial"/>
          <w:lang w:val="en-US"/>
        </w:rPr>
      </w:pPr>
      <w:r>
        <w:rPr>
          <w:rFonts w:ascii="Arial" w:hAnsi="Arial" w:cs="Arial" w:eastAsia="Arial"/>
          <w:b w:val="false"/>
          <w:sz w:val="28"/>
        </w:rPr>
        <w:t xml:space="preserve">7.2. </w:t>
      </w:r>
      <w:bookmarkStart w:id="45" w:name="45"/>
      <w:r>
        <w:rPr>
          <w:rFonts w:ascii="Arial" w:hAnsi="Arial" w:cs="Arial" w:eastAsia="Arial"/>
          <w:b w:val="false"/>
          <w:sz w:val="28"/>
        </w:rPr>
        <w:t>First year nighttime consumption</w:t>
      </w:r>
      <w:bookmarkEnd w:id="45"/>
    </w:p>
    <w:p w14:paraId="5C472E2C" w14:textId="77777777" w:rsidR="00903F96" w:rsidRPr="0098155F" w:rsidRDefault="00903F96" w:rsidP="00903F96">
      <w:pPr>
        <w:pStyle w:val="paragraph"/>
        <w:rPr>
          <w:rFonts w:ascii="Arial" w:hAnsi="Arial" w:cs="Arial"/>
          <w:lang w:val="en-US"/>
        </w:rPr>
      </w:pPr>
      <w:r>
        <w:rPr>
          <w:b w:val="false"/>
        </w:rPr>
        <w:t>In Table 22 the nighttime consumption results of the photovoltaic plant are shown. The consumptions come from the night loss of the inverters, the transformer core (iron) losses, and the plant auxiliary consumption loss.</w:t>
      </w:r>
    </w:p>
    <w:p w14:paraId="31C33310" w14:textId="77777777" w:rsidR="00903F96" w:rsidRPr="0098155F" w:rsidRDefault="00903F96" w:rsidP="00903F96">
      <w:pPr>
        <w:pStyle w:val="paragraph"/>
        <w:rPr>
          <w:rFonts w:ascii="Arial" w:hAnsi="Arial" w:cs="Arial"/>
          <w:lang w:val="en-US"/>
        </w:rPr>
      </w:pPr>
      <w:r>
        <w:rPr>
          <w:b w:val="false"/>
        </w:rPr>
        <w:t>The total yearly nighttime power consumption was of -272.85 MWh, which represents a 0.35 % of the total yearly energy production of 78.42 GWh.</w:t>
      </w:r>
    </w:p>
    <w:p w14:paraId="288AC7ED" w14:textId="77777777" w:rsidR="00903F96" w:rsidRPr="0098155F" w:rsidRDefault="00903F96" w:rsidP="00903F96">
      <w:pPr>
        <w:pStyle w:val="NameTableImg"/>
        <w:rPr>
          <w:rFonts w:cs="Arial"/>
          <w:lang w:val="en-US"/>
        </w:rPr>
      </w:pPr>
      <w:r>
        <w:rPr>
          <w:b w:val="false"/>
          <w:i w:val="true"/>
        </w:rPr>
        <w:t>Table 22. Nighttime consumption results for the first year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1418"/>
        <w:gridCol w:w="1134"/>
        <w:gridCol w:w="1417"/>
      </w:tblGrid>
      <w:tr w:rsidR="00BB5186" w:rsidRPr="00BB5186" w14:paraId="6794A6AB" w14:textId="77777777" w:rsidTr="00BB5186">
        <w:tc>
          <w:tcPr>
            <w:tcW w:w="5245" w:type="dxa"/>
            <w:shd w:val="clear" w:color="auto" w:fill="989E95"/>
            <w:vAlign w:val="center"/>
          </w:tcPr>
          <w:p w14:paraId="6F24A424" w14:textId="77777777" w:rsidR="00903F96" w:rsidRPr="00BB5186" w:rsidRDefault="00903F96" w:rsidP="00C96B85">
            <w:pPr>
              <w:pStyle w:val="paragraph"/>
              <w:spacing w:after="100"/>
              <w:jc w:val="left"/>
              <w:textAlignment w:val="center"/>
              <w:rPr>
                <w:rFonts w:ascii="Arial" w:hAnsi="Arial" w:cs="Arial"/>
                <w:bCs/>
                <w:sz w:val="28"/>
                <w:szCs w:val="24"/>
                <w:lang w:val="en-US"/>
              </w:rPr>
            </w:pPr>
            <w:r w:rsidRPr="00BB5186">
              <w:rPr>
                <w:rFonts w:ascii="Arial" w:hAnsi="Arial" w:cs="Arial"/>
                <w:bCs/>
                <w:sz w:val="28"/>
                <w:szCs w:val="24"/>
                <w:lang w:val="en-US"/>
              </w:rPr>
              <w:t>Description</w:t>
            </w:r>
          </w:p>
        </w:tc>
        <w:tc>
          <w:tcPr>
            <w:tcW w:w="1418" w:type="dxa"/>
            <w:shd w:val="clear" w:color="auto" w:fill="989E95"/>
            <w:vAlign w:val="center"/>
          </w:tcPr>
          <w:p w14:paraId="6BB9D922" w14:textId="77777777" w:rsidR="00903F96" w:rsidRPr="00BB5186" w:rsidRDefault="00903F96" w:rsidP="00C96B85">
            <w:pPr>
              <w:pStyle w:val="paragraph"/>
              <w:spacing w:after="100"/>
              <w:jc w:val="right"/>
              <w:textAlignment w:val="center"/>
              <w:rPr>
                <w:rFonts w:ascii="Arial" w:hAnsi="Arial" w:cs="Arial"/>
                <w:bCs/>
                <w:sz w:val="28"/>
                <w:szCs w:val="24"/>
                <w:lang w:val="en-US"/>
              </w:rPr>
            </w:pPr>
            <w:r w:rsidRPr="00BB5186">
              <w:rPr>
                <w:rFonts w:ascii="Arial" w:hAnsi="Arial" w:cs="Arial"/>
                <w:bCs/>
                <w:sz w:val="28"/>
                <w:szCs w:val="24"/>
                <w:lang w:val="en-US"/>
              </w:rPr>
              <w:t>Value</w:t>
            </w:r>
          </w:p>
        </w:tc>
        <w:tc>
          <w:tcPr>
            <w:tcW w:w="1134" w:type="dxa"/>
            <w:shd w:val="clear" w:color="auto" w:fill="989E95"/>
            <w:vAlign w:val="center"/>
          </w:tcPr>
          <w:p w14:paraId="53CBE875" w14:textId="77777777" w:rsidR="00903F96" w:rsidRPr="00BB5186" w:rsidRDefault="00903F96" w:rsidP="00C96B85">
            <w:pPr>
              <w:pStyle w:val="paragraph"/>
              <w:spacing w:after="100"/>
              <w:jc w:val="left"/>
              <w:textAlignment w:val="center"/>
              <w:rPr>
                <w:rFonts w:ascii="Arial" w:hAnsi="Arial" w:cs="Arial"/>
                <w:bCs/>
                <w:sz w:val="28"/>
                <w:szCs w:val="24"/>
                <w:lang w:val="en-US"/>
              </w:rPr>
            </w:pPr>
            <w:r w:rsidRPr="00BB5186">
              <w:rPr>
                <w:rFonts w:ascii="Arial" w:hAnsi="Arial" w:cs="Arial"/>
                <w:bCs/>
                <w:sz w:val="28"/>
                <w:szCs w:val="24"/>
                <w:lang w:val="en-US"/>
              </w:rPr>
              <w:t>Unit</w:t>
            </w:r>
          </w:p>
        </w:tc>
        <w:tc>
          <w:tcPr>
            <w:tcW w:w="1417" w:type="dxa"/>
            <w:shd w:val="clear" w:color="auto" w:fill="989E95"/>
            <w:vAlign w:val="center"/>
          </w:tcPr>
          <w:p w14:paraId="50A1BB20"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Percentage of total</w:t>
            </w:r>
          </w:p>
        </w:tc>
      </w:tr>
      <w:tr w:rsidR="000D7300" w:rsidRPr="000D7300" w14:paraId="37E44D70" w14:textId="77777777" w:rsidTr="000D7300">
        <w:tc>
          <w:tcPr>
            <w:tcW w:w="5245" w:type="dxa"/>
            <w:shd w:val="clear" w:color="auto" w:fill="B8BDB5"/>
            <w:vAlign w:val="center"/>
          </w:tcPr>
          <w:p w14:paraId="4CCAEB7A" w14:textId="77777777" w:rsidR="00903F96" w:rsidRPr="000D7300" w:rsidRDefault="00903F96" w:rsidP="00C96B85">
            <w:pPr>
              <w:spacing w:after="100"/>
              <w:textAlignment w:val="center"/>
              <w:rPr>
                <w:rFonts w:ascii="Arial" w:hAnsi="Arial" w:cs="Arial"/>
                <w:b/>
                <w:sz w:val="24"/>
                <w:szCs w:val="24"/>
                <w:lang w:val="en-US"/>
              </w:rPr>
            </w:pPr>
            <w:r w:rsidRPr="000D7300">
              <w:rPr>
                <w:rFonts w:ascii="Arial" w:hAnsi="Arial" w:cs="Arial"/>
                <w:b/>
                <w:sz w:val="24"/>
                <w:szCs w:val="24"/>
                <w:lang w:val="en-US"/>
              </w:rPr>
              <w:t>Inverter</w:t>
            </w:r>
          </w:p>
        </w:tc>
        <w:tc>
          <w:tcPr>
            <w:tcW w:w="1418" w:type="dxa"/>
            <w:shd w:val="clear" w:color="auto" w:fill="B8BDB5"/>
            <w:vAlign w:val="center"/>
          </w:tcPr>
          <w:p w14:paraId="1FB87CBE" w14:textId="77777777" w:rsidR="00903F96" w:rsidRPr="000D7300" w:rsidRDefault="00903F96" w:rsidP="00C96B85">
            <w:pPr>
              <w:spacing w:after="100"/>
              <w:jc w:val="right"/>
              <w:textAlignment w:val="center"/>
              <w:rPr>
                <w:rFonts w:ascii="Arial" w:hAnsi="Arial" w:cs="Arial"/>
                <w:b/>
                <w:sz w:val="24"/>
                <w:szCs w:val="24"/>
                <w:lang w:val="en-US"/>
              </w:rPr>
            </w:pPr>
          </w:p>
        </w:tc>
        <w:tc>
          <w:tcPr>
            <w:tcW w:w="1134" w:type="dxa"/>
            <w:shd w:val="clear" w:color="auto" w:fill="B8BDB5"/>
            <w:vAlign w:val="center"/>
          </w:tcPr>
          <w:p w14:paraId="03963B33" w14:textId="77777777" w:rsidR="00903F96" w:rsidRPr="000D7300" w:rsidRDefault="00903F96" w:rsidP="00C96B85">
            <w:pPr>
              <w:spacing w:after="100"/>
              <w:textAlignment w:val="center"/>
              <w:rPr>
                <w:rFonts w:ascii="Arial" w:hAnsi="Arial" w:cs="Arial"/>
                <w:b/>
                <w:sz w:val="24"/>
                <w:szCs w:val="24"/>
                <w:lang w:val="en-US"/>
              </w:rPr>
            </w:pPr>
          </w:p>
        </w:tc>
        <w:tc>
          <w:tcPr>
            <w:tcW w:w="1417" w:type="dxa"/>
            <w:shd w:val="clear" w:color="auto" w:fill="B8BDB5"/>
            <w:vAlign w:val="center"/>
          </w:tcPr>
          <w:p w14:paraId="3569D384" w14:textId="77777777" w:rsidR="00903F96" w:rsidRPr="000D7300" w:rsidRDefault="00903F96" w:rsidP="00C96B85">
            <w:pPr>
              <w:spacing w:after="100"/>
              <w:jc w:val="center"/>
              <w:textAlignment w:val="center"/>
              <w:rPr>
                <w:rFonts w:ascii="Arial" w:hAnsi="Arial" w:cs="Arial"/>
                <w:b/>
                <w:sz w:val="24"/>
                <w:szCs w:val="24"/>
                <w:lang w:val="en-US"/>
              </w:rPr>
            </w:pPr>
          </w:p>
        </w:tc>
      </w:tr>
      <w:tr w:rsidR="00903F96" w:rsidRPr="0098155F" w14:paraId="4EE6A123" w14:textId="77777777" w:rsidTr="00C96B85">
        <w:tc>
          <w:tcPr>
            <w:tcW w:w="5245" w:type="dxa"/>
            <w:shd w:val="clear" w:color="auto" w:fill="FFFFFF" w:themeFill="text1"/>
            <w:vAlign w:val="center"/>
          </w:tcPr>
          <w:p w14:paraId="4C7B9D66" w14:textId="77777777" w:rsidR="00903F96" w:rsidRPr="00077F7B" w:rsidRDefault="00903F96" w:rsidP="00C96B85">
            <w:pPr>
              <w:spacing w:after="100"/>
              <w:textAlignment w:val="center"/>
              <w:rPr>
                <w:rFonts w:ascii="Arial" w:hAnsi="Arial" w:cs="Arial"/>
                <w:sz w:val="24"/>
                <w:szCs w:val="24"/>
                <w:lang w:val="en-US"/>
              </w:rPr>
            </w:pPr>
            <w:r w:rsidRPr="00077F7B">
              <w:rPr>
                <w:rFonts w:ascii="Arial" w:hAnsi="Arial" w:cs="Arial"/>
                <w:sz w:val="24"/>
                <w:szCs w:val="24"/>
                <w:lang w:val="en-US"/>
              </w:rPr>
              <w:lastRenderedPageBreak/>
              <w:t>Nighttime loss</w:t>
            </w:r>
          </w:p>
        </w:tc>
        <w:tc>
          <w:tcPr>
            <w:tcW w:w="1418" w:type="dxa"/>
            <w:shd w:val="clear" w:color="auto" w:fill="FFFFFF" w:themeFill="text1"/>
            <w:vAlign w:val="center"/>
          </w:tcPr>
          <w:p w14:paraId="3D52387B" w14:textId="77777777" w:rsidR="00903F96" w:rsidRPr="00077F7B" w:rsidRDefault="00903F96" w:rsidP="00C96B85">
            <w:pPr>
              <w:pStyle w:val=""/>
              <w:spacing w:after="100"/>
              <w:jc w:val="right"/>
              <w:textAlignment w:val="center"/>
              <w:rPr>
                <w:rFonts w:ascii="Arial" w:hAnsi="Arial" w:cs="Arial"/>
                <w:sz w:val="24"/>
                <w:szCs w:val="24"/>
                <w:lang w:val="en-US"/>
              </w:rPr>
            </w:pPr>
            <w:r>
              <w:rPr>
                <w:b w:val="false"/>
              </w:rPr>
              <w:t>0.0</w:t>
            </w:r>
          </w:p>
        </w:tc>
        <w:tc>
          <w:tcPr>
            <w:tcW w:w="1134" w:type="dxa"/>
            <w:shd w:val="clear" w:color="auto" w:fill="FFFFFF" w:themeFill="text1"/>
            <w:vAlign w:val="center"/>
          </w:tcPr>
          <w:p w14:paraId="164DAC24" w14:textId="77777777" w:rsidR="00903F96" w:rsidRPr="00077F7B" w:rsidRDefault="00903F96" w:rsidP="00C96B85">
            <w:pPr>
              <w:pStyle w:val=""/>
              <w:spacing w:after="100"/>
              <w:textAlignment w:val="center"/>
              <w:rPr>
                <w:rFonts w:ascii="Arial" w:hAnsi="Arial" w:cs="Arial"/>
                <w:sz w:val="24"/>
                <w:szCs w:val="24"/>
                <w:lang w:val="en-US"/>
              </w:rPr>
            </w:pPr>
            <w:r>
              <w:rPr>
                <w:b w:val="false"/>
              </w:rPr>
              <w:t>MWh</w:t>
            </w:r>
          </w:p>
        </w:tc>
        <w:tc>
          <w:tcPr>
            <w:tcW w:w="1417" w:type="dxa"/>
            <w:shd w:val="clear" w:color="auto" w:fill="FFFFFF" w:themeFill="text1"/>
            <w:vAlign w:val="center"/>
          </w:tcPr>
          <w:p w14:paraId="3CD1924E" w14:textId="77777777" w:rsidR="00903F96" w:rsidRPr="00077F7B" w:rsidRDefault="00903F96" w:rsidP="00C96B85">
            <w:pPr>
              <w:pStyle w:val=""/>
              <w:spacing w:after="100"/>
              <w:jc w:val="center"/>
              <w:textAlignment w:val="center"/>
              <w:rPr>
                <w:rFonts w:ascii="Arial" w:hAnsi="Arial" w:cs="Arial"/>
                <w:sz w:val="24"/>
                <w:szCs w:val="24"/>
                <w:lang w:val="en-US"/>
              </w:rPr>
            </w:pPr>
            <w:r>
              <w:rPr>
                <w:b w:val="false"/>
              </w:rPr>
              <w:t>0.00 %</w:t>
            </w:r>
          </w:p>
        </w:tc>
      </w:tr>
      <w:tr w:rsidR="000D7300" w:rsidRPr="000D7300" w14:paraId="5012F182" w14:textId="77777777" w:rsidTr="000D7300">
        <w:tc>
          <w:tcPr>
            <w:tcW w:w="5245" w:type="dxa"/>
            <w:shd w:val="clear" w:color="auto" w:fill="B8BDB5"/>
            <w:vAlign w:val="center"/>
          </w:tcPr>
          <w:p w14:paraId="00C09DA6" w14:textId="77777777" w:rsidR="00903F96" w:rsidRPr="00077F7B" w:rsidRDefault="00903F96" w:rsidP="00C96B85">
            <w:pPr>
              <w:spacing w:after="100"/>
              <w:textAlignment w:val="center"/>
              <w:rPr>
                <w:rFonts w:ascii="Arial" w:hAnsi="Arial" w:cs="Arial"/>
                <w:b/>
                <w:sz w:val="24"/>
                <w:szCs w:val="24"/>
                <w:lang w:val="en-US"/>
              </w:rPr>
            </w:pPr>
            <w:r w:rsidRPr="00077F7B">
              <w:rPr>
                <w:rFonts w:ascii="Arial" w:hAnsi="Arial" w:cs="Arial"/>
                <w:b/>
                <w:sz w:val="24"/>
                <w:szCs w:val="24"/>
                <w:lang w:val="en-US"/>
              </w:rPr>
              <w:t>Power station</w:t>
            </w:r>
          </w:p>
        </w:tc>
        <w:tc>
          <w:tcPr>
            <w:tcW w:w="1418" w:type="dxa"/>
            <w:shd w:val="clear" w:color="auto" w:fill="B8BDB5"/>
            <w:vAlign w:val="center"/>
          </w:tcPr>
          <w:p w14:paraId="786CAC4A" w14:textId="77777777" w:rsidR="00903F96" w:rsidRPr="00077F7B" w:rsidRDefault="00903F96" w:rsidP="00C96B85">
            <w:pPr>
              <w:spacing w:after="100"/>
              <w:jc w:val="right"/>
              <w:textAlignment w:val="center"/>
              <w:rPr>
                <w:rFonts w:ascii="Arial" w:hAnsi="Arial" w:cs="Arial"/>
                <w:b/>
                <w:sz w:val="24"/>
                <w:szCs w:val="24"/>
                <w:lang w:val="en-US"/>
              </w:rPr>
            </w:pPr>
          </w:p>
        </w:tc>
        <w:tc>
          <w:tcPr>
            <w:tcW w:w="1134" w:type="dxa"/>
            <w:shd w:val="clear" w:color="auto" w:fill="B8BDB5"/>
            <w:vAlign w:val="center"/>
          </w:tcPr>
          <w:p w14:paraId="7C1A7B8E" w14:textId="77777777" w:rsidR="00903F96" w:rsidRPr="00077F7B" w:rsidRDefault="00903F96" w:rsidP="00C96B85">
            <w:pPr>
              <w:spacing w:after="100"/>
              <w:textAlignment w:val="center"/>
              <w:rPr>
                <w:rFonts w:ascii="Arial" w:hAnsi="Arial" w:cs="Arial"/>
                <w:b/>
                <w:sz w:val="24"/>
                <w:szCs w:val="24"/>
                <w:lang w:val="en-US"/>
              </w:rPr>
            </w:pPr>
          </w:p>
        </w:tc>
        <w:tc>
          <w:tcPr>
            <w:tcW w:w="1417" w:type="dxa"/>
            <w:shd w:val="clear" w:color="auto" w:fill="B8BDB5"/>
            <w:vAlign w:val="center"/>
          </w:tcPr>
          <w:p w14:paraId="1F02F8E3" w14:textId="77777777" w:rsidR="00903F96" w:rsidRPr="00077F7B" w:rsidRDefault="00903F96" w:rsidP="00C96B85">
            <w:pPr>
              <w:spacing w:after="100"/>
              <w:jc w:val="center"/>
              <w:textAlignment w:val="center"/>
              <w:rPr>
                <w:rFonts w:ascii="Arial" w:hAnsi="Arial" w:cs="Arial"/>
                <w:b/>
                <w:sz w:val="24"/>
                <w:szCs w:val="24"/>
                <w:lang w:val="en-US"/>
              </w:rPr>
            </w:pPr>
          </w:p>
        </w:tc>
      </w:tr>
      <w:tr w:rsidR="00903F96" w:rsidRPr="0098155F" w14:paraId="0CB3E160" w14:textId="77777777" w:rsidTr="00C96B85">
        <w:tc>
          <w:tcPr>
            <w:tcW w:w="5245" w:type="dxa"/>
            <w:shd w:val="clear" w:color="auto" w:fill="FFFFFF" w:themeFill="text1"/>
            <w:vAlign w:val="center"/>
          </w:tcPr>
          <w:p w14:paraId="01C7E84A" w14:textId="77777777" w:rsidR="00903F96" w:rsidRPr="00077F7B" w:rsidRDefault="00903F96" w:rsidP="00C96B85">
            <w:pPr>
              <w:spacing w:after="100"/>
              <w:textAlignment w:val="center"/>
              <w:rPr>
                <w:rFonts w:ascii="Arial" w:hAnsi="Arial" w:cs="Arial"/>
                <w:sz w:val="24"/>
                <w:szCs w:val="24"/>
                <w:lang w:val="en-US"/>
              </w:rPr>
            </w:pPr>
            <w:r w:rsidRPr="00077F7B">
              <w:rPr>
                <w:rFonts w:ascii="Arial" w:hAnsi="Arial" w:cs="Arial"/>
                <w:sz w:val="24"/>
                <w:szCs w:val="24"/>
                <w:lang w:val="en-US"/>
              </w:rPr>
              <w:t>Transformer iron loss</w:t>
            </w:r>
          </w:p>
        </w:tc>
        <w:tc>
          <w:tcPr>
            <w:tcW w:w="1418" w:type="dxa"/>
            <w:shd w:val="clear" w:color="auto" w:fill="FFFFFF" w:themeFill="text1"/>
            <w:vAlign w:val="center"/>
          </w:tcPr>
          <w:p w14:paraId="6D270D1C" w14:textId="77777777" w:rsidR="00903F96" w:rsidRPr="00077F7B" w:rsidRDefault="00903F96" w:rsidP="00C96B85">
            <w:pPr>
              <w:pStyle w:val=""/>
              <w:spacing w:after="100"/>
              <w:jc w:val="right"/>
              <w:textAlignment w:val="center"/>
              <w:rPr>
                <w:rFonts w:ascii="Arial" w:hAnsi="Arial" w:cs="Arial"/>
                <w:sz w:val="24"/>
                <w:szCs w:val="24"/>
                <w:lang w:val="en-US"/>
              </w:rPr>
            </w:pPr>
            <w:r>
              <w:rPr>
                <w:b w:val="false"/>
              </w:rPr>
              <w:t>-136.43</w:t>
            </w:r>
          </w:p>
        </w:tc>
        <w:tc>
          <w:tcPr>
            <w:tcW w:w="1134" w:type="dxa"/>
            <w:shd w:val="clear" w:color="auto" w:fill="FFFFFF" w:themeFill="text1"/>
            <w:vAlign w:val="center"/>
          </w:tcPr>
          <w:p w14:paraId="0E2EEE27" w14:textId="77777777" w:rsidR="00903F96" w:rsidRPr="00077F7B" w:rsidRDefault="00903F96" w:rsidP="00C96B85">
            <w:pPr>
              <w:pStyle w:val=""/>
              <w:spacing w:after="100"/>
              <w:textAlignment w:val="center"/>
              <w:rPr>
                <w:rFonts w:ascii="Arial" w:hAnsi="Arial" w:cs="Arial"/>
                <w:sz w:val="24"/>
                <w:szCs w:val="24"/>
                <w:lang w:val="en-US"/>
              </w:rPr>
            </w:pPr>
            <w:r>
              <w:rPr>
                <w:b w:val="false"/>
              </w:rPr>
              <w:t>MWh</w:t>
            </w:r>
          </w:p>
        </w:tc>
        <w:tc>
          <w:tcPr>
            <w:tcW w:w="1417" w:type="dxa"/>
            <w:shd w:val="clear" w:color="auto" w:fill="FFFFFF" w:themeFill="text1"/>
            <w:vAlign w:val="center"/>
          </w:tcPr>
          <w:p w14:paraId="397305D7" w14:textId="77777777" w:rsidR="00903F96" w:rsidRPr="00077F7B" w:rsidRDefault="00903F96" w:rsidP="00C96B85">
            <w:pPr>
              <w:pStyle w:val=""/>
              <w:spacing w:after="100"/>
              <w:jc w:val="center"/>
              <w:textAlignment w:val="center"/>
              <w:rPr>
                <w:rFonts w:ascii="Arial" w:hAnsi="Arial" w:cs="Arial"/>
                <w:sz w:val="24"/>
                <w:szCs w:val="24"/>
                <w:lang w:val="en-US"/>
              </w:rPr>
            </w:pPr>
            <w:r>
              <w:rPr>
                <w:b w:val="false"/>
              </w:rPr>
              <w:t>50.00 %</w:t>
            </w:r>
          </w:p>
        </w:tc>
      </w:tr>
      <w:tr w:rsidR="000D7300" w:rsidRPr="000D7300" w14:paraId="7CA74A01" w14:textId="77777777" w:rsidTr="000D7300">
        <w:tc>
          <w:tcPr>
            <w:tcW w:w="5245" w:type="dxa"/>
            <w:shd w:val="clear" w:color="auto" w:fill="B8BDB5"/>
            <w:vAlign w:val="center"/>
          </w:tcPr>
          <w:p w14:paraId="6BD9D24D" w14:textId="77777777" w:rsidR="00903F96" w:rsidRPr="00077F7B" w:rsidRDefault="00903F96" w:rsidP="00C96B85">
            <w:pPr>
              <w:spacing w:after="100"/>
              <w:textAlignment w:val="center"/>
              <w:rPr>
                <w:rFonts w:ascii="Arial" w:hAnsi="Arial" w:cs="Arial"/>
                <w:b/>
                <w:sz w:val="24"/>
                <w:szCs w:val="24"/>
                <w:lang w:val="en-US"/>
              </w:rPr>
            </w:pPr>
            <w:r w:rsidRPr="00077F7B">
              <w:rPr>
                <w:rFonts w:ascii="Arial" w:hAnsi="Arial" w:cs="Arial"/>
                <w:b/>
                <w:sz w:val="24"/>
                <w:szCs w:val="24"/>
                <w:lang w:val="en-US"/>
              </w:rPr>
              <w:t>Substation</w:t>
            </w:r>
          </w:p>
        </w:tc>
        <w:tc>
          <w:tcPr>
            <w:tcW w:w="1418" w:type="dxa"/>
            <w:shd w:val="clear" w:color="auto" w:fill="B8BDB5"/>
            <w:vAlign w:val="center"/>
          </w:tcPr>
          <w:p w14:paraId="1E65B72E" w14:textId="77777777" w:rsidR="00903F96" w:rsidRPr="00077F7B" w:rsidRDefault="00903F96" w:rsidP="00C96B85">
            <w:pPr>
              <w:spacing w:after="100"/>
              <w:jc w:val="right"/>
              <w:textAlignment w:val="center"/>
              <w:rPr>
                <w:rFonts w:ascii="Arial" w:hAnsi="Arial" w:cs="Arial"/>
                <w:b/>
                <w:sz w:val="24"/>
                <w:szCs w:val="24"/>
                <w:lang w:val="en-US"/>
              </w:rPr>
            </w:pPr>
          </w:p>
        </w:tc>
        <w:tc>
          <w:tcPr>
            <w:tcW w:w="1134" w:type="dxa"/>
            <w:shd w:val="clear" w:color="auto" w:fill="B8BDB5"/>
            <w:vAlign w:val="center"/>
          </w:tcPr>
          <w:p w14:paraId="3F312612" w14:textId="77777777" w:rsidR="00903F96" w:rsidRPr="00077F7B" w:rsidRDefault="00903F96" w:rsidP="00C96B85">
            <w:pPr>
              <w:spacing w:after="100"/>
              <w:textAlignment w:val="center"/>
              <w:rPr>
                <w:rFonts w:ascii="Arial" w:hAnsi="Arial" w:cs="Arial"/>
                <w:b/>
                <w:sz w:val="24"/>
                <w:szCs w:val="24"/>
                <w:lang w:val="en-US"/>
              </w:rPr>
            </w:pPr>
          </w:p>
        </w:tc>
        <w:tc>
          <w:tcPr>
            <w:tcW w:w="1417" w:type="dxa"/>
            <w:shd w:val="clear" w:color="auto" w:fill="B8BDB5"/>
            <w:vAlign w:val="center"/>
          </w:tcPr>
          <w:p w14:paraId="5B8E4985" w14:textId="77777777" w:rsidR="00903F96" w:rsidRPr="00077F7B" w:rsidRDefault="00903F96" w:rsidP="00C96B85">
            <w:pPr>
              <w:spacing w:after="100"/>
              <w:jc w:val="center"/>
              <w:textAlignment w:val="center"/>
              <w:rPr>
                <w:rFonts w:ascii="Arial" w:hAnsi="Arial" w:cs="Arial"/>
                <w:b/>
                <w:sz w:val="24"/>
                <w:szCs w:val="24"/>
                <w:lang w:val="en-US"/>
              </w:rPr>
            </w:pPr>
          </w:p>
        </w:tc>
      </w:tr>
      <w:tr w:rsidR="00903F96" w:rsidRPr="0098155F" w14:paraId="595688B5" w14:textId="77777777" w:rsidTr="00C96B85">
        <w:tc>
          <w:tcPr>
            <w:tcW w:w="5245" w:type="dxa"/>
            <w:shd w:val="clear" w:color="auto" w:fill="FFFFFF" w:themeFill="text1"/>
            <w:vAlign w:val="center"/>
          </w:tcPr>
          <w:p w14:paraId="38CF0EA3" w14:textId="77777777" w:rsidR="00903F96" w:rsidRPr="00077F7B" w:rsidRDefault="00903F96" w:rsidP="00C96B85">
            <w:pPr>
              <w:spacing w:after="100"/>
              <w:textAlignment w:val="center"/>
              <w:rPr>
                <w:rFonts w:ascii="Arial" w:hAnsi="Arial" w:cs="Arial"/>
                <w:sz w:val="24"/>
                <w:szCs w:val="24"/>
                <w:lang w:val="en-US"/>
              </w:rPr>
            </w:pPr>
            <w:r w:rsidRPr="00077F7B">
              <w:rPr>
                <w:rFonts w:ascii="Arial" w:hAnsi="Arial" w:cs="Arial"/>
                <w:sz w:val="24"/>
                <w:szCs w:val="24"/>
                <w:lang w:val="en-US"/>
              </w:rPr>
              <w:t>Plant auxiliary consumption</w:t>
            </w:r>
          </w:p>
        </w:tc>
        <w:tc>
          <w:tcPr>
            <w:tcW w:w="1418" w:type="dxa"/>
            <w:shd w:val="clear" w:color="auto" w:fill="FFFFFF" w:themeFill="text1"/>
            <w:vAlign w:val="center"/>
          </w:tcPr>
          <w:p w14:paraId="7A7149DE" w14:textId="77777777" w:rsidR="00903F96" w:rsidRPr="00077F7B" w:rsidRDefault="00903F96" w:rsidP="00C96B85">
            <w:pPr>
              <w:pStyle w:val=""/>
              <w:spacing w:after="100"/>
              <w:jc w:val="right"/>
              <w:textAlignment w:val="center"/>
              <w:rPr>
                <w:rFonts w:ascii="Arial" w:hAnsi="Arial" w:cs="Arial"/>
                <w:sz w:val="24"/>
                <w:szCs w:val="24"/>
                <w:lang w:val="en-US"/>
              </w:rPr>
            </w:pPr>
            <w:r>
              <w:rPr>
                <w:b w:val="false"/>
              </w:rPr>
              <w:t>0.0</w:t>
            </w:r>
          </w:p>
        </w:tc>
        <w:tc>
          <w:tcPr>
            <w:tcW w:w="1134" w:type="dxa"/>
            <w:shd w:val="clear" w:color="auto" w:fill="FFFFFF" w:themeFill="text1"/>
            <w:vAlign w:val="center"/>
          </w:tcPr>
          <w:p w14:paraId="672BD4DD" w14:textId="77777777" w:rsidR="00903F96" w:rsidRPr="00077F7B" w:rsidRDefault="00903F96" w:rsidP="00C96B85">
            <w:pPr>
              <w:pStyle w:val=""/>
              <w:spacing w:after="100"/>
              <w:textAlignment w:val="center"/>
              <w:rPr>
                <w:rFonts w:ascii="Arial" w:hAnsi="Arial" w:cs="Arial"/>
                <w:sz w:val="24"/>
                <w:szCs w:val="24"/>
                <w:lang w:val="en-US"/>
              </w:rPr>
            </w:pPr>
            <w:r>
              <w:rPr>
                <w:b w:val="false"/>
              </w:rPr>
              <w:t>MWh</w:t>
            </w:r>
          </w:p>
        </w:tc>
        <w:tc>
          <w:tcPr>
            <w:tcW w:w="1417" w:type="dxa"/>
            <w:shd w:val="clear" w:color="auto" w:fill="FFFFFF" w:themeFill="text1"/>
            <w:vAlign w:val="center"/>
          </w:tcPr>
          <w:p w14:paraId="17920F02" w14:textId="77777777" w:rsidR="00903F96" w:rsidRPr="00077F7B" w:rsidRDefault="00903F96" w:rsidP="00C96B85">
            <w:pPr>
              <w:pStyle w:val=""/>
              <w:spacing w:after="100"/>
              <w:jc w:val="center"/>
              <w:textAlignment w:val="center"/>
              <w:rPr>
                <w:rFonts w:ascii="Arial" w:hAnsi="Arial" w:cs="Arial"/>
                <w:sz w:val="24"/>
                <w:szCs w:val="24"/>
                <w:lang w:val="en-US"/>
              </w:rPr>
            </w:pPr>
            <w:r>
              <w:rPr>
                <w:b w:val="false"/>
              </w:rPr>
              <w:t>0.00 %</w:t>
            </w:r>
          </w:p>
        </w:tc>
      </w:tr>
      <w:tr w:rsidR="00903F96" w:rsidRPr="0098155F" w14:paraId="3AFBCE4B" w14:textId="77777777" w:rsidTr="00C96B85">
        <w:tc>
          <w:tcPr>
            <w:tcW w:w="5245" w:type="dxa"/>
            <w:shd w:val="clear" w:color="auto" w:fill="FFFFFF" w:themeFill="text1"/>
            <w:vAlign w:val="center"/>
          </w:tcPr>
          <w:p w14:paraId="67C75E72" w14:textId="77777777" w:rsidR="00903F96" w:rsidRPr="00077F7B" w:rsidRDefault="00903F96" w:rsidP="00C96B85">
            <w:pPr>
              <w:spacing w:after="100"/>
              <w:textAlignment w:val="center"/>
              <w:rPr>
                <w:rFonts w:ascii="Arial" w:hAnsi="Arial" w:cs="Arial"/>
                <w:sz w:val="24"/>
                <w:szCs w:val="24"/>
                <w:lang w:val="en-US"/>
              </w:rPr>
            </w:pPr>
            <w:r w:rsidRPr="00077F7B">
              <w:rPr>
                <w:rFonts w:ascii="Arial" w:hAnsi="Arial" w:cs="Arial"/>
                <w:sz w:val="24"/>
                <w:szCs w:val="24"/>
                <w:lang w:val="en-US"/>
              </w:rPr>
              <w:t>Substation transformer iron loss</w:t>
            </w:r>
          </w:p>
        </w:tc>
        <w:tc>
          <w:tcPr>
            <w:tcW w:w="1418" w:type="dxa"/>
            <w:shd w:val="clear" w:color="auto" w:fill="FFFFFF" w:themeFill="text1"/>
            <w:vAlign w:val="center"/>
          </w:tcPr>
          <w:p w14:paraId="667F1B52" w14:textId="77777777" w:rsidR="00903F96" w:rsidRPr="00077F7B" w:rsidRDefault="00903F96" w:rsidP="00C96B85">
            <w:pPr>
              <w:pStyle w:val=""/>
              <w:spacing w:after="100"/>
              <w:jc w:val="right"/>
              <w:textAlignment w:val="center"/>
              <w:rPr>
                <w:rFonts w:ascii="Arial" w:hAnsi="Arial" w:cs="Arial"/>
                <w:sz w:val="24"/>
                <w:szCs w:val="24"/>
                <w:lang w:val="en-US"/>
              </w:rPr>
            </w:pPr>
            <w:r>
              <w:rPr>
                <w:b w:val="false"/>
              </w:rPr>
              <w:t>-136.43</w:t>
            </w:r>
          </w:p>
        </w:tc>
        <w:tc>
          <w:tcPr>
            <w:tcW w:w="1134" w:type="dxa"/>
            <w:shd w:val="clear" w:color="auto" w:fill="FFFFFF" w:themeFill="text1"/>
            <w:vAlign w:val="center"/>
          </w:tcPr>
          <w:p w14:paraId="354805D0" w14:textId="77777777" w:rsidR="00903F96" w:rsidRPr="00077F7B" w:rsidRDefault="00903F96" w:rsidP="00C96B85">
            <w:pPr>
              <w:pStyle w:val=""/>
              <w:spacing w:after="100"/>
              <w:textAlignment w:val="center"/>
              <w:rPr>
                <w:rFonts w:ascii="Arial" w:hAnsi="Arial" w:cs="Arial"/>
                <w:sz w:val="24"/>
                <w:szCs w:val="24"/>
                <w:lang w:val="en-US"/>
              </w:rPr>
            </w:pPr>
            <w:r>
              <w:rPr>
                <w:b w:val="false"/>
              </w:rPr>
              <w:t>MWh</w:t>
            </w:r>
          </w:p>
        </w:tc>
        <w:tc>
          <w:tcPr>
            <w:tcW w:w="1417" w:type="dxa"/>
            <w:shd w:val="clear" w:color="auto" w:fill="FFFFFF" w:themeFill="text1"/>
            <w:vAlign w:val="center"/>
          </w:tcPr>
          <w:p w14:paraId="2713BB0E" w14:textId="77777777" w:rsidR="00903F96" w:rsidRPr="00077F7B" w:rsidRDefault="00903F96" w:rsidP="00C96B85">
            <w:pPr>
              <w:pStyle w:val=""/>
              <w:spacing w:after="100"/>
              <w:jc w:val="center"/>
              <w:textAlignment w:val="center"/>
              <w:rPr>
                <w:rFonts w:ascii="Arial" w:hAnsi="Arial" w:cs="Arial"/>
                <w:sz w:val="24"/>
                <w:szCs w:val="24"/>
                <w:lang w:val="en-US"/>
              </w:rPr>
            </w:pPr>
            <w:r>
              <w:rPr>
                <w:b w:val="false"/>
              </w:rPr>
              <w:t>50.00 %</w:t>
            </w:r>
          </w:p>
        </w:tc>
      </w:tr>
      <w:tr w:rsidR="00903F96" w:rsidRPr="0098155F" w14:paraId="15E96FAC" w14:textId="77777777" w:rsidTr="00C96B85">
        <w:tc>
          <w:tcPr>
            <w:tcW w:w="5245" w:type="dxa"/>
            <w:shd w:val="clear" w:color="auto" w:fill="FFFFFF" w:themeFill="text1"/>
            <w:vAlign w:val="center"/>
          </w:tcPr>
          <w:p w14:paraId="6925F4A7" w14:textId="77777777" w:rsidR="00903F96" w:rsidRPr="00077F7B" w:rsidRDefault="00903F96" w:rsidP="00C96B85">
            <w:pPr>
              <w:spacing w:after="100"/>
              <w:textAlignment w:val="center"/>
              <w:rPr>
                <w:rFonts w:ascii="Arial" w:hAnsi="Arial" w:cs="Arial"/>
                <w:b/>
                <w:sz w:val="24"/>
                <w:szCs w:val="24"/>
                <w:lang w:val="en-US"/>
              </w:rPr>
            </w:pPr>
            <w:r w:rsidRPr="00077F7B">
              <w:rPr>
                <w:rFonts w:ascii="Arial" w:hAnsi="Arial" w:cs="Arial"/>
                <w:b/>
                <w:sz w:val="24"/>
                <w:szCs w:val="24"/>
                <w:lang w:val="en-US"/>
              </w:rPr>
              <w:t>TOTAL POWER CONSUMPTION</w:t>
            </w:r>
          </w:p>
        </w:tc>
        <w:tc>
          <w:tcPr>
            <w:tcW w:w="1418" w:type="dxa"/>
            <w:shd w:val="clear" w:color="auto" w:fill="FFFFFF" w:themeFill="text1"/>
            <w:vAlign w:val="center"/>
          </w:tcPr>
          <w:p w14:paraId="70278999" w14:textId="77777777" w:rsidR="00903F96" w:rsidRPr="00077F7B" w:rsidRDefault="00903F96" w:rsidP="00C96B85">
            <w:pPr>
              <w:pStyle w:val=""/>
              <w:spacing w:after="100"/>
              <w:jc w:val="right"/>
              <w:textAlignment w:val="center"/>
              <w:rPr>
                <w:rFonts w:ascii="Arial" w:hAnsi="Arial" w:cs="Arial"/>
                <w:b/>
                <w:sz w:val="24"/>
                <w:szCs w:val="24"/>
                <w:lang w:val="en-US"/>
              </w:rPr>
            </w:pPr>
            <w:r>
              <w:rPr>
                <w:b w:val="true"/>
              </w:rPr>
              <w:t>-272.85</w:t>
            </w:r>
          </w:p>
        </w:tc>
        <w:tc>
          <w:tcPr>
            <w:tcW w:w="1134" w:type="dxa"/>
            <w:shd w:val="clear" w:color="auto" w:fill="FFFFFF" w:themeFill="text1"/>
            <w:vAlign w:val="center"/>
          </w:tcPr>
          <w:p w14:paraId="37D6B81B" w14:textId="77777777" w:rsidR="00903F96" w:rsidRPr="00077F7B" w:rsidRDefault="00903F96" w:rsidP="00C96B85">
            <w:pPr>
              <w:pStyle w:val=""/>
              <w:spacing w:after="100"/>
              <w:textAlignment w:val="center"/>
              <w:rPr>
                <w:rFonts w:ascii="Arial" w:hAnsi="Arial" w:cs="Arial"/>
                <w:b/>
                <w:sz w:val="24"/>
                <w:szCs w:val="24"/>
                <w:lang w:val="en-US"/>
              </w:rPr>
            </w:pPr>
            <w:r>
              <w:rPr>
                <w:b w:val="true"/>
              </w:rPr>
              <w:t>MWh</w:t>
            </w:r>
          </w:p>
        </w:tc>
        <w:tc>
          <w:tcPr>
            <w:tcW w:w="1417" w:type="dxa"/>
            <w:shd w:val="clear" w:color="auto" w:fill="FFFFFF" w:themeFill="text1"/>
            <w:vAlign w:val="center"/>
          </w:tcPr>
          <w:p w14:paraId="4361B1A9" w14:textId="77777777" w:rsidR="00903F96" w:rsidRPr="00077F7B" w:rsidRDefault="00903F96" w:rsidP="00C96B85">
            <w:pPr>
              <w:pStyle w:val=""/>
              <w:spacing w:after="100"/>
              <w:jc w:val="center"/>
              <w:textAlignment w:val="center"/>
              <w:rPr>
                <w:rFonts w:ascii="Arial" w:hAnsi="Arial" w:cs="Arial"/>
                <w:b/>
                <w:sz w:val="24"/>
                <w:szCs w:val="24"/>
                <w:lang w:val="en-US"/>
              </w:rPr>
            </w:pPr>
            <w:r>
              <w:rPr>
                <w:b w:val="true"/>
              </w:rPr>
              <w:t>100.00 %</w:t>
            </w:r>
          </w:p>
        </w:tc>
      </w:tr>
    </w:tbl>
    <w:p w14:paraId="376DD3B4" w14:textId="77777777" w:rsidR="00903F96" w:rsidRPr="0098155F" w:rsidRDefault="00903F96" w:rsidP="00903F96">
      <w:pPr>
        <w:pStyle w:val="Title2"/>
        <w:rPr>
          <w:rFonts w:cs="Arial"/>
          <w:lang w:val="en-US"/>
        </w:rPr>
      </w:pPr>
      <w:r>
        <w:rPr>
          <w:rFonts w:ascii="Arial" w:hAnsi="Arial" w:cs="Arial" w:eastAsia="Arial"/>
          <w:b w:val="false"/>
          <w:sz w:val="28"/>
        </w:rPr>
        <w:t xml:space="preserve">7.3. </w:t>
      </w:r>
      <w:bookmarkStart w:id="46" w:name="46"/>
      <w:r>
        <w:rPr>
          <w:rFonts w:ascii="Arial" w:hAnsi="Arial" w:cs="Arial" w:eastAsia="Arial"/>
          <w:b w:val="false"/>
          <w:sz w:val="28"/>
        </w:rPr>
        <w:t>25 years energy yield (P50)</w:t>
      </w:r>
      <w:bookmarkEnd w:id="46"/>
    </w:p>
    <w:p w14:paraId="0B5F7F67" w14:textId="77777777" w:rsidR="00903F96" w:rsidRPr="0098155F" w:rsidRDefault="00903F96" w:rsidP="00903F96">
      <w:pPr>
        <w:pStyle w:val="paragraph"/>
        <w:rPr>
          <w:rFonts w:ascii="Arial" w:hAnsi="Arial" w:cs="Arial"/>
          <w:lang w:val="en-US"/>
        </w:rPr>
      </w:pPr>
      <w:r>
        <w:rPr>
          <w:b w:val="false"/>
        </w:rPr>
        <w:t>The energy yield of the photovoltaic plant has been calculated for a period of 25 years. In Table 23 the energy yield, specific production and performance ratio are shown for each year.</w:t>
      </w:r>
    </w:p>
    <w:p w14:paraId="69A7522E" w14:textId="77777777" w:rsidR="00903F96" w:rsidRPr="0098155F" w:rsidRDefault="00903F96" w:rsidP="00903F96">
      <w:pPr>
        <w:pStyle w:val="NameTableImg"/>
        <w:rPr>
          <w:rFonts w:cs="Arial"/>
          <w:lang w:val="en-US"/>
        </w:rPr>
      </w:pPr>
      <w:r>
        <w:rPr>
          <w:b w:val="false"/>
          <w:i w:val="true"/>
        </w:rPr>
        <w:t>Table 23. Results for the 25 year period.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ook w:val="04A0" w:firstRow="1" w:lastRow="0" w:firstColumn="1" w:lastColumn="0" w:noHBand="0" w:noVBand="1"/>
      </w:tblPr>
      <w:tblGrid>
        <w:gridCol w:w="2321"/>
        <w:gridCol w:w="2321"/>
        <w:gridCol w:w="2322"/>
        <w:gridCol w:w="2322"/>
      </w:tblGrid>
      <w:tr w:rsidR="00BB5186" w:rsidRPr="00BB5186" w14:paraId="0CB4B2AB" w14:textId="77777777" w:rsidTr="00BB5186">
        <w:tc>
          <w:tcPr>
            <w:tcW w:w="2322" w:type="dxa"/>
            <w:shd w:val="clear" w:color="auto" w:fill="989E95"/>
            <w:vAlign w:val="center"/>
          </w:tcPr>
          <w:p w14:paraId="53089EA7"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Pr>
                <w:b w:val="false"/>
              </w:rPr>
              <w:t>Year</w:t>
            </w:r>
          </w:p>
        </w:tc>
        <w:tc>
          <w:tcPr>
            <w:tcW w:w="2322" w:type="dxa"/>
            <w:shd w:val="clear" w:color="auto" w:fill="989E95"/>
            <w:vAlign w:val="center"/>
          </w:tcPr>
          <w:p w14:paraId="0CBB54BF"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Energy yield [GWh]</w:t>
            </w:r>
          </w:p>
        </w:tc>
        <w:tc>
          <w:tcPr>
            <w:tcW w:w="2322" w:type="dxa"/>
            <w:shd w:val="clear" w:color="auto" w:fill="989E95"/>
            <w:vAlign w:val="center"/>
          </w:tcPr>
          <w:p w14:paraId="09AEE255"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Specific production [kWh/</w:t>
            </w:r>
            <w:proofErr w:type="spellStart"/>
            <w:r w:rsidRPr="00BB5186">
              <w:rPr>
                <w:rFonts w:ascii="Arial" w:hAnsi="Arial" w:cs="Arial"/>
                <w:bCs/>
                <w:sz w:val="28"/>
                <w:szCs w:val="24"/>
                <w:lang w:val="en-US"/>
              </w:rPr>
              <w:t>kWp</w:t>
            </w:r>
            <w:proofErr w:type="spellEnd"/>
            <w:r w:rsidRPr="00BB5186">
              <w:rPr>
                <w:rFonts w:ascii="Arial" w:hAnsi="Arial" w:cs="Arial"/>
                <w:bCs/>
                <w:sz w:val="28"/>
                <w:szCs w:val="24"/>
                <w:lang w:val="en-US"/>
              </w:rPr>
              <w:t>]</w:t>
            </w:r>
          </w:p>
        </w:tc>
        <w:tc>
          <w:tcPr>
            <w:tcW w:w="2322" w:type="dxa"/>
            <w:shd w:val="clear" w:color="auto" w:fill="989E95"/>
            <w:vAlign w:val="center"/>
          </w:tcPr>
          <w:p w14:paraId="152D7A2C"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sidRPr="00BB5186">
              <w:rPr>
                <w:rFonts w:ascii="Arial" w:hAnsi="Arial" w:cs="Arial"/>
                <w:bCs/>
                <w:sz w:val="28"/>
                <w:szCs w:val="24"/>
                <w:lang w:val="en-US"/>
              </w:rPr>
              <w:t>Performance Ratio [%]</w:t>
            </w:r>
          </w:p>
        </w:tc>
      </w:tr>
      <w:tr>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78.4</w:t>
            </w:r>
          </w:p>
        </w:tc>
        <w:tc>
          <w:tcPr>
            <w:vAlign w:val="center"/>
          </w:tcPr>
          <w:p>
            <w:pPr>
              <w:pStyle w:val="Normal"/>
              <w:spacing w:after="100"/>
              <w:jc w:val="center"/>
              <w:textAlignment w:val="center"/>
            </w:pPr>
            <w:r>
              <w:rPr>
                <w:b w:val="false"/>
              </w:rPr>
              <w:t>2155.3</w:t>
            </w:r>
          </w:p>
        </w:tc>
        <w:tc>
          <w:tcPr>
            <w:vAlign w:val="center"/>
          </w:tcPr>
          <w:p>
            <w:pPr>
              <w:pStyle w:val="Normal"/>
              <w:spacing w:after="100"/>
              <w:jc w:val="center"/>
              <w:textAlignment w:val="center"/>
            </w:pPr>
            <w:r>
              <w:rPr>
                <w:b w:val="false"/>
              </w:rPr>
              <w:t>86.40</w:t>
            </w:r>
          </w:p>
        </w:tc>
      </w:tr>
      <w:tr>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78.3</w:t>
            </w:r>
          </w:p>
        </w:tc>
        <w:tc>
          <w:tcPr>
            <w:vAlign w:val="center"/>
          </w:tcPr>
          <w:p>
            <w:pPr>
              <w:pStyle w:val="Normal"/>
              <w:spacing w:after="100"/>
              <w:jc w:val="center"/>
              <w:textAlignment w:val="center"/>
            </w:pPr>
            <w:r>
              <w:rPr>
                <w:b w:val="false"/>
              </w:rPr>
              <w:t>2150.6</w:t>
            </w:r>
          </w:p>
        </w:tc>
        <w:tc>
          <w:tcPr>
            <w:vAlign w:val="center"/>
          </w:tcPr>
          <w:p>
            <w:pPr>
              <w:pStyle w:val="Normal"/>
              <w:spacing w:after="100"/>
              <w:jc w:val="center"/>
              <w:textAlignment w:val="center"/>
            </w:pPr>
            <w:r>
              <w:rPr>
                <w:b w:val="false"/>
              </w:rPr>
              <w:t>86.21</w:t>
            </w:r>
          </w:p>
        </w:tc>
      </w:tr>
      <w:tr>
        <w:tc>
          <w:tcPr>
            <w:vAlign w:val="center"/>
          </w:tcPr>
          <w:p>
            <w:pPr>
              <w:pStyle w:val="Normal"/>
              <w:spacing w:after="100"/>
              <w:jc w:val="center"/>
              <w:textAlignment w:val="center"/>
            </w:pPr>
            <w:r>
              <w:rPr>
                <w:b w:val="false"/>
              </w:rPr>
              <w:t>3</w:t>
            </w:r>
          </w:p>
        </w:tc>
        <w:tc>
          <w:tcPr>
            <w:vAlign w:val="center"/>
          </w:tcPr>
          <w:p>
            <w:pPr>
              <w:pStyle w:val="Normal"/>
              <w:spacing w:after="100"/>
              <w:jc w:val="center"/>
              <w:textAlignment w:val="center"/>
            </w:pPr>
            <w:r>
              <w:rPr>
                <w:b w:val="false"/>
              </w:rPr>
              <w:t>78.1</w:t>
            </w:r>
          </w:p>
        </w:tc>
        <w:tc>
          <w:tcPr>
            <w:vAlign w:val="center"/>
          </w:tcPr>
          <w:p>
            <w:pPr>
              <w:pStyle w:val="Normal"/>
              <w:spacing w:after="100"/>
              <w:jc w:val="center"/>
              <w:textAlignment w:val="center"/>
            </w:pPr>
            <w:r>
              <w:rPr>
                <w:b w:val="false"/>
              </w:rPr>
              <w:t>2145.8</w:t>
            </w:r>
          </w:p>
        </w:tc>
        <w:tc>
          <w:tcPr>
            <w:vAlign w:val="center"/>
          </w:tcPr>
          <w:p>
            <w:pPr>
              <w:pStyle w:val="Normal"/>
              <w:spacing w:after="100"/>
              <w:jc w:val="center"/>
              <w:textAlignment w:val="center"/>
            </w:pPr>
            <w:r>
              <w:rPr>
                <w:b w:val="false"/>
              </w:rPr>
              <w:t>86.02</w:t>
            </w:r>
          </w:p>
        </w:tc>
      </w:tr>
      <w:tr>
        <w:tc>
          <w:tcPr>
            <w:vAlign w:val="center"/>
          </w:tcPr>
          <w:p>
            <w:pPr>
              <w:pStyle w:val="Normal"/>
              <w:spacing w:after="100"/>
              <w:jc w:val="center"/>
              <w:textAlignment w:val="center"/>
            </w:pPr>
            <w:r>
              <w:rPr>
                <w:b w:val="false"/>
              </w:rPr>
              <w:t>4</w:t>
            </w:r>
          </w:p>
        </w:tc>
        <w:tc>
          <w:tcPr>
            <w:vAlign w:val="center"/>
          </w:tcPr>
          <w:p>
            <w:pPr>
              <w:pStyle w:val="Normal"/>
              <w:spacing w:after="100"/>
              <w:jc w:val="center"/>
              <w:textAlignment w:val="center"/>
            </w:pPr>
            <w:r>
              <w:rPr>
                <w:b w:val="false"/>
              </w:rPr>
              <w:t>77.9</w:t>
            </w:r>
          </w:p>
        </w:tc>
        <w:tc>
          <w:tcPr>
            <w:vAlign w:val="center"/>
          </w:tcPr>
          <w:p>
            <w:pPr>
              <w:pStyle w:val="Normal"/>
              <w:spacing w:after="100"/>
              <w:jc w:val="center"/>
              <w:textAlignment w:val="center"/>
            </w:pPr>
            <w:r>
              <w:rPr>
                <w:b w:val="false"/>
              </w:rPr>
              <w:t>2140.9</w:t>
            </w:r>
          </w:p>
        </w:tc>
        <w:tc>
          <w:tcPr>
            <w:vAlign w:val="center"/>
          </w:tcPr>
          <w:p>
            <w:pPr>
              <w:pStyle w:val="Normal"/>
              <w:spacing w:after="100"/>
              <w:jc w:val="center"/>
              <w:textAlignment w:val="center"/>
            </w:pPr>
            <w:r>
              <w:rPr>
                <w:b w:val="false"/>
              </w:rPr>
              <w:t>85.82</w:t>
            </w:r>
          </w:p>
        </w:tc>
      </w:tr>
      <w:tr>
        <w:tc>
          <w:tcPr>
            <w:vAlign w:val="center"/>
          </w:tcPr>
          <w:p>
            <w:pPr>
              <w:pStyle w:val="Normal"/>
              <w:spacing w:after="100"/>
              <w:jc w:val="center"/>
              <w:textAlignment w:val="center"/>
            </w:pPr>
            <w:r>
              <w:rPr>
                <w:b w:val="false"/>
              </w:rPr>
              <w:t>5</w:t>
            </w:r>
          </w:p>
        </w:tc>
        <w:tc>
          <w:tcPr>
            <w:vAlign w:val="center"/>
          </w:tcPr>
          <w:p>
            <w:pPr>
              <w:pStyle w:val="Normal"/>
              <w:spacing w:after="100"/>
              <w:jc w:val="center"/>
              <w:textAlignment w:val="center"/>
            </w:pPr>
            <w:r>
              <w:rPr>
                <w:b w:val="false"/>
              </w:rPr>
              <w:t>77.7</w:t>
            </w:r>
          </w:p>
        </w:tc>
        <w:tc>
          <w:tcPr>
            <w:vAlign w:val="center"/>
          </w:tcPr>
          <w:p>
            <w:pPr>
              <w:pStyle w:val="Normal"/>
              <w:spacing w:after="100"/>
              <w:jc w:val="center"/>
              <w:textAlignment w:val="center"/>
            </w:pPr>
            <w:r>
              <w:rPr>
                <w:b w:val="false"/>
              </w:rPr>
              <w:t>2136.1</w:t>
            </w:r>
          </w:p>
        </w:tc>
        <w:tc>
          <w:tcPr>
            <w:vAlign w:val="center"/>
          </w:tcPr>
          <w:p>
            <w:pPr>
              <w:pStyle w:val="Normal"/>
              <w:spacing w:after="100"/>
              <w:jc w:val="center"/>
              <w:textAlignment w:val="center"/>
            </w:pPr>
            <w:r>
              <w:rPr>
                <w:b w:val="false"/>
              </w:rPr>
              <w:t>85.63</w:t>
            </w:r>
          </w:p>
        </w:tc>
      </w:tr>
      <w:tr>
        <w:tc>
          <w:tcPr>
            <w:vAlign w:val="center"/>
          </w:tcPr>
          <w:p>
            <w:pPr>
              <w:pStyle w:val="Normal"/>
              <w:spacing w:after="100"/>
              <w:jc w:val="center"/>
              <w:textAlignment w:val="center"/>
            </w:pPr>
            <w:r>
              <w:rPr>
                <w:b w:val="false"/>
              </w:rPr>
              <w:t>6</w:t>
            </w:r>
          </w:p>
        </w:tc>
        <w:tc>
          <w:tcPr>
            <w:vAlign w:val="center"/>
          </w:tcPr>
          <w:p>
            <w:pPr>
              <w:pStyle w:val="Normal"/>
              <w:spacing w:after="100"/>
              <w:jc w:val="center"/>
              <w:textAlignment w:val="center"/>
            </w:pPr>
            <w:r>
              <w:rPr>
                <w:b w:val="false"/>
              </w:rPr>
              <w:t>77.5</w:t>
            </w:r>
          </w:p>
        </w:tc>
        <w:tc>
          <w:tcPr>
            <w:vAlign w:val="center"/>
          </w:tcPr>
          <w:p>
            <w:pPr>
              <w:pStyle w:val="Normal"/>
              <w:spacing w:after="100"/>
              <w:jc w:val="center"/>
              <w:textAlignment w:val="center"/>
            </w:pPr>
            <w:r>
              <w:rPr>
                <w:b w:val="false"/>
              </w:rPr>
              <w:t>2131.0</w:t>
            </w:r>
          </w:p>
        </w:tc>
        <w:tc>
          <w:tcPr>
            <w:vAlign w:val="center"/>
          </w:tcPr>
          <w:p>
            <w:pPr>
              <w:pStyle w:val="Normal"/>
              <w:spacing w:after="100"/>
              <w:jc w:val="center"/>
              <w:textAlignment w:val="center"/>
            </w:pPr>
            <w:r>
              <w:rPr>
                <w:b w:val="false"/>
              </w:rPr>
              <w:t>85.43</w:t>
            </w:r>
          </w:p>
        </w:tc>
      </w:tr>
      <w:tr>
        <w:tc>
          <w:tcPr>
            <w:vAlign w:val="center"/>
          </w:tcPr>
          <w:p>
            <w:pPr>
              <w:pStyle w:val="Normal"/>
              <w:spacing w:after="100"/>
              <w:jc w:val="center"/>
              <w:textAlignment w:val="center"/>
            </w:pPr>
            <w:r>
              <w:rPr>
                <w:b w:val="false"/>
              </w:rPr>
              <w:t>7</w:t>
            </w:r>
          </w:p>
        </w:tc>
        <w:tc>
          <w:tcPr>
            <w:vAlign w:val="center"/>
          </w:tcPr>
          <w:p>
            <w:pPr>
              <w:pStyle w:val="Normal"/>
              <w:spacing w:after="100"/>
              <w:jc w:val="center"/>
              <w:textAlignment w:val="center"/>
            </w:pPr>
            <w:r>
              <w:rPr>
                <w:b w:val="false"/>
              </w:rPr>
              <w:t>77.4</w:t>
            </w:r>
          </w:p>
        </w:tc>
        <w:tc>
          <w:tcPr>
            <w:vAlign w:val="center"/>
          </w:tcPr>
          <w:p>
            <w:pPr>
              <w:pStyle w:val="Normal"/>
              <w:spacing w:after="100"/>
              <w:jc w:val="center"/>
              <w:textAlignment w:val="center"/>
            </w:pPr>
            <w:r>
              <w:rPr>
                <w:b w:val="false"/>
              </w:rPr>
              <w:t>2125.9</w:t>
            </w:r>
          </w:p>
        </w:tc>
        <w:tc>
          <w:tcPr>
            <w:vAlign w:val="center"/>
          </w:tcPr>
          <w:p>
            <w:pPr>
              <w:pStyle w:val="Normal"/>
              <w:spacing w:after="100"/>
              <w:jc w:val="center"/>
              <w:textAlignment w:val="center"/>
            </w:pPr>
            <w:r>
              <w:rPr>
                <w:b w:val="false"/>
              </w:rPr>
              <w:t>85.22</w:t>
            </w:r>
          </w:p>
        </w:tc>
      </w:tr>
      <w:tr>
        <w:tc>
          <w:tcPr>
            <w:vAlign w:val="center"/>
          </w:tcPr>
          <w:p>
            <w:pPr>
              <w:pStyle w:val="Normal"/>
              <w:spacing w:after="100"/>
              <w:jc w:val="center"/>
              <w:textAlignment w:val="center"/>
            </w:pPr>
            <w:r>
              <w:rPr>
                <w:b w:val="false"/>
              </w:rPr>
              <w:t>8</w:t>
            </w:r>
          </w:p>
        </w:tc>
        <w:tc>
          <w:tcPr>
            <w:vAlign w:val="center"/>
          </w:tcPr>
          <w:p>
            <w:pPr>
              <w:pStyle w:val="Normal"/>
              <w:spacing w:after="100"/>
              <w:jc w:val="center"/>
              <w:textAlignment w:val="center"/>
            </w:pPr>
            <w:r>
              <w:rPr>
                <w:b w:val="false"/>
              </w:rPr>
              <w:t>77.2</w:t>
            </w:r>
          </w:p>
        </w:tc>
        <w:tc>
          <w:tcPr>
            <w:vAlign w:val="center"/>
          </w:tcPr>
          <w:p>
            <w:pPr>
              <w:pStyle w:val="Normal"/>
              <w:spacing w:after="100"/>
              <w:jc w:val="center"/>
              <w:textAlignment w:val="center"/>
            </w:pPr>
            <w:r>
              <w:rPr>
                <w:b w:val="false"/>
              </w:rPr>
              <w:t>2120.7</w:t>
            </w:r>
          </w:p>
        </w:tc>
        <w:tc>
          <w:tcPr>
            <w:vAlign w:val="center"/>
          </w:tcPr>
          <w:p>
            <w:pPr>
              <w:pStyle w:val="Normal"/>
              <w:spacing w:after="100"/>
              <w:jc w:val="center"/>
              <w:textAlignment w:val="center"/>
            </w:pPr>
            <w:r>
              <w:rPr>
                <w:b w:val="false"/>
              </w:rPr>
              <w:t>85.01</w:t>
            </w:r>
          </w:p>
        </w:tc>
      </w:tr>
      <w:tr>
        <w:tc>
          <w:tcPr>
            <w:vAlign w:val="center"/>
          </w:tcPr>
          <w:p>
            <w:pPr>
              <w:pStyle w:val="Normal"/>
              <w:spacing w:after="100"/>
              <w:jc w:val="center"/>
              <w:textAlignment w:val="center"/>
            </w:pPr>
            <w:r>
              <w:rPr>
                <w:b w:val="false"/>
              </w:rPr>
              <w:t>9</w:t>
            </w:r>
          </w:p>
        </w:tc>
        <w:tc>
          <w:tcPr>
            <w:vAlign w:val="center"/>
          </w:tcPr>
          <w:p>
            <w:pPr>
              <w:pStyle w:val="Normal"/>
              <w:spacing w:after="100"/>
              <w:jc w:val="center"/>
              <w:textAlignment w:val="center"/>
            </w:pPr>
            <w:r>
              <w:rPr>
                <w:b w:val="false"/>
              </w:rPr>
              <w:t>77.0</w:t>
            </w:r>
          </w:p>
        </w:tc>
        <w:tc>
          <w:tcPr>
            <w:vAlign w:val="center"/>
          </w:tcPr>
          <w:p>
            <w:pPr>
              <w:pStyle w:val="Normal"/>
              <w:spacing w:after="100"/>
              <w:jc w:val="center"/>
              <w:textAlignment w:val="center"/>
            </w:pPr>
            <w:r>
              <w:rPr>
                <w:b w:val="false"/>
              </w:rPr>
              <w:t>2115.4</w:t>
            </w:r>
          </w:p>
        </w:tc>
        <w:tc>
          <w:tcPr>
            <w:vAlign w:val="center"/>
          </w:tcPr>
          <w:p>
            <w:pPr>
              <w:pStyle w:val="Normal"/>
              <w:spacing w:after="100"/>
              <w:jc w:val="center"/>
              <w:textAlignment w:val="center"/>
            </w:pPr>
            <w:r>
              <w:rPr>
                <w:b w:val="false"/>
              </w:rPr>
              <w:t>84.80</w:t>
            </w:r>
          </w:p>
        </w:tc>
      </w:tr>
      <w:tr>
        <w:tc>
          <w:tcPr>
            <w:vAlign w:val="center"/>
          </w:tcPr>
          <w:p>
            <w:pPr>
              <w:pStyle w:val="Normal"/>
              <w:spacing w:after="100"/>
              <w:jc w:val="center"/>
              <w:textAlignment w:val="center"/>
            </w:pPr>
            <w:r>
              <w:rPr>
                <w:b w:val="false"/>
              </w:rPr>
              <w:t>10</w:t>
            </w:r>
          </w:p>
        </w:tc>
        <w:tc>
          <w:tcPr>
            <w:vAlign w:val="center"/>
          </w:tcPr>
          <w:p>
            <w:pPr>
              <w:pStyle w:val="Normal"/>
              <w:spacing w:after="100"/>
              <w:jc w:val="center"/>
              <w:textAlignment w:val="center"/>
            </w:pPr>
            <w:r>
              <w:rPr>
                <w:b w:val="false"/>
              </w:rPr>
              <w:t>76.8</w:t>
            </w:r>
          </w:p>
        </w:tc>
        <w:tc>
          <w:tcPr>
            <w:vAlign w:val="center"/>
          </w:tcPr>
          <w:p>
            <w:pPr>
              <w:pStyle w:val="Normal"/>
              <w:spacing w:after="100"/>
              <w:jc w:val="center"/>
              <w:textAlignment w:val="center"/>
            </w:pPr>
            <w:r>
              <w:rPr>
                <w:b w:val="false"/>
              </w:rPr>
              <w:t>2110.1</w:t>
            </w:r>
          </w:p>
        </w:tc>
        <w:tc>
          <w:tcPr>
            <w:vAlign w:val="center"/>
          </w:tcPr>
          <w:p>
            <w:pPr>
              <w:pStyle w:val="Normal"/>
              <w:spacing w:after="100"/>
              <w:jc w:val="center"/>
              <w:textAlignment w:val="center"/>
            </w:pPr>
            <w:r>
              <w:rPr>
                <w:b w:val="false"/>
              </w:rPr>
              <w:t>84.59</w:t>
            </w:r>
          </w:p>
        </w:tc>
      </w:tr>
      <w:tr>
        <w:tc>
          <w:tcPr>
            <w:vAlign w:val="center"/>
          </w:tcPr>
          <w:p>
            <w:pPr>
              <w:pStyle w:val="Normal"/>
              <w:spacing w:after="100"/>
              <w:jc w:val="center"/>
              <w:textAlignment w:val="center"/>
            </w:pPr>
            <w:r>
              <w:rPr>
                <w:b w:val="false"/>
              </w:rPr>
              <w:t>11</w:t>
            </w:r>
          </w:p>
        </w:tc>
        <w:tc>
          <w:tcPr>
            <w:vAlign w:val="center"/>
          </w:tcPr>
          <w:p>
            <w:pPr>
              <w:pStyle w:val="Normal"/>
              <w:spacing w:after="100"/>
              <w:jc w:val="center"/>
              <w:textAlignment w:val="center"/>
            </w:pPr>
            <w:r>
              <w:rPr>
                <w:b w:val="false"/>
              </w:rPr>
              <w:t>76.6</w:t>
            </w:r>
          </w:p>
        </w:tc>
        <w:tc>
          <w:tcPr>
            <w:vAlign w:val="center"/>
          </w:tcPr>
          <w:p>
            <w:pPr>
              <w:pStyle w:val="Normal"/>
              <w:spacing w:after="100"/>
              <w:jc w:val="center"/>
              <w:textAlignment w:val="center"/>
            </w:pPr>
            <w:r>
              <w:rPr>
                <w:b w:val="false"/>
              </w:rPr>
              <w:t>2104.8</w:t>
            </w:r>
          </w:p>
        </w:tc>
        <w:tc>
          <w:tcPr>
            <w:vAlign w:val="center"/>
          </w:tcPr>
          <w:p>
            <w:pPr>
              <w:pStyle w:val="Normal"/>
              <w:spacing w:after="100"/>
              <w:jc w:val="center"/>
              <w:textAlignment w:val="center"/>
            </w:pPr>
            <w:r>
              <w:rPr>
                <w:b w:val="false"/>
              </w:rPr>
              <w:t>84.37</w:t>
            </w:r>
          </w:p>
        </w:tc>
      </w:tr>
      <w:tr>
        <w:tc>
          <w:tcPr>
            <w:vAlign w:val="center"/>
          </w:tcPr>
          <w:p>
            <w:pPr>
              <w:pStyle w:val="Normal"/>
              <w:spacing w:after="100"/>
              <w:jc w:val="center"/>
              <w:textAlignment w:val="center"/>
            </w:pPr>
            <w:r>
              <w:rPr>
                <w:b w:val="false"/>
              </w:rPr>
              <w:t>12</w:t>
            </w:r>
          </w:p>
        </w:tc>
        <w:tc>
          <w:tcPr>
            <w:vAlign w:val="center"/>
          </w:tcPr>
          <w:p>
            <w:pPr>
              <w:pStyle w:val="Normal"/>
              <w:spacing w:after="100"/>
              <w:jc w:val="center"/>
              <w:textAlignment w:val="center"/>
            </w:pPr>
            <w:r>
              <w:rPr>
                <w:b w:val="false"/>
              </w:rPr>
              <w:t>76.4</w:t>
            </w:r>
          </w:p>
        </w:tc>
        <w:tc>
          <w:tcPr>
            <w:vAlign w:val="center"/>
          </w:tcPr>
          <w:p>
            <w:pPr>
              <w:pStyle w:val="Normal"/>
              <w:spacing w:after="100"/>
              <w:jc w:val="center"/>
              <w:textAlignment w:val="center"/>
            </w:pPr>
            <w:r>
              <w:rPr>
                <w:b w:val="false"/>
              </w:rPr>
              <w:t>2099.3</w:t>
            </w:r>
          </w:p>
        </w:tc>
        <w:tc>
          <w:tcPr>
            <w:vAlign w:val="center"/>
          </w:tcPr>
          <w:p>
            <w:pPr>
              <w:pStyle w:val="Normal"/>
              <w:spacing w:after="100"/>
              <w:jc w:val="center"/>
              <w:textAlignment w:val="center"/>
            </w:pPr>
            <w:r>
              <w:rPr>
                <w:b w:val="false"/>
              </w:rPr>
              <w:t>84.15</w:t>
            </w:r>
          </w:p>
        </w:tc>
      </w:tr>
      <w:tr>
        <w:tc>
          <w:tcPr>
            <w:vAlign w:val="center"/>
          </w:tcPr>
          <w:p>
            <w:pPr>
              <w:pStyle w:val="Normal"/>
              <w:spacing w:after="100"/>
              <w:jc w:val="center"/>
              <w:textAlignment w:val="center"/>
            </w:pPr>
            <w:r>
              <w:rPr>
                <w:b w:val="false"/>
              </w:rPr>
              <w:t>13</w:t>
            </w:r>
          </w:p>
        </w:tc>
        <w:tc>
          <w:tcPr>
            <w:vAlign w:val="center"/>
          </w:tcPr>
          <w:p>
            <w:pPr>
              <w:pStyle w:val="Normal"/>
              <w:spacing w:after="100"/>
              <w:jc w:val="center"/>
              <w:textAlignment w:val="center"/>
            </w:pPr>
            <w:r>
              <w:rPr>
                <w:b w:val="false"/>
              </w:rPr>
              <w:t>76.2</w:t>
            </w:r>
          </w:p>
        </w:tc>
        <w:tc>
          <w:tcPr>
            <w:vAlign w:val="center"/>
          </w:tcPr>
          <w:p>
            <w:pPr>
              <w:pStyle w:val="Normal"/>
              <w:spacing w:after="100"/>
              <w:jc w:val="center"/>
              <w:textAlignment w:val="center"/>
            </w:pPr>
            <w:r>
              <w:rPr>
                <w:b w:val="false"/>
              </w:rPr>
              <w:t>2093.8</w:t>
            </w:r>
          </w:p>
        </w:tc>
        <w:tc>
          <w:tcPr>
            <w:vAlign w:val="center"/>
          </w:tcPr>
          <w:p>
            <w:pPr>
              <w:pStyle w:val="Normal"/>
              <w:spacing w:after="100"/>
              <w:jc w:val="center"/>
              <w:textAlignment w:val="center"/>
            </w:pPr>
            <w:r>
              <w:rPr>
                <w:b w:val="false"/>
              </w:rPr>
              <w:t>83.93</w:t>
            </w:r>
          </w:p>
        </w:tc>
      </w:tr>
      <w:tr>
        <w:tc>
          <w:tcPr>
            <w:vAlign w:val="center"/>
          </w:tcPr>
          <w:p>
            <w:pPr>
              <w:pStyle w:val="Normal"/>
              <w:spacing w:after="100"/>
              <w:jc w:val="center"/>
              <w:textAlignment w:val="center"/>
            </w:pPr>
            <w:r>
              <w:rPr>
                <w:b w:val="false"/>
              </w:rPr>
              <w:t>14</w:t>
            </w:r>
          </w:p>
        </w:tc>
        <w:tc>
          <w:tcPr>
            <w:vAlign w:val="center"/>
          </w:tcPr>
          <w:p>
            <w:pPr>
              <w:pStyle w:val="Normal"/>
              <w:spacing w:after="100"/>
              <w:jc w:val="center"/>
              <w:textAlignment w:val="center"/>
            </w:pPr>
            <w:r>
              <w:rPr>
                <w:b w:val="false"/>
              </w:rPr>
              <w:t>76.0</w:t>
            </w:r>
          </w:p>
        </w:tc>
        <w:tc>
          <w:tcPr>
            <w:vAlign w:val="center"/>
          </w:tcPr>
          <w:p>
            <w:pPr>
              <w:pStyle w:val="Normal"/>
              <w:spacing w:after="100"/>
              <w:jc w:val="center"/>
              <w:textAlignment w:val="center"/>
            </w:pPr>
            <w:r>
              <w:rPr>
                <w:b w:val="false"/>
              </w:rPr>
              <w:t>2088.2</w:t>
            </w:r>
          </w:p>
        </w:tc>
        <w:tc>
          <w:tcPr>
            <w:vAlign w:val="center"/>
          </w:tcPr>
          <w:p>
            <w:pPr>
              <w:pStyle w:val="Normal"/>
              <w:spacing w:after="100"/>
              <w:jc w:val="center"/>
              <w:textAlignment w:val="center"/>
            </w:pPr>
            <w:r>
              <w:rPr>
                <w:b w:val="false"/>
              </w:rPr>
              <w:t>83.71</w:t>
            </w:r>
          </w:p>
        </w:tc>
      </w:tr>
      <w:tr>
        <w:tc>
          <w:tcPr>
            <w:vAlign w:val="center"/>
          </w:tcPr>
          <w:p>
            <w:pPr>
              <w:pStyle w:val="Normal"/>
              <w:spacing w:after="100"/>
              <w:jc w:val="center"/>
              <w:textAlignment w:val="center"/>
            </w:pPr>
            <w:r>
              <w:rPr>
                <w:b w:val="false"/>
              </w:rPr>
              <w:t>15</w:t>
            </w:r>
          </w:p>
        </w:tc>
        <w:tc>
          <w:tcPr>
            <w:vAlign w:val="center"/>
          </w:tcPr>
          <w:p>
            <w:pPr>
              <w:pStyle w:val="Normal"/>
              <w:spacing w:after="100"/>
              <w:jc w:val="center"/>
              <w:textAlignment w:val="center"/>
            </w:pPr>
            <w:r>
              <w:rPr>
                <w:b w:val="false"/>
              </w:rPr>
              <w:t>75.8</w:t>
            </w:r>
          </w:p>
        </w:tc>
        <w:tc>
          <w:tcPr>
            <w:vAlign w:val="center"/>
          </w:tcPr>
          <w:p>
            <w:pPr>
              <w:pStyle w:val="Normal"/>
              <w:spacing w:after="100"/>
              <w:jc w:val="center"/>
              <w:textAlignment w:val="center"/>
            </w:pPr>
            <w:r>
              <w:rPr>
                <w:b w:val="false"/>
              </w:rPr>
              <w:t>2082.6</w:t>
            </w:r>
          </w:p>
        </w:tc>
        <w:tc>
          <w:tcPr>
            <w:vAlign w:val="center"/>
          </w:tcPr>
          <w:p>
            <w:pPr>
              <w:pStyle w:val="Normal"/>
              <w:spacing w:after="100"/>
              <w:jc w:val="center"/>
              <w:textAlignment w:val="center"/>
            </w:pPr>
            <w:r>
              <w:rPr>
                <w:b w:val="false"/>
              </w:rPr>
              <w:t>83.49</w:t>
            </w:r>
          </w:p>
        </w:tc>
      </w:tr>
      <w:tr>
        <w:tc>
          <w:tcPr>
            <w:vAlign w:val="center"/>
          </w:tcPr>
          <w:p>
            <w:pPr>
              <w:pStyle w:val="Normal"/>
              <w:spacing w:after="100"/>
              <w:jc w:val="center"/>
              <w:textAlignment w:val="center"/>
            </w:pPr>
            <w:r>
              <w:rPr>
                <w:b w:val="false"/>
              </w:rPr>
              <w:t>16</w:t>
            </w:r>
          </w:p>
        </w:tc>
        <w:tc>
          <w:tcPr>
            <w:vAlign w:val="center"/>
          </w:tcPr>
          <w:p>
            <w:pPr>
              <w:pStyle w:val="Normal"/>
              <w:spacing w:after="100"/>
              <w:jc w:val="center"/>
              <w:textAlignment w:val="center"/>
            </w:pPr>
            <w:r>
              <w:rPr>
                <w:b w:val="false"/>
              </w:rPr>
              <w:t>75.6</w:t>
            </w:r>
          </w:p>
        </w:tc>
        <w:tc>
          <w:tcPr>
            <w:vAlign w:val="center"/>
          </w:tcPr>
          <w:p>
            <w:pPr>
              <w:pStyle w:val="Normal"/>
              <w:spacing w:after="100"/>
              <w:jc w:val="center"/>
              <w:textAlignment w:val="center"/>
            </w:pPr>
            <w:r>
              <w:rPr>
                <w:b w:val="false"/>
              </w:rPr>
              <w:t>2076.9</w:t>
            </w:r>
          </w:p>
        </w:tc>
        <w:tc>
          <w:tcPr>
            <w:vAlign w:val="center"/>
          </w:tcPr>
          <w:p>
            <w:pPr>
              <w:pStyle w:val="Normal"/>
              <w:spacing w:after="100"/>
              <w:jc w:val="center"/>
              <w:textAlignment w:val="center"/>
            </w:pPr>
            <w:r>
              <w:rPr>
                <w:b w:val="false"/>
              </w:rPr>
              <w:t>83.26</w:t>
            </w:r>
          </w:p>
        </w:tc>
      </w:tr>
      <w:tr>
        <w:tc>
          <w:tcPr>
            <w:vAlign w:val="center"/>
          </w:tcPr>
          <w:p>
            <w:pPr>
              <w:pStyle w:val="Normal"/>
              <w:spacing w:after="100"/>
              <w:jc w:val="center"/>
              <w:textAlignment w:val="center"/>
            </w:pPr>
            <w:r>
              <w:rPr>
                <w:b w:val="false"/>
              </w:rPr>
              <w:t>17</w:t>
            </w:r>
          </w:p>
        </w:tc>
        <w:tc>
          <w:tcPr>
            <w:vAlign w:val="center"/>
          </w:tcPr>
          <w:p>
            <w:pPr>
              <w:pStyle w:val="Normal"/>
              <w:spacing w:after="100"/>
              <w:jc w:val="center"/>
              <w:textAlignment w:val="center"/>
            </w:pPr>
            <w:r>
              <w:rPr>
                <w:b w:val="false"/>
              </w:rPr>
              <w:t>75.4</w:t>
            </w:r>
          </w:p>
        </w:tc>
        <w:tc>
          <w:tcPr>
            <w:vAlign w:val="center"/>
          </w:tcPr>
          <w:p>
            <w:pPr>
              <w:pStyle w:val="Normal"/>
              <w:spacing w:after="100"/>
              <w:jc w:val="center"/>
              <w:textAlignment w:val="center"/>
            </w:pPr>
            <w:r>
              <w:rPr>
                <w:b w:val="false"/>
              </w:rPr>
              <w:t>2071.2</w:t>
            </w:r>
          </w:p>
        </w:tc>
        <w:tc>
          <w:tcPr>
            <w:vAlign w:val="center"/>
          </w:tcPr>
          <w:p>
            <w:pPr>
              <w:pStyle w:val="Normal"/>
              <w:spacing w:after="100"/>
              <w:jc w:val="center"/>
              <w:textAlignment w:val="center"/>
            </w:pPr>
            <w:r>
              <w:rPr>
                <w:b w:val="false"/>
              </w:rPr>
              <w:t>83.03</w:t>
            </w:r>
          </w:p>
        </w:tc>
      </w:tr>
      <w:tr>
        <w:tc>
          <w:tcPr>
            <w:vAlign w:val="center"/>
          </w:tcPr>
          <w:p>
            <w:pPr>
              <w:pStyle w:val="Normal"/>
              <w:spacing w:after="100"/>
              <w:jc w:val="center"/>
              <w:textAlignment w:val="center"/>
            </w:pPr>
            <w:r>
              <w:rPr>
                <w:b w:val="false"/>
              </w:rPr>
              <w:t>18</w:t>
            </w:r>
          </w:p>
        </w:tc>
        <w:tc>
          <w:tcPr>
            <w:vAlign w:val="center"/>
          </w:tcPr>
          <w:p>
            <w:pPr>
              <w:pStyle w:val="Normal"/>
              <w:spacing w:after="100"/>
              <w:jc w:val="center"/>
              <w:textAlignment w:val="center"/>
            </w:pPr>
            <w:r>
              <w:rPr>
                <w:b w:val="false"/>
              </w:rPr>
              <w:t>75.2</w:t>
            </w:r>
          </w:p>
        </w:tc>
        <w:tc>
          <w:tcPr>
            <w:vAlign w:val="center"/>
          </w:tcPr>
          <w:p>
            <w:pPr>
              <w:pStyle w:val="Normal"/>
              <w:spacing w:after="100"/>
              <w:jc w:val="center"/>
              <w:textAlignment w:val="center"/>
            </w:pPr>
            <w:r>
              <w:rPr>
                <w:b w:val="false"/>
              </w:rPr>
              <w:t>2065.4</w:t>
            </w:r>
          </w:p>
        </w:tc>
        <w:tc>
          <w:tcPr>
            <w:vAlign w:val="center"/>
          </w:tcPr>
          <w:p>
            <w:pPr>
              <w:pStyle w:val="Normal"/>
              <w:spacing w:after="100"/>
              <w:jc w:val="center"/>
              <w:textAlignment w:val="center"/>
            </w:pPr>
            <w:r>
              <w:rPr>
                <w:b w:val="false"/>
              </w:rPr>
              <w:t>82.79</w:t>
            </w:r>
          </w:p>
        </w:tc>
      </w:tr>
      <w:tr>
        <w:tc>
          <w:tcPr>
            <w:vAlign w:val="center"/>
          </w:tcPr>
          <w:p>
            <w:pPr>
              <w:pStyle w:val="Normal"/>
              <w:spacing w:after="100"/>
              <w:jc w:val="center"/>
              <w:textAlignment w:val="center"/>
            </w:pPr>
            <w:r>
              <w:rPr>
                <w:b w:val="false"/>
              </w:rPr>
              <w:t>19</w:t>
            </w:r>
          </w:p>
        </w:tc>
        <w:tc>
          <w:tcPr>
            <w:vAlign w:val="center"/>
          </w:tcPr>
          <w:p>
            <w:pPr>
              <w:pStyle w:val="Normal"/>
              <w:spacing w:after="100"/>
              <w:jc w:val="center"/>
              <w:textAlignment w:val="center"/>
            </w:pPr>
            <w:r>
              <w:rPr>
                <w:b w:val="false"/>
              </w:rPr>
              <w:t>74.9</w:t>
            </w:r>
          </w:p>
        </w:tc>
        <w:tc>
          <w:tcPr>
            <w:vAlign w:val="center"/>
          </w:tcPr>
          <w:p>
            <w:pPr>
              <w:pStyle w:val="Normal"/>
              <w:spacing w:after="100"/>
              <w:jc w:val="center"/>
              <w:textAlignment w:val="center"/>
            </w:pPr>
            <w:r>
              <w:rPr>
                <w:b w:val="false"/>
              </w:rPr>
              <w:t>2059.5</w:t>
            </w:r>
          </w:p>
        </w:tc>
        <w:tc>
          <w:tcPr>
            <w:vAlign w:val="center"/>
          </w:tcPr>
          <w:p>
            <w:pPr>
              <w:pStyle w:val="Normal"/>
              <w:spacing w:after="100"/>
              <w:jc w:val="center"/>
              <w:textAlignment w:val="center"/>
            </w:pPr>
            <w:r>
              <w:rPr>
                <w:b w:val="false"/>
              </w:rPr>
              <w:t>82.56</w:t>
            </w:r>
          </w:p>
        </w:tc>
      </w:tr>
      <w:tr>
        <w:tc>
          <w:tcPr>
            <w:vAlign w:val="center"/>
          </w:tcPr>
          <w:p>
            <w:pPr>
              <w:pStyle w:val="Normal"/>
              <w:spacing w:after="100"/>
              <w:jc w:val="center"/>
              <w:textAlignment w:val="center"/>
            </w:pPr>
            <w:r>
              <w:rPr>
                <w:b w:val="false"/>
              </w:rPr>
              <w:t>20</w:t>
            </w:r>
          </w:p>
        </w:tc>
        <w:tc>
          <w:tcPr>
            <w:vAlign w:val="center"/>
          </w:tcPr>
          <w:p>
            <w:pPr>
              <w:pStyle w:val="Normal"/>
              <w:spacing w:after="100"/>
              <w:jc w:val="center"/>
              <w:textAlignment w:val="center"/>
            </w:pPr>
            <w:r>
              <w:rPr>
                <w:b w:val="false"/>
              </w:rPr>
              <w:t>74.7</w:t>
            </w:r>
          </w:p>
        </w:tc>
        <w:tc>
          <w:tcPr>
            <w:vAlign w:val="center"/>
          </w:tcPr>
          <w:p>
            <w:pPr>
              <w:pStyle w:val="Normal"/>
              <w:spacing w:after="100"/>
              <w:jc w:val="center"/>
              <w:textAlignment w:val="center"/>
            </w:pPr>
            <w:r>
              <w:rPr>
                <w:b w:val="false"/>
              </w:rPr>
              <w:t>2053.7</w:t>
            </w:r>
          </w:p>
        </w:tc>
        <w:tc>
          <w:tcPr>
            <w:vAlign w:val="center"/>
          </w:tcPr>
          <w:p>
            <w:pPr>
              <w:pStyle w:val="Normal"/>
              <w:spacing w:after="100"/>
              <w:jc w:val="center"/>
              <w:textAlignment w:val="center"/>
            </w:pPr>
            <w:r>
              <w:rPr>
                <w:b w:val="false"/>
              </w:rPr>
              <w:t>82.32</w:t>
            </w:r>
          </w:p>
        </w:tc>
      </w:tr>
      <w:tr>
        <w:tc>
          <w:tcPr>
            <w:vAlign w:val="center"/>
          </w:tcPr>
          <w:p>
            <w:pPr>
              <w:pStyle w:val="Normal"/>
              <w:spacing w:after="100"/>
              <w:jc w:val="center"/>
              <w:textAlignment w:val="center"/>
            </w:pPr>
            <w:r>
              <w:rPr>
                <w:b w:val="false"/>
              </w:rPr>
              <w:t>21</w:t>
            </w:r>
          </w:p>
        </w:tc>
        <w:tc>
          <w:tcPr>
            <w:vAlign w:val="center"/>
          </w:tcPr>
          <w:p>
            <w:pPr>
              <w:pStyle w:val="Normal"/>
              <w:spacing w:after="100"/>
              <w:jc w:val="center"/>
              <w:textAlignment w:val="center"/>
            </w:pPr>
            <w:r>
              <w:rPr>
                <w:b w:val="false"/>
              </w:rPr>
              <w:t>74.5</w:t>
            </w:r>
          </w:p>
        </w:tc>
        <w:tc>
          <w:tcPr>
            <w:vAlign w:val="center"/>
          </w:tcPr>
          <w:p>
            <w:pPr>
              <w:pStyle w:val="Normal"/>
              <w:spacing w:after="100"/>
              <w:jc w:val="center"/>
              <w:textAlignment w:val="center"/>
            </w:pPr>
            <w:r>
              <w:rPr>
                <w:b w:val="false"/>
              </w:rPr>
              <w:t>2047.7</w:t>
            </w:r>
          </w:p>
        </w:tc>
        <w:tc>
          <w:tcPr>
            <w:vAlign w:val="center"/>
          </w:tcPr>
          <w:p>
            <w:pPr>
              <w:pStyle w:val="Normal"/>
              <w:spacing w:after="100"/>
              <w:jc w:val="center"/>
              <w:textAlignment w:val="center"/>
            </w:pPr>
            <w:r>
              <w:rPr>
                <w:b w:val="false"/>
              </w:rPr>
              <w:t>82.09</w:t>
            </w:r>
          </w:p>
        </w:tc>
      </w:tr>
      <w:tr>
        <w:tc>
          <w:tcPr>
            <w:vAlign w:val="center"/>
          </w:tcPr>
          <w:p>
            <w:pPr>
              <w:pStyle w:val="Normal"/>
              <w:spacing w:after="100"/>
              <w:jc w:val="center"/>
              <w:textAlignment w:val="center"/>
            </w:pPr>
            <w:r>
              <w:rPr>
                <w:b w:val="false"/>
              </w:rPr>
              <w:t>22</w:t>
            </w:r>
          </w:p>
        </w:tc>
        <w:tc>
          <w:tcPr>
            <w:vAlign w:val="center"/>
          </w:tcPr>
          <w:p>
            <w:pPr>
              <w:pStyle w:val="Normal"/>
              <w:spacing w:after="100"/>
              <w:jc w:val="center"/>
              <w:textAlignment w:val="center"/>
            </w:pPr>
            <w:r>
              <w:rPr>
                <w:b w:val="false"/>
              </w:rPr>
              <w:t>74.3</w:t>
            </w:r>
          </w:p>
        </w:tc>
        <w:tc>
          <w:tcPr>
            <w:vAlign w:val="center"/>
          </w:tcPr>
          <w:p>
            <w:pPr>
              <w:pStyle w:val="Normal"/>
              <w:spacing w:after="100"/>
              <w:jc w:val="center"/>
              <w:textAlignment w:val="center"/>
            </w:pPr>
            <w:r>
              <w:rPr>
                <w:b w:val="false"/>
              </w:rPr>
              <w:t>2041.8</w:t>
            </w:r>
          </w:p>
        </w:tc>
        <w:tc>
          <w:tcPr>
            <w:vAlign w:val="center"/>
          </w:tcPr>
          <w:p>
            <w:pPr>
              <w:pStyle w:val="Normal"/>
              <w:spacing w:after="100"/>
              <w:jc w:val="center"/>
              <w:textAlignment w:val="center"/>
            </w:pPr>
            <w:r>
              <w:rPr>
                <w:b w:val="false"/>
              </w:rPr>
              <w:t>81.85</w:t>
            </w:r>
          </w:p>
        </w:tc>
      </w:tr>
      <w:tr>
        <w:tc>
          <w:tcPr>
            <w:vAlign w:val="center"/>
          </w:tcPr>
          <w:p>
            <w:pPr>
              <w:pStyle w:val="Normal"/>
              <w:spacing w:after="100"/>
              <w:jc w:val="center"/>
              <w:textAlignment w:val="center"/>
            </w:pPr>
            <w:r>
              <w:rPr>
                <w:b w:val="false"/>
              </w:rPr>
              <w:t>23</w:t>
            </w:r>
          </w:p>
        </w:tc>
        <w:tc>
          <w:tcPr>
            <w:vAlign w:val="center"/>
          </w:tcPr>
          <w:p>
            <w:pPr>
              <w:pStyle w:val="Normal"/>
              <w:spacing w:after="100"/>
              <w:jc w:val="center"/>
              <w:textAlignment w:val="center"/>
            </w:pPr>
            <w:r>
              <w:rPr>
                <w:b w:val="false"/>
              </w:rPr>
              <w:t>74.1</w:t>
            </w:r>
          </w:p>
        </w:tc>
        <w:tc>
          <w:tcPr>
            <w:vAlign w:val="center"/>
          </w:tcPr>
          <w:p>
            <w:pPr>
              <w:pStyle w:val="Normal"/>
              <w:spacing w:after="100"/>
              <w:jc w:val="center"/>
              <w:textAlignment w:val="center"/>
            </w:pPr>
            <w:r>
              <w:rPr>
                <w:b w:val="false"/>
              </w:rPr>
              <w:t>2035.8</w:t>
            </w:r>
          </w:p>
        </w:tc>
        <w:tc>
          <w:tcPr>
            <w:vAlign w:val="center"/>
          </w:tcPr>
          <w:p>
            <w:pPr>
              <w:pStyle w:val="Normal"/>
              <w:spacing w:after="100"/>
              <w:jc w:val="center"/>
              <w:textAlignment w:val="center"/>
            </w:pPr>
            <w:r>
              <w:rPr>
                <w:b w:val="false"/>
              </w:rPr>
              <w:t>81.61</w:t>
            </w:r>
          </w:p>
        </w:tc>
      </w:tr>
      <w:tr>
        <w:tc>
          <w:tcPr>
            <w:vAlign w:val="center"/>
          </w:tcPr>
          <w:p>
            <w:pPr>
              <w:pStyle w:val="Normal"/>
              <w:spacing w:after="100"/>
              <w:jc w:val="center"/>
              <w:textAlignment w:val="center"/>
            </w:pPr>
            <w:r>
              <w:rPr>
                <w:b w:val="false"/>
              </w:rPr>
              <w:t>24</w:t>
            </w:r>
          </w:p>
        </w:tc>
        <w:tc>
          <w:tcPr>
            <w:vAlign w:val="center"/>
          </w:tcPr>
          <w:p>
            <w:pPr>
              <w:pStyle w:val="Normal"/>
              <w:spacing w:after="100"/>
              <w:jc w:val="center"/>
              <w:textAlignment w:val="center"/>
            </w:pPr>
            <w:r>
              <w:rPr>
                <w:b w:val="false"/>
              </w:rPr>
              <w:t>73.9</w:t>
            </w:r>
          </w:p>
        </w:tc>
        <w:tc>
          <w:tcPr>
            <w:vAlign w:val="center"/>
          </w:tcPr>
          <w:p>
            <w:pPr>
              <w:pStyle w:val="Normal"/>
              <w:spacing w:after="100"/>
              <w:jc w:val="center"/>
              <w:textAlignment w:val="center"/>
            </w:pPr>
            <w:r>
              <w:rPr>
                <w:b w:val="false"/>
              </w:rPr>
              <w:t>2029.8</w:t>
            </w:r>
          </w:p>
        </w:tc>
        <w:tc>
          <w:tcPr>
            <w:vAlign w:val="center"/>
          </w:tcPr>
          <w:p>
            <w:pPr>
              <w:pStyle w:val="Normal"/>
              <w:spacing w:after="100"/>
              <w:jc w:val="center"/>
              <w:textAlignment w:val="center"/>
            </w:pPr>
            <w:r>
              <w:rPr>
                <w:b w:val="false"/>
              </w:rPr>
              <w:t>81.37</w:t>
            </w:r>
          </w:p>
        </w:tc>
      </w:tr>
      <w:tr>
        <w:tc>
          <w:tcPr>
            <w:vAlign w:val="center"/>
          </w:tcPr>
          <w:p>
            <w:pPr>
              <w:pStyle w:val="Normal"/>
              <w:spacing w:after="100"/>
              <w:jc w:val="center"/>
              <w:textAlignment w:val="center"/>
            </w:pPr>
            <w:r>
              <w:rPr>
                <w:b w:val="false"/>
              </w:rPr>
              <w:t>25</w:t>
            </w:r>
          </w:p>
        </w:tc>
        <w:tc>
          <w:tcPr>
            <w:vAlign w:val="center"/>
          </w:tcPr>
          <w:p>
            <w:pPr>
              <w:pStyle w:val="Normal"/>
              <w:spacing w:after="100"/>
              <w:jc w:val="center"/>
              <w:textAlignment w:val="center"/>
            </w:pPr>
            <w:r>
              <w:rPr>
                <w:b w:val="false"/>
              </w:rPr>
              <w:t>73.6</w:t>
            </w:r>
          </w:p>
        </w:tc>
        <w:tc>
          <w:tcPr>
            <w:vAlign w:val="center"/>
          </w:tcPr>
          <w:p>
            <w:pPr>
              <w:pStyle w:val="Normal"/>
              <w:spacing w:after="100"/>
              <w:jc w:val="center"/>
              <w:textAlignment w:val="center"/>
            </w:pPr>
            <w:r>
              <w:rPr>
                <w:b w:val="false"/>
              </w:rPr>
              <w:t>2023.8</w:t>
            </w:r>
          </w:p>
        </w:tc>
        <w:tc>
          <w:tcPr>
            <w:vAlign w:val="center"/>
          </w:tcPr>
          <w:p>
            <w:pPr>
              <w:pStyle w:val="Normal"/>
              <w:spacing w:after="100"/>
              <w:jc w:val="center"/>
              <w:textAlignment w:val="center"/>
            </w:pPr>
            <w:r>
              <w:rPr>
                <w:b w:val="false"/>
              </w:rPr>
              <w:t>81.13</w:t>
            </w:r>
          </w:p>
        </w:tc>
      </w:tr>
      <w:tr>
        <w:tc>
          <w:tcPr>
            <w:vAlign w:val="center"/>
          </w:tcPr>
          <w:p>
            <w:pPr>
              <w:pStyle w:val="Normal"/>
              <w:spacing w:after="100"/>
              <w:jc w:val="center"/>
              <w:textAlignment w:val="center"/>
            </w:pPr>
            <w:r>
              <w:rPr>
                <w:b w:val="true"/>
              </w:rPr>
              <w:t>Total</w:t>
            </w:r>
          </w:p>
        </w:tc>
        <w:tc>
          <w:tcPr>
            <w:vAlign w:val="center"/>
          </w:tcPr>
          <w:p>
            <w:pPr>
              <w:pStyle w:val="Normal"/>
              <w:spacing w:after="100"/>
              <w:jc w:val="center"/>
              <w:textAlignment w:val="center"/>
            </w:pPr>
            <w:r>
              <w:rPr>
                <w:b w:val="true"/>
              </w:rPr>
              <w:t>1903.2</w:t>
            </w:r>
          </w:p>
        </w:tc>
        <w:tc>
          <w:tcPr>
            <w:vAlign w:val="center"/>
          </w:tcPr>
          <w:p>
            <w:pPr>
              <w:pStyle w:val="Normal"/>
              <w:spacing w:after="100"/>
              <w:jc w:val="center"/>
              <w:textAlignment w:val="center"/>
            </w:pPr>
            <w:r>
              <w:rPr>
                <w:b w:val="true"/>
              </w:rPr>
              <w:t>2092.2</w:t>
            </w:r>
          </w:p>
        </w:tc>
        <w:tc>
          <w:tcPr>
            <w:vAlign w:val="center"/>
          </w:tcPr>
          <w:p>
            <w:pPr>
              <w:pStyle w:val="Normal"/>
              <w:spacing w:after="100"/>
              <w:jc w:val="center"/>
              <w:textAlignment w:val="center"/>
            </w:pPr>
            <w:r>
              <w:rPr>
                <w:b w:val="true"/>
              </w:rPr>
              <w:t>83.9</w:t>
            </w:r>
          </w:p>
        </w:tc>
      </w:tr>
    </w:tbl>
    <w:p w14:paraId="0B3704F1" w14:textId="77777777" w:rsidR="00903F96" w:rsidRPr="0098155F" w:rsidRDefault="00903F96" w:rsidP="00903F96">
      <w:pPr>
        <w:pStyle w:val="Title2"/>
        <w:jc w:val="both"/>
        <w:rPr>
          <w:rFonts w:cs="Arial"/>
          <w:lang w:val="en-US"/>
        </w:rPr>
      </w:pPr>
      <w:r>
        <w:rPr>
          <w:rFonts w:ascii="Arial" w:hAnsi="Arial" w:cs="Arial" w:eastAsia="Arial"/>
          <w:b w:val="false"/>
          <w:sz w:val="28"/>
        </w:rPr>
        <w:t xml:space="preserve">7.4. </w:t>
      </w:r>
      <w:bookmarkStart w:id="47" w:name="47"/>
      <w:r>
        <w:rPr>
          <w:rFonts w:ascii="Arial" w:hAnsi="Arial" w:cs="Arial" w:eastAsia="Arial"/>
          <w:b w:val="false"/>
          <w:sz w:val="28"/>
        </w:rPr>
        <w:t>Probabilistic yield estimation</w:t>
      </w:r>
      <w:bookmarkEnd w:id="47"/>
    </w:p>
    <w:p w14:paraId="58C55B94" w14:textId="77777777" w:rsidR="00903F96" w:rsidRPr="0098155F" w:rsidRDefault="00903F96" w:rsidP="00903F96">
      <w:pPr>
        <w:jc w:val="both"/>
        <w:rPr>
          <w:rFonts w:ascii="Arial" w:hAnsi="Arial" w:cs="Arial"/>
          <w:color w:val="3F3F42" w:themeColor="background1" w:themeTint="E6"/>
          <w:sz w:val="24"/>
          <w:lang w:val="en-US"/>
        </w:rPr>
      </w:pPr>
      <w:r w:rsidRPr="0098155F">
        <w:rPr>
          <w:rFonts w:ascii="Arial" w:hAnsi="Arial" w:cs="Arial"/>
          <w:color w:val="3F3F42" w:themeColor="background1" w:themeTint="E6"/>
          <w:sz w:val="24"/>
          <w:lang w:val="en-US"/>
        </w:rPr>
        <w:t>The probabilistic yield estimation is a statistical analysis. It can be used to ascertain the effect that some uncertainties have on production over the course of several years. The weight of these uncertainties is quantified using the standard deviation (sigma value), which represents the expected annual variability. It can used to consider uncertainties in meteorological data, equipment performance, or long-term degradation.</w:t>
      </w:r>
    </w:p>
    <w:p w14:paraId="2657284A" w14:textId="17178724" w:rsidR="00903F96" w:rsidRPr="0098155F" w:rsidRDefault="00903F96" w:rsidP="00903F96">
      <w:pPr>
        <w:pStyle w:val=""/>
        <w:jc w:val="both"/>
        <w:rPr>
          <w:rFonts w:ascii="Arial" w:hAnsi="Arial" w:cs="Arial"/>
          <w:color w:val="3F3F42" w:themeColor="background1" w:themeTint="E6"/>
          <w:sz w:val="24"/>
          <w:lang w:val="en-US"/>
        </w:rPr>
      </w:pPr>
      <w:r>
        <w:rPr>
          <w:b w:val="false"/>
          <w:color w:val="3F3F42"/>
        </w:rPr>
        <w:t>The analysis consists of assuming that production will follow a normal distribution throughout the PV plants lifetime. The mean of the normal distribution will be the production of the first year (78.42 GWh).</w:t>
      </w:r>
    </w:p>
    <w:p w14:paraId="78B16B75" w14:textId="77777777" w:rsidR="00903F96" w:rsidRPr="0098155F" w:rsidRDefault="00903F96" w:rsidP="00903F96">
      <w:pPr>
        <w:pStyle w:val=""/>
        <w:jc w:val="both"/>
        <w:rPr>
          <w:rFonts w:ascii="Arial" w:hAnsi="Arial" w:cs="Arial"/>
          <w:color w:val="3F3F42" w:themeColor="background1" w:themeTint="E6"/>
          <w:sz w:val="24"/>
          <w:lang w:val="en-US"/>
        </w:rPr>
      </w:pPr>
      <w:r>
        <w:rPr>
          <w:b w:val="false"/>
          <w:color w:val="3F3F42"/>
        </w:rPr>
        <w:t>The standard deviation of the normal distribution was specified by the user, and its value was 3.00 %.</w:t>
      </w:r>
    </w:p>
    <w:p w14:paraId="497459C5" w14:textId="77777777" w:rsidR="00903F96" w:rsidRPr="0098155F" w:rsidRDefault="00903F96" w:rsidP="00903F96">
      <w:pPr>
        <w:pStyle w:val=""/>
        <w:jc w:val="both"/>
        <w:rPr>
          <w:rFonts w:ascii="Arial" w:hAnsi="Arial" w:cs="Arial"/>
          <w:color w:val="3F3F42" w:themeColor="background1" w:themeTint="E6"/>
          <w:sz w:val="24"/>
          <w:lang w:val="en-US"/>
        </w:rPr>
      </w:pPr>
      <w:r>
        <w:rPr>
          <w:b w:val="false"/>
          <w:color w:val="3F3F42"/>
        </w:rPr>
        <w:t>The results are shown in Table 24.</w:t>
      </w:r>
    </w:p>
    <w:p w14:paraId="0FA4B48F" w14:textId="77777777" w:rsidR="00903F96" w:rsidRPr="0098155F" w:rsidRDefault="00903F96" w:rsidP="00903F96">
      <w:pPr>
        <w:pStyle w:val="NameTableImg"/>
        <w:rPr>
          <w:rFonts w:cs="Arial"/>
          <w:lang w:val="en-US"/>
        </w:rPr>
      </w:pPr>
      <w:r>
        <w:rPr>
          <w:b w:val="false"/>
          <w:i w:val="true"/>
        </w:rPr>
        <w:t>Table 24. Probabilistic yield estimation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ook w:val="04A0" w:firstRow="1" w:lastRow="0" w:firstColumn="1" w:lastColumn="0" w:noHBand="0" w:noVBand="1"/>
      </w:tblPr>
      <w:tblGrid>
        <w:gridCol w:w="2380"/>
        <w:gridCol w:w="2322"/>
      </w:tblGrid>
      <w:tr w:rsidR="00BB5186" w:rsidRPr="00BB5186" w14:paraId="69A6A209" w14:textId="77777777" w:rsidTr="00BB5186">
        <w:trPr>
          <w:jc w:val="center"/>
        </w:trPr>
        <w:tc>
          <w:tcPr>
            <w:tcW w:w="2322" w:type="dxa"/>
            <w:shd w:val="clear" w:color="auto" w:fill="989E95"/>
            <w:vAlign w:val="center"/>
          </w:tcPr>
          <w:p w14:paraId="3CAF8B32"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Pr>
                <w:b w:val="false"/>
              </w:rPr>
              <w:t>Probability</w:t>
            </w:r>
          </w:p>
        </w:tc>
        <w:tc>
          <w:tcPr>
            <w:tcW w:w="2322" w:type="dxa"/>
            <w:shd w:val="clear" w:color="auto" w:fill="989E95"/>
            <w:vAlign w:val="center"/>
          </w:tcPr>
          <w:p w14:paraId="357BCE50" w14:textId="77777777" w:rsidR="00903F96" w:rsidRPr="00BB5186" w:rsidRDefault="00903F96" w:rsidP="00C96B85">
            <w:pPr>
              <w:pStyle w:val="paragraph"/>
              <w:spacing w:after="100"/>
              <w:jc w:val="center"/>
              <w:textAlignment w:val="center"/>
              <w:rPr>
                <w:rFonts w:ascii="Arial" w:hAnsi="Arial" w:cs="Arial"/>
                <w:bCs/>
                <w:sz w:val="28"/>
                <w:szCs w:val="24"/>
                <w:lang w:val="en-US"/>
              </w:rPr>
            </w:pPr>
            <w:r>
              <w:rPr>
                <w:b w:val="false"/>
              </w:rPr>
              <w:t>Energy yield [GWh]</w:t>
            </w:r>
          </w:p>
        </w:tc>
      </w:tr>
      <w:tr>
        <w:tc>
          <w:tcPr>
            <w:vAlign w:val="center"/>
          </w:tcPr>
          <w:p>
            <w:pPr>
              <w:pStyle w:val="Normal"/>
              <w:spacing w:after="100"/>
              <w:jc w:val="center"/>
              <w:textAlignment w:val="center"/>
            </w:pPr>
            <w:r>
              <w:rPr>
                <w:b w:val="false"/>
              </w:rPr>
              <w:t>P50</w:t>
            </w:r>
          </w:p>
        </w:tc>
        <w:tc>
          <w:tcPr>
            <w:vAlign w:val="center"/>
          </w:tcPr>
          <w:p>
            <w:pPr>
              <w:pStyle w:val="Normal"/>
              <w:spacing w:after="100"/>
              <w:jc w:val="center"/>
              <w:textAlignment w:val="center"/>
            </w:pPr>
            <w:r>
              <w:rPr>
                <w:b w:val="false"/>
              </w:rPr>
              <w:t>78.4</w:t>
            </w:r>
          </w:p>
        </w:tc>
      </w:tr>
      <w:tr>
        <w:tc>
          <w:tcPr>
            <w:vAlign w:val="center"/>
          </w:tcPr>
          <w:p>
            <w:pPr>
              <w:pStyle w:val="Normal"/>
              <w:spacing w:after="100"/>
              <w:jc w:val="center"/>
              <w:textAlignment w:val="center"/>
            </w:pPr>
            <w:r>
              <w:rPr>
                <w:b w:val="false"/>
              </w:rPr>
              <w:t>P75</w:t>
            </w:r>
          </w:p>
        </w:tc>
        <w:tc>
          <w:tcPr>
            <w:vAlign w:val="center"/>
          </w:tcPr>
          <w:p>
            <w:pPr>
              <w:pStyle w:val="Normal"/>
              <w:spacing w:after="100"/>
              <w:jc w:val="center"/>
              <w:textAlignment w:val="center"/>
            </w:pPr>
            <w:r>
              <w:rPr>
                <w:b w:val="false"/>
              </w:rPr>
              <w:t>76.8</w:t>
            </w:r>
          </w:p>
        </w:tc>
      </w:tr>
      <w:tr>
        <w:tc>
          <w:tcPr>
            <w:vAlign w:val="center"/>
          </w:tcPr>
          <w:p>
            <w:pPr>
              <w:pStyle w:val="Normal"/>
              <w:spacing w:after="100"/>
              <w:jc w:val="center"/>
              <w:textAlignment w:val="center"/>
            </w:pPr>
            <w:r>
              <w:rPr>
                <w:b w:val="false"/>
              </w:rPr>
              <w:t>P90</w:t>
            </w:r>
          </w:p>
        </w:tc>
        <w:tc>
          <w:tcPr>
            <w:vAlign w:val="center"/>
          </w:tcPr>
          <w:p>
            <w:pPr>
              <w:pStyle w:val="Normal"/>
              <w:spacing w:after="100"/>
              <w:jc w:val="center"/>
              <w:textAlignment w:val="center"/>
            </w:pPr>
            <w:r>
              <w:rPr>
                <w:b w:val="false"/>
              </w:rPr>
              <w:t>75.4</w:t>
            </w:r>
          </w:p>
        </w:tc>
      </w:tr>
      <w:tr>
        <w:tc>
          <w:tcPr>
            <w:vAlign w:val="center"/>
          </w:tcPr>
          <w:p>
            <w:pPr>
              <w:pStyle w:val="Normal"/>
              <w:spacing w:after="100"/>
              <w:jc w:val="center"/>
              <w:textAlignment w:val="center"/>
            </w:pPr>
            <w:r>
              <w:rPr>
                <w:b w:val="false"/>
              </w:rPr>
              <w:t>P95</w:t>
            </w:r>
          </w:p>
        </w:tc>
        <w:tc>
          <w:tcPr>
            <w:vAlign w:val="center"/>
          </w:tcPr>
          <w:p>
            <w:pPr>
              <w:pStyle w:val="Normal"/>
              <w:spacing w:after="100"/>
              <w:jc w:val="center"/>
              <w:textAlignment w:val="center"/>
            </w:pPr>
            <w:r>
              <w:rPr>
                <w:b w:val="false"/>
              </w:rPr>
              <w:t>74.6</w:t>
            </w:r>
          </w:p>
        </w:tc>
      </w:tr>
      <w:tr>
        <w:tc>
          <w:tcPr>
            <w:vAlign w:val="center"/>
          </w:tcPr>
          <w:p>
            <w:pPr>
              <w:pStyle w:val="Normal"/>
              <w:spacing w:after="100"/>
              <w:jc w:val="center"/>
              <w:textAlignment w:val="center"/>
            </w:pPr>
            <w:r>
              <w:rPr>
                <w:b w:val="false"/>
              </w:rPr>
              <w:t>P99</w:t>
            </w:r>
          </w:p>
        </w:tc>
        <w:tc>
          <w:tcPr>
            <w:vAlign w:val="center"/>
          </w:tcPr>
          <w:p>
            <w:pPr>
              <w:pStyle w:val="Normal"/>
              <w:spacing w:after="100"/>
              <w:jc w:val="center"/>
              <w:textAlignment w:val="center"/>
            </w:pPr>
            <w:r>
              <w:rPr>
                <w:b w:val="false"/>
              </w:rPr>
              <w:t>73.0</w:t>
            </w:r>
          </w:p>
        </w:tc>
      </w:tr>
    </w:tbl>
    <w:p w14:paraId="38A31E58" w14:textId="77777777" w:rsidR="00903F96" w:rsidRPr="0098155F" w:rsidRDefault="00903F96" w:rsidP="00903F96">
      <w:pPr>
        <w:pStyle w:val="Title2"/>
        <w:rPr>
          <w:rFonts w:cs="Arial"/>
          <w:lang w:val="en-US"/>
        </w:rPr>
      </w:pPr>
      <w:r>
        <w:rPr>
          <w:rFonts w:ascii="Arial" w:hAnsi="Arial" w:cs="Arial" w:eastAsia="Arial"/>
          <w:b w:val="false"/>
          <w:sz w:val="28"/>
        </w:rPr>
        <w:t xml:space="preserve">7.5. </w:t>
      </w:r>
      <w:bookmarkStart w:id="48" w:name="48"/>
      <w:r>
        <w:rPr>
          <w:rFonts w:ascii="Arial" w:hAnsi="Arial" w:cs="Arial" w:eastAsia="Arial"/>
          <w:b w:val="false"/>
          <w:sz w:val="28"/>
        </w:rPr>
        <w:t>Battery Energy Storage System</w:t>
      </w:r>
      <w:bookmarkEnd w:id="48"/>
    </w:p>
    <w:p w14:paraId="1347A8A2" w14:textId="77777777" w:rsidR="009A7D9F" w:rsidRPr="0098155F" w:rsidRDefault="009A7D9F" w:rsidP="009A7D9F">
      <w:pPr>
        <w:pStyle w:val="paragraph"/>
        <w:rPr>
          <w:rFonts w:ascii="Arial" w:hAnsi="Arial" w:cs="Arial"/>
          <w:lang w:val="en-US"/>
        </w:rPr>
      </w:pPr>
      <w:bookmarkStart w:id="43" w:name="_Hlk135920432"/>
      <w:r>
        <w:rPr>
          <w:b w:val="false"/>
        </w:rPr>
        <w:t>In addition to the PV Plant, an AC coupling BESS has been defined inside the green area of Figure 1. This battery system includes a set of 6 battery containers and 1 power conversion systems with a total apparent power of 5500.0 kVA and a total rated power of 5500.0 kW at a power factor of 1.000 and an energy capacity of 12.0 MWh, resulting in a storage capacity of 2.2 hours of discharge.</w:t>
      </w:r>
    </w:p>
    <w:p w14:paraId="56344A98" w14:textId="77777777" w:rsidR="009A7D9F" w:rsidRPr="0098155F" w:rsidRDefault="009A7D9F" w:rsidP="009A7D9F">
      <w:pPr>
        <w:pStyle w:val="paragraph"/>
        <w:rPr>
          <w:rFonts w:ascii="Arial" w:hAnsi="Arial" w:cs="Arial"/>
          <w:lang w:val="en-US"/>
        </w:rPr>
      </w:pPr>
      <w:r>
        <w:rPr>
          <w:b w:val="false"/>
        </w:rPr>
        <w:t>The loss due to the delivery point limit (curtailment) could be used to charge an AC-coupling BESS. This loss amounted to 0.0 Wh.</w:t>
      </w:r>
    </w:p>
    <w:bookmarkEnd w:id="43"/>
    <w:p w14:paraId="18E0AD4D" w14:textId="646D1E16" w:rsidR="00C4048B" w:rsidRPr="0098155F" w:rsidRDefault="00C4048B" w:rsidP="00903F96">
      <w:pPr>
        <w:pStyle w:val="Title1"/>
        <w:rPr>
          <w:rFonts w:cs="Arial"/>
          <w:color w:val="3F3F42" w:themeColor="background1" w:themeTint="E6"/>
          <w:sz w:val="24"/>
          <w:lang w:val="en-US"/>
        </w:rPr>
      </w:pPr>
    </w:p>
    <w:sectPr w:rsidR="00C4048B" w:rsidRPr="0098155F" w:rsidSect="005B41AB">
      <w:headerReference w:type="first" r:id="rId31"/>
      <w:headerReference w:type="default" r:id="rId32"/>
      <w:pgSz w:w="11906" w:h="16838"/>
      <w:pgMar w:top="1584" w:right="1310" w:bottom="1411" w:left="1310"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8612BA" w14:textId="77777777" w:rsidR="00563349" w:rsidRDefault="00563349" w:rsidP="00B27F97">
      <w:pPr>
        <w:spacing w:after="0" w:line="240" w:lineRule="auto"/>
      </w:pPr>
      <w:r>
        <w:separator/>
      </w:r>
    </w:p>
  </w:endnote>
  <w:endnote w:type="continuationSeparator" w:id="0">
    <w:p w14:paraId="27ADACB9" w14:textId="77777777" w:rsidR="00563349" w:rsidRDefault="00563349" w:rsidP="00B27F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Ubuntu">
    <w:altName w:val="Calibri"/>
    <w:charset w:val="00"/>
    <w:family w:val="swiss"/>
    <w:pitch w:val="variable"/>
    <w:sig w:usb0="E00002FF" w:usb1="5000205B"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38571901"/>
      <w:docPartObj>
        <w:docPartGallery w:val="Page Numbers (Bottom of Page)"/>
        <w:docPartUnique/>
      </w:docPartObj>
    </w:sdtPr>
    <w:sdtEndPr>
      <w:rPr>
        <w:noProof/>
      </w:rPr>
    </w:sdtEndPr>
    <w:sdtContent>
      <w:p w14:paraId="3DC7D59B" w14:textId="46F1089D" w:rsidR="00C57797" w:rsidRDefault="00C5779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7B41CB5" w14:textId="6C02AD86" w:rsidR="00C57797" w:rsidRDefault="00C577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65D502" w14:textId="77777777" w:rsidR="00563349" w:rsidRDefault="00563349" w:rsidP="00B27F97">
      <w:pPr>
        <w:spacing w:after="0" w:line="240" w:lineRule="auto"/>
      </w:pPr>
      <w:r>
        <w:separator/>
      </w:r>
    </w:p>
  </w:footnote>
  <w:footnote w:type="continuationSeparator" w:id="0">
    <w:p w14:paraId="5680A5D5" w14:textId="77777777" w:rsidR="00563349" w:rsidRDefault="00563349" w:rsidP="00B27F97">
      <w:pPr>
        <w:spacing w:after="0" w:line="240" w:lineRule="auto"/>
      </w:pPr>
      <w:r>
        <w:continuationSeparator/>
      </w:r>
    </w:p>
  </w:footnote>
</w:footnotes>
</file>

<file path=word/header1.xml><?xml version="1.0" encoding="utf-8"?>
<w:hdr xmlns:w="http://schemas.openxmlformats.org/wordprocessingml/2006/main">
  <w:p/>
</w:hdr>
</file>

<file path=word/header2.xml><?xml version="1.0" encoding="utf-8"?>
<w:hdr xmlns:w="http://schemas.openxmlformats.org/wordprocessingml/2006/main">
  <w:p>
    <w:pPr>
      <w:jc w:val="right"/>
    </w:pPr>
    <w:r>
      <w:rPr>
        <w:i w:val="true"/>
        <w:color w:val="D9D9D9"/>
      </w:rPr>
      <w:t>Demo RatedPower-Prepared for: Amperecloud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124E8D2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F73BC5"/>
    <w:multiLevelType w:val="hybridMultilevel"/>
    <w:tmpl w:val="466E3C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22505DD"/>
    <w:multiLevelType w:val="multilevel"/>
    <w:tmpl w:val="018E0BE2"/>
    <w:lvl w:ilvl="0">
      <w:start w:val="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5C14ED1"/>
    <w:multiLevelType w:val="hybridMultilevel"/>
    <w:tmpl w:val="75466A14"/>
    <w:lvl w:ilvl="0" w:tplc="05A6F15E">
      <w:start w:val="1"/>
      <w:numFmt w:val="bullet"/>
      <w:pStyle w:val="BulletsNew"/>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4493781B"/>
    <w:multiLevelType w:val="multilevel"/>
    <w:tmpl w:val="F45C32EC"/>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6B6C6B59"/>
    <w:multiLevelType w:val="hybridMultilevel"/>
    <w:tmpl w:val="F91897B2"/>
    <w:lvl w:ilvl="0" w:tplc="0C0A0001">
      <w:start w:val="1"/>
      <w:numFmt w:val="bullet"/>
      <w:lvlText w:val=""/>
      <w:lvlJc w:val="left"/>
      <w:pPr>
        <w:ind w:left="3600" w:hanging="360"/>
      </w:pPr>
      <w:rPr>
        <w:rFonts w:ascii="Symbol" w:hAnsi="Symbol" w:hint="default"/>
      </w:rPr>
    </w:lvl>
    <w:lvl w:ilvl="1" w:tplc="0C0A0003" w:tentative="1">
      <w:start w:val="1"/>
      <w:numFmt w:val="bullet"/>
      <w:lvlText w:val="o"/>
      <w:lvlJc w:val="left"/>
      <w:pPr>
        <w:ind w:left="4320" w:hanging="360"/>
      </w:pPr>
      <w:rPr>
        <w:rFonts w:ascii="Courier New" w:hAnsi="Courier New" w:cs="Courier New" w:hint="default"/>
      </w:rPr>
    </w:lvl>
    <w:lvl w:ilvl="2" w:tplc="0C0A0005" w:tentative="1">
      <w:start w:val="1"/>
      <w:numFmt w:val="bullet"/>
      <w:lvlText w:val=""/>
      <w:lvlJc w:val="left"/>
      <w:pPr>
        <w:ind w:left="5040" w:hanging="360"/>
      </w:pPr>
      <w:rPr>
        <w:rFonts w:ascii="Wingdings" w:hAnsi="Wingdings" w:hint="default"/>
      </w:rPr>
    </w:lvl>
    <w:lvl w:ilvl="3" w:tplc="0C0A0001" w:tentative="1">
      <w:start w:val="1"/>
      <w:numFmt w:val="bullet"/>
      <w:lvlText w:val=""/>
      <w:lvlJc w:val="left"/>
      <w:pPr>
        <w:ind w:left="5760" w:hanging="360"/>
      </w:pPr>
      <w:rPr>
        <w:rFonts w:ascii="Symbol" w:hAnsi="Symbol" w:hint="default"/>
      </w:rPr>
    </w:lvl>
    <w:lvl w:ilvl="4" w:tplc="0C0A0003" w:tentative="1">
      <w:start w:val="1"/>
      <w:numFmt w:val="bullet"/>
      <w:lvlText w:val="o"/>
      <w:lvlJc w:val="left"/>
      <w:pPr>
        <w:ind w:left="6480" w:hanging="360"/>
      </w:pPr>
      <w:rPr>
        <w:rFonts w:ascii="Courier New" w:hAnsi="Courier New" w:cs="Courier New" w:hint="default"/>
      </w:rPr>
    </w:lvl>
    <w:lvl w:ilvl="5" w:tplc="0C0A0005" w:tentative="1">
      <w:start w:val="1"/>
      <w:numFmt w:val="bullet"/>
      <w:lvlText w:val=""/>
      <w:lvlJc w:val="left"/>
      <w:pPr>
        <w:ind w:left="7200" w:hanging="360"/>
      </w:pPr>
      <w:rPr>
        <w:rFonts w:ascii="Wingdings" w:hAnsi="Wingdings" w:hint="default"/>
      </w:rPr>
    </w:lvl>
    <w:lvl w:ilvl="6" w:tplc="0C0A0001" w:tentative="1">
      <w:start w:val="1"/>
      <w:numFmt w:val="bullet"/>
      <w:lvlText w:val=""/>
      <w:lvlJc w:val="left"/>
      <w:pPr>
        <w:ind w:left="7920" w:hanging="360"/>
      </w:pPr>
      <w:rPr>
        <w:rFonts w:ascii="Symbol" w:hAnsi="Symbol" w:hint="default"/>
      </w:rPr>
    </w:lvl>
    <w:lvl w:ilvl="7" w:tplc="0C0A0003" w:tentative="1">
      <w:start w:val="1"/>
      <w:numFmt w:val="bullet"/>
      <w:lvlText w:val="o"/>
      <w:lvlJc w:val="left"/>
      <w:pPr>
        <w:ind w:left="8640" w:hanging="360"/>
      </w:pPr>
      <w:rPr>
        <w:rFonts w:ascii="Courier New" w:hAnsi="Courier New" w:cs="Courier New" w:hint="default"/>
      </w:rPr>
    </w:lvl>
    <w:lvl w:ilvl="8" w:tplc="0C0A0005" w:tentative="1">
      <w:start w:val="1"/>
      <w:numFmt w:val="bullet"/>
      <w:lvlText w:val=""/>
      <w:lvlJc w:val="left"/>
      <w:pPr>
        <w:ind w:left="9360" w:hanging="360"/>
      </w:pPr>
      <w:rPr>
        <w:rFonts w:ascii="Wingdings" w:hAnsi="Wingdings" w:hint="default"/>
      </w:rPr>
    </w:lvl>
  </w:abstractNum>
  <w:abstractNum w:abstractNumId="6" w15:restartNumberingAfterBreak="0">
    <w:nsid w:val="7BE12C27"/>
    <w:multiLevelType w:val="multilevel"/>
    <w:tmpl w:val="09DCBD3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7F844420"/>
    <w:multiLevelType w:val="hybridMultilevel"/>
    <w:tmpl w:val="340610AE"/>
    <w:lvl w:ilvl="0" w:tplc="37A8A652">
      <w:start w:val="1"/>
      <w:numFmt w:val="bullet"/>
      <w:pStyle w:val="Bullets"/>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num w:numId="1" w16cid:durableId="1038630040">
    <w:abstractNumId w:val="7"/>
  </w:num>
  <w:num w:numId="2" w16cid:durableId="1245139985">
    <w:abstractNumId w:val="1"/>
  </w:num>
  <w:num w:numId="3" w16cid:durableId="785124758">
    <w:abstractNumId w:val="2"/>
  </w:num>
  <w:num w:numId="4" w16cid:durableId="1956909637">
    <w:abstractNumId w:val="6"/>
  </w:num>
  <w:num w:numId="5" w16cid:durableId="1517889648">
    <w:abstractNumId w:val="4"/>
  </w:num>
  <w:num w:numId="6" w16cid:durableId="217519338">
    <w:abstractNumId w:val="7"/>
  </w:num>
  <w:num w:numId="7" w16cid:durableId="1676303019">
    <w:abstractNumId w:val="5"/>
  </w:num>
  <w:num w:numId="8" w16cid:durableId="1783567986">
    <w:abstractNumId w:val="3"/>
  </w:num>
  <w:num w:numId="9" w16cid:durableId="18550667">
    <w:abstractNumId w:val="0"/>
  </w:num>
  <w:num w:numId="10" w16cid:durableId="1229611209">
    <w:abstractNumId w:val="7"/>
  </w:num>
  <w:num w:numId="11" w16cid:durableId="916980933">
    <w:abstractNumId w:val="3"/>
  </w:num>
  <w:num w:numId="12" w16cid:durableId="1568415802">
    <w:abstractNumId w:val="3"/>
  </w:num>
  <w:num w:numId="13" w16cid:durableId="671836384">
    <w:abstractNumId w:val="0"/>
  </w:num>
  <w:num w:numId="14" w16cid:durableId="1066076366">
    <w:abstractNumId w:val="7"/>
  </w:num>
  <w:num w:numId="15" w16cid:durableId="1308167754">
    <w:abstractNumId w:val="0"/>
  </w:num>
  <w:num w:numId="16" w16cid:durableId="213282237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1839"/>
    <w:rsid w:val="000011B6"/>
    <w:rsid w:val="00001865"/>
    <w:rsid w:val="000046B6"/>
    <w:rsid w:val="000057B0"/>
    <w:rsid w:val="0001325D"/>
    <w:rsid w:val="000158F7"/>
    <w:rsid w:val="0001641D"/>
    <w:rsid w:val="00021839"/>
    <w:rsid w:val="00021BC1"/>
    <w:rsid w:val="00022054"/>
    <w:rsid w:val="00023365"/>
    <w:rsid w:val="0002514A"/>
    <w:rsid w:val="00032C24"/>
    <w:rsid w:val="000333D9"/>
    <w:rsid w:val="000363FB"/>
    <w:rsid w:val="000371BE"/>
    <w:rsid w:val="00042E2A"/>
    <w:rsid w:val="000433DB"/>
    <w:rsid w:val="00043824"/>
    <w:rsid w:val="000442C8"/>
    <w:rsid w:val="00045B23"/>
    <w:rsid w:val="00045E5F"/>
    <w:rsid w:val="00052DB7"/>
    <w:rsid w:val="000552B8"/>
    <w:rsid w:val="00060CC4"/>
    <w:rsid w:val="00061212"/>
    <w:rsid w:val="000619D7"/>
    <w:rsid w:val="000621F6"/>
    <w:rsid w:val="0006537B"/>
    <w:rsid w:val="00070E18"/>
    <w:rsid w:val="000713C2"/>
    <w:rsid w:val="00071A94"/>
    <w:rsid w:val="00071C70"/>
    <w:rsid w:val="00072345"/>
    <w:rsid w:val="00076939"/>
    <w:rsid w:val="0007727B"/>
    <w:rsid w:val="00077F7B"/>
    <w:rsid w:val="00080E43"/>
    <w:rsid w:val="000820DC"/>
    <w:rsid w:val="0008584F"/>
    <w:rsid w:val="00085C14"/>
    <w:rsid w:val="000901E3"/>
    <w:rsid w:val="00090287"/>
    <w:rsid w:val="0009154F"/>
    <w:rsid w:val="00092A34"/>
    <w:rsid w:val="0009611E"/>
    <w:rsid w:val="00096262"/>
    <w:rsid w:val="00096482"/>
    <w:rsid w:val="000A1100"/>
    <w:rsid w:val="000A7EF9"/>
    <w:rsid w:val="000B088B"/>
    <w:rsid w:val="000B18A6"/>
    <w:rsid w:val="000B5220"/>
    <w:rsid w:val="000C0102"/>
    <w:rsid w:val="000C08E9"/>
    <w:rsid w:val="000C2983"/>
    <w:rsid w:val="000C36CD"/>
    <w:rsid w:val="000C4DC4"/>
    <w:rsid w:val="000C5849"/>
    <w:rsid w:val="000C5DDB"/>
    <w:rsid w:val="000C6EA1"/>
    <w:rsid w:val="000D09E8"/>
    <w:rsid w:val="000D2BFC"/>
    <w:rsid w:val="000D7300"/>
    <w:rsid w:val="000E03EB"/>
    <w:rsid w:val="000E2EA6"/>
    <w:rsid w:val="000E3381"/>
    <w:rsid w:val="000E3B5A"/>
    <w:rsid w:val="000E5ACC"/>
    <w:rsid w:val="000E690D"/>
    <w:rsid w:val="000F0DA0"/>
    <w:rsid w:val="000F26D7"/>
    <w:rsid w:val="000F42F5"/>
    <w:rsid w:val="000F64C0"/>
    <w:rsid w:val="0010270D"/>
    <w:rsid w:val="00102E09"/>
    <w:rsid w:val="00103D83"/>
    <w:rsid w:val="001051ED"/>
    <w:rsid w:val="00106BD3"/>
    <w:rsid w:val="001132E9"/>
    <w:rsid w:val="00113488"/>
    <w:rsid w:val="00114CF0"/>
    <w:rsid w:val="001158E2"/>
    <w:rsid w:val="001201F4"/>
    <w:rsid w:val="00123520"/>
    <w:rsid w:val="00124B3D"/>
    <w:rsid w:val="0012564C"/>
    <w:rsid w:val="00125EF7"/>
    <w:rsid w:val="00125F09"/>
    <w:rsid w:val="00127C03"/>
    <w:rsid w:val="00130A99"/>
    <w:rsid w:val="0013214E"/>
    <w:rsid w:val="001355A1"/>
    <w:rsid w:val="00135930"/>
    <w:rsid w:val="00136AA3"/>
    <w:rsid w:val="00137A89"/>
    <w:rsid w:val="00140DDE"/>
    <w:rsid w:val="0014498A"/>
    <w:rsid w:val="0014570F"/>
    <w:rsid w:val="00150B64"/>
    <w:rsid w:val="0015255B"/>
    <w:rsid w:val="001525D3"/>
    <w:rsid w:val="00152EF5"/>
    <w:rsid w:val="001532CA"/>
    <w:rsid w:val="00155A5F"/>
    <w:rsid w:val="00160D3F"/>
    <w:rsid w:val="001626BB"/>
    <w:rsid w:val="00163986"/>
    <w:rsid w:val="00164547"/>
    <w:rsid w:val="0016462F"/>
    <w:rsid w:val="001654FA"/>
    <w:rsid w:val="001655EE"/>
    <w:rsid w:val="00166206"/>
    <w:rsid w:val="00166FB3"/>
    <w:rsid w:val="001720BC"/>
    <w:rsid w:val="001774DF"/>
    <w:rsid w:val="00183A2B"/>
    <w:rsid w:val="00185F3F"/>
    <w:rsid w:val="00187C5E"/>
    <w:rsid w:val="00195DA0"/>
    <w:rsid w:val="001964BA"/>
    <w:rsid w:val="0019728E"/>
    <w:rsid w:val="00197380"/>
    <w:rsid w:val="001A6F07"/>
    <w:rsid w:val="001A78EF"/>
    <w:rsid w:val="001B4188"/>
    <w:rsid w:val="001B44F7"/>
    <w:rsid w:val="001B6EE5"/>
    <w:rsid w:val="001B7CC6"/>
    <w:rsid w:val="001C18E6"/>
    <w:rsid w:val="001C21F5"/>
    <w:rsid w:val="001C269D"/>
    <w:rsid w:val="001C3931"/>
    <w:rsid w:val="001C5B7E"/>
    <w:rsid w:val="001D004D"/>
    <w:rsid w:val="001D020D"/>
    <w:rsid w:val="001D2A2C"/>
    <w:rsid w:val="001D31FA"/>
    <w:rsid w:val="001D38B8"/>
    <w:rsid w:val="001D5BBF"/>
    <w:rsid w:val="001D6A8B"/>
    <w:rsid w:val="001E3317"/>
    <w:rsid w:val="001E3431"/>
    <w:rsid w:val="001E5CE2"/>
    <w:rsid w:val="001E5D14"/>
    <w:rsid w:val="001E6CBC"/>
    <w:rsid w:val="001F268D"/>
    <w:rsid w:val="001F38A7"/>
    <w:rsid w:val="001F51DB"/>
    <w:rsid w:val="002012B7"/>
    <w:rsid w:val="00203799"/>
    <w:rsid w:val="00206B8B"/>
    <w:rsid w:val="00211378"/>
    <w:rsid w:val="002121BD"/>
    <w:rsid w:val="002151B8"/>
    <w:rsid w:val="002200B3"/>
    <w:rsid w:val="002208DC"/>
    <w:rsid w:val="00222230"/>
    <w:rsid w:val="00232BCE"/>
    <w:rsid w:val="00232F03"/>
    <w:rsid w:val="0023414C"/>
    <w:rsid w:val="002343B2"/>
    <w:rsid w:val="002362FE"/>
    <w:rsid w:val="00236B1A"/>
    <w:rsid w:val="00242728"/>
    <w:rsid w:val="002446AC"/>
    <w:rsid w:val="00245268"/>
    <w:rsid w:val="00245C45"/>
    <w:rsid w:val="002502A3"/>
    <w:rsid w:val="002513A2"/>
    <w:rsid w:val="00252506"/>
    <w:rsid w:val="0025251F"/>
    <w:rsid w:val="0025703E"/>
    <w:rsid w:val="002575F0"/>
    <w:rsid w:val="00257B65"/>
    <w:rsid w:val="0026003B"/>
    <w:rsid w:val="002621C2"/>
    <w:rsid w:val="002626DA"/>
    <w:rsid w:val="00262733"/>
    <w:rsid w:val="00264544"/>
    <w:rsid w:val="00264D60"/>
    <w:rsid w:val="00265DDA"/>
    <w:rsid w:val="00266312"/>
    <w:rsid w:val="002668AA"/>
    <w:rsid w:val="00266C07"/>
    <w:rsid w:val="0027080A"/>
    <w:rsid w:val="00271C1C"/>
    <w:rsid w:val="00274B03"/>
    <w:rsid w:val="00276A53"/>
    <w:rsid w:val="00277288"/>
    <w:rsid w:val="00277A72"/>
    <w:rsid w:val="00283D82"/>
    <w:rsid w:val="00285BE5"/>
    <w:rsid w:val="00287A7A"/>
    <w:rsid w:val="00291E4C"/>
    <w:rsid w:val="0029238C"/>
    <w:rsid w:val="00292BEA"/>
    <w:rsid w:val="002A5C09"/>
    <w:rsid w:val="002B18E4"/>
    <w:rsid w:val="002B2F97"/>
    <w:rsid w:val="002B3CE5"/>
    <w:rsid w:val="002B65D8"/>
    <w:rsid w:val="002B69A0"/>
    <w:rsid w:val="002C2EF2"/>
    <w:rsid w:val="002C53B1"/>
    <w:rsid w:val="002D35D8"/>
    <w:rsid w:val="002D4211"/>
    <w:rsid w:val="002D686C"/>
    <w:rsid w:val="002D71CE"/>
    <w:rsid w:val="002E54EA"/>
    <w:rsid w:val="002E5FC3"/>
    <w:rsid w:val="002E650D"/>
    <w:rsid w:val="002E6606"/>
    <w:rsid w:val="002F011A"/>
    <w:rsid w:val="002F27A4"/>
    <w:rsid w:val="002F62C3"/>
    <w:rsid w:val="002F7127"/>
    <w:rsid w:val="003002AC"/>
    <w:rsid w:val="00303405"/>
    <w:rsid w:val="00303B35"/>
    <w:rsid w:val="003102DB"/>
    <w:rsid w:val="003106AC"/>
    <w:rsid w:val="00310B18"/>
    <w:rsid w:val="0031270C"/>
    <w:rsid w:val="0031363B"/>
    <w:rsid w:val="003156EF"/>
    <w:rsid w:val="00316384"/>
    <w:rsid w:val="00317D7D"/>
    <w:rsid w:val="00320E29"/>
    <w:rsid w:val="00322EB2"/>
    <w:rsid w:val="003231E4"/>
    <w:rsid w:val="00323519"/>
    <w:rsid w:val="00324BDE"/>
    <w:rsid w:val="003262C8"/>
    <w:rsid w:val="003315DC"/>
    <w:rsid w:val="003320BB"/>
    <w:rsid w:val="003364DB"/>
    <w:rsid w:val="003367DC"/>
    <w:rsid w:val="00337188"/>
    <w:rsid w:val="00340AE8"/>
    <w:rsid w:val="0034653F"/>
    <w:rsid w:val="00350165"/>
    <w:rsid w:val="00350CB1"/>
    <w:rsid w:val="00354E99"/>
    <w:rsid w:val="00362B25"/>
    <w:rsid w:val="00364390"/>
    <w:rsid w:val="00366C58"/>
    <w:rsid w:val="00373199"/>
    <w:rsid w:val="003733B9"/>
    <w:rsid w:val="003737DA"/>
    <w:rsid w:val="003741C3"/>
    <w:rsid w:val="00383748"/>
    <w:rsid w:val="003876AD"/>
    <w:rsid w:val="0039025D"/>
    <w:rsid w:val="00392D11"/>
    <w:rsid w:val="00394129"/>
    <w:rsid w:val="003948AA"/>
    <w:rsid w:val="00394B9F"/>
    <w:rsid w:val="003A0115"/>
    <w:rsid w:val="003A37BE"/>
    <w:rsid w:val="003A4304"/>
    <w:rsid w:val="003A5334"/>
    <w:rsid w:val="003A77FD"/>
    <w:rsid w:val="003A7FFD"/>
    <w:rsid w:val="003B0BC3"/>
    <w:rsid w:val="003B3061"/>
    <w:rsid w:val="003B604A"/>
    <w:rsid w:val="003C311E"/>
    <w:rsid w:val="003C39C9"/>
    <w:rsid w:val="003C5C3B"/>
    <w:rsid w:val="003C7E54"/>
    <w:rsid w:val="003D5AA6"/>
    <w:rsid w:val="003E4012"/>
    <w:rsid w:val="003E5034"/>
    <w:rsid w:val="003F028B"/>
    <w:rsid w:val="003F08B9"/>
    <w:rsid w:val="003F3AFC"/>
    <w:rsid w:val="003F43E2"/>
    <w:rsid w:val="003F4FF8"/>
    <w:rsid w:val="003F6561"/>
    <w:rsid w:val="00400390"/>
    <w:rsid w:val="00400BCD"/>
    <w:rsid w:val="00400C83"/>
    <w:rsid w:val="00400F85"/>
    <w:rsid w:val="00401B6F"/>
    <w:rsid w:val="00405077"/>
    <w:rsid w:val="00406B53"/>
    <w:rsid w:val="0040737E"/>
    <w:rsid w:val="004079E7"/>
    <w:rsid w:val="0041023D"/>
    <w:rsid w:val="0041502F"/>
    <w:rsid w:val="00415DA2"/>
    <w:rsid w:val="0041739D"/>
    <w:rsid w:val="004176F2"/>
    <w:rsid w:val="004201B0"/>
    <w:rsid w:val="004234C0"/>
    <w:rsid w:val="0042681C"/>
    <w:rsid w:val="00426D8B"/>
    <w:rsid w:val="004273D0"/>
    <w:rsid w:val="00430745"/>
    <w:rsid w:val="0043216C"/>
    <w:rsid w:val="004353A8"/>
    <w:rsid w:val="004360C9"/>
    <w:rsid w:val="004377A4"/>
    <w:rsid w:val="00441359"/>
    <w:rsid w:val="004424C9"/>
    <w:rsid w:val="00442D77"/>
    <w:rsid w:val="004442BC"/>
    <w:rsid w:val="004478B6"/>
    <w:rsid w:val="00447EAC"/>
    <w:rsid w:val="00454440"/>
    <w:rsid w:val="00456CAE"/>
    <w:rsid w:val="00460644"/>
    <w:rsid w:val="004609F4"/>
    <w:rsid w:val="00464204"/>
    <w:rsid w:val="004652BD"/>
    <w:rsid w:val="00465799"/>
    <w:rsid w:val="00471E40"/>
    <w:rsid w:val="0047202C"/>
    <w:rsid w:val="004744F2"/>
    <w:rsid w:val="00474DD6"/>
    <w:rsid w:val="00475517"/>
    <w:rsid w:val="00480779"/>
    <w:rsid w:val="00482AC1"/>
    <w:rsid w:val="004841A5"/>
    <w:rsid w:val="004858E9"/>
    <w:rsid w:val="00485930"/>
    <w:rsid w:val="0048682E"/>
    <w:rsid w:val="00490126"/>
    <w:rsid w:val="00491399"/>
    <w:rsid w:val="004916CA"/>
    <w:rsid w:val="00495EA1"/>
    <w:rsid w:val="00496248"/>
    <w:rsid w:val="00496336"/>
    <w:rsid w:val="00496683"/>
    <w:rsid w:val="004A0D7C"/>
    <w:rsid w:val="004A1AAD"/>
    <w:rsid w:val="004A2F07"/>
    <w:rsid w:val="004A5D39"/>
    <w:rsid w:val="004A60A6"/>
    <w:rsid w:val="004A6420"/>
    <w:rsid w:val="004A7AB8"/>
    <w:rsid w:val="004A7FA2"/>
    <w:rsid w:val="004B0451"/>
    <w:rsid w:val="004B3E85"/>
    <w:rsid w:val="004B44A0"/>
    <w:rsid w:val="004B5F54"/>
    <w:rsid w:val="004B6B62"/>
    <w:rsid w:val="004B7150"/>
    <w:rsid w:val="004C1C62"/>
    <w:rsid w:val="004C2029"/>
    <w:rsid w:val="004C30BF"/>
    <w:rsid w:val="004C52FA"/>
    <w:rsid w:val="004C58C5"/>
    <w:rsid w:val="004C61D2"/>
    <w:rsid w:val="004C66E6"/>
    <w:rsid w:val="004C7527"/>
    <w:rsid w:val="004D2889"/>
    <w:rsid w:val="004D48AF"/>
    <w:rsid w:val="004D504F"/>
    <w:rsid w:val="004D5ACA"/>
    <w:rsid w:val="004D768B"/>
    <w:rsid w:val="004E0A54"/>
    <w:rsid w:val="004E251F"/>
    <w:rsid w:val="004E44F8"/>
    <w:rsid w:val="004F22E4"/>
    <w:rsid w:val="004F23F7"/>
    <w:rsid w:val="004F4FE6"/>
    <w:rsid w:val="004F5B75"/>
    <w:rsid w:val="004F7C9D"/>
    <w:rsid w:val="00500CF3"/>
    <w:rsid w:val="0050310B"/>
    <w:rsid w:val="005043DF"/>
    <w:rsid w:val="00505497"/>
    <w:rsid w:val="005104F8"/>
    <w:rsid w:val="00511D30"/>
    <w:rsid w:val="00513122"/>
    <w:rsid w:val="0051396B"/>
    <w:rsid w:val="0051420B"/>
    <w:rsid w:val="005161AC"/>
    <w:rsid w:val="00516378"/>
    <w:rsid w:val="005171E1"/>
    <w:rsid w:val="00520F75"/>
    <w:rsid w:val="005218F7"/>
    <w:rsid w:val="00523839"/>
    <w:rsid w:val="00527561"/>
    <w:rsid w:val="00527CB0"/>
    <w:rsid w:val="00531C76"/>
    <w:rsid w:val="005439AC"/>
    <w:rsid w:val="00550BD0"/>
    <w:rsid w:val="00551334"/>
    <w:rsid w:val="0055178D"/>
    <w:rsid w:val="00551814"/>
    <w:rsid w:val="0055278F"/>
    <w:rsid w:val="005552EA"/>
    <w:rsid w:val="0055573E"/>
    <w:rsid w:val="00560F53"/>
    <w:rsid w:val="00563349"/>
    <w:rsid w:val="00563ABA"/>
    <w:rsid w:val="005679EA"/>
    <w:rsid w:val="00570B39"/>
    <w:rsid w:val="00571188"/>
    <w:rsid w:val="00572801"/>
    <w:rsid w:val="0057463A"/>
    <w:rsid w:val="005763FA"/>
    <w:rsid w:val="005770B4"/>
    <w:rsid w:val="00577A8C"/>
    <w:rsid w:val="00577DC3"/>
    <w:rsid w:val="005817C5"/>
    <w:rsid w:val="00583BCC"/>
    <w:rsid w:val="00584CC3"/>
    <w:rsid w:val="00587069"/>
    <w:rsid w:val="00587F8F"/>
    <w:rsid w:val="005907E4"/>
    <w:rsid w:val="00591BB7"/>
    <w:rsid w:val="00591F37"/>
    <w:rsid w:val="0059247D"/>
    <w:rsid w:val="0059488D"/>
    <w:rsid w:val="00597C45"/>
    <w:rsid w:val="005A1EF7"/>
    <w:rsid w:val="005B0BE9"/>
    <w:rsid w:val="005B2141"/>
    <w:rsid w:val="005B3C60"/>
    <w:rsid w:val="005B41AB"/>
    <w:rsid w:val="005B44AD"/>
    <w:rsid w:val="005B5DC8"/>
    <w:rsid w:val="005C4589"/>
    <w:rsid w:val="005C4E4C"/>
    <w:rsid w:val="005C66C3"/>
    <w:rsid w:val="005C6D47"/>
    <w:rsid w:val="005D10AA"/>
    <w:rsid w:val="005D15BA"/>
    <w:rsid w:val="005D235C"/>
    <w:rsid w:val="005D2404"/>
    <w:rsid w:val="005E061B"/>
    <w:rsid w:val="005E0962"/>
    <w:rsid w:val="005E2A82"/>
    <w:rsid w:val="005F383A"/>
    <w:rsid w:val="005F7718"/>
    <w:rsid w:val="00600683"/>
    <w:rsid w:val="006021E0"/>
    <w:rsid w:val="006026CB"/>
    <w:rsid w:val="00603711"/>
    <w:rsid w:val="00610B92"/>
    <w:rsid w:val="006111EC"/>
    <w:rsid w:val="00611812"/>
    <w:rsid w:val="00614A86"/>
    <w:rsid w:val="00614E66"/>
    <w:rsid w:val="0061755F"/>
    <w:rsid w:val="0061761B"/>
    <w:rsid w:val="00620096"/>
    <w:rsid w:val="00620C15"/>
    <w:rsid w:val="006243B3"/>
    <w:rsid w:val="00626EBC"/>
    <w:rsid w:val="00630D56"/>
    <w:rsid w:val="006320F5"/>
    <w:rsid w:val="00632CF8"/>
    <w:rsid w:val="00634EDF"/>
    <w:rsid w:val="00635019"/>
    <w:rsid w:val="006368B5"/>
    <w:rsid w:val="006369D4"/>
    <w:rsid w:val="006375DC"/>
    <w:rsid w:val="00637D62"/>
    <w:rsid w:val="00641CD2"/>
    <w:rsid w:val="00642DFD"/>
    <w:rsid w:val="006445C7"/>
    <w:rsid w:val="006460CB"/>
    <w:rsid w:val="00650F48"/>
    <w:rsid w:val="006516A5"/>
    <w:rsid w:val="00652106"/>
    <w:rsid w:val="00652A95"/>
    <w:rsid w:val="0065514F"/>
    <w:rsid w:val="00656451"/>
    <w:rsid w:val="00656CC6"/>
    <w:rsid w:val="00656F8C"/>
    <w:rsid w:val="006600D6"/>
    <w:rsid w:val="006617FA"/>
    <w:rsid w:val="00661E3D"/>
    <w:rsid w:val="00661EF2"/>
    <w:rsid w:val="00665D3B"/>
    <w:rsid w:val="0066659C"/>
    <w:rsid w:val="00670BB4"/>
    <w:rsid w:val="00671899"/>
    <w:rsid w:val="00676011"/>
    <w:rsid w:val="00676928"/>
    <w:rsid w:val="0067717B"/>
    <w:rsid w:val="00681401"/>
    <w:rsid w:val="00681AC9"/>
    <w:rsid w:val="00682DE6"/>
    <w:rsid w:val="00685466"/>
    <w:rsid w:val="006855DF"/>
    <w:rsid w:val="00685607"/>
    <w:rsid w:val="00686409"/>
    <w:rsid w:val="00686486"/>
    <w:rsid w:val="00686CDF"/>
    <w:rsid w:val="006872A6"/>
    <w:rsid w:val="00687DCC"/>
    <w:rsid w:val="0069185B"/>
    <w:rsid w:val="00691B5F"/>
    <w:rsid w:val="00692BB7"/>
    <w:rsid w:val="00696180"/>
    <w:rsid w:val="006972EB"/>
    <w:rsid w:val="00697CE0"/>
    <w:rsid w:val="006A0D06"/>
    <w:rsid w:val="006A0E58"/>
    <w:rsid w:val="006A32F7"/>
    <w:rsid w:val="006A5493"/>
    <w:rsid w:val="006A559F"/>
    <w:rsid w:val="006A5809"/>
    <w:rsid w:val="006A5C08"/>
    <w:rsid w:val="006A7657"/>
    <w:rsid w:val="006B065C"/>
    <w:rsid w:val="006B2F53"/>
    <w:rsid w:val="006B36F8"/>
    <w:rsid w:val="006B3ACF"/>
    <w:rsid w:val="006B611C"/>
    <w:rsid w:val="006B788C"/>
    <w:rsid w:val="006C2842"/>
    <w:rsid w:val="006C331B"/>
    <w:rsid w:val="006C4E08"/>
    <w:rsid w:val="006C5B08"/>
    <w:rsid w:val="006D0496"/>
    <w:rsid w:val="006D0C04"/>
    <w:rsid w:val="006D31A6"/>
    <w:rsid w:val="006D38B1"/>
    <w:rsid w:val="006D4614"/>
    <w:rsid w:val="006D5B5A"/>
    <w:rsid w:val="006E0107"/>
    <w:rsid w:val="006E15D6"/>
    <w:rsid w:val="006E3472"/>
    <w:rsid w:val="006E5A9C"/>
    <w:rsid w:val="006E5A9D"/>
    <w:rsid w:val="006E6B08"/>
    <w:rsid w:val="006E7F00"/>
    <w:rsid w:val="006F1389"/>
    <w:rsid w:val="006F1538"/>
    <w:rsid w:val="006F1F02"/>
    <w:rsid w:val="006F314B"/>
    <w:rsid w:val="006F3248"/>
    <w:rsid w:val="006F346C"/>
    <w:rsid w:val="006F6451"/>
    <w:rsid w:val="00703181"/>
    <w:rsid w:val="00703950"/>
    <w:rsid w:val="00704287"/>
    <w:rsid w:val="00704B98"/>
    <w:rsid w:val="00705513"/>
    <w:rsid w:val="00705CF0"/>
    <w:rsid w:val="007060F9"/>
    <w:rsid w:val="0070622E"/>
    <w:rsid w:val="00707756"/>
    <w:rsid w:val="0071479A"/>
    <w:rsid w:val="00716AB7"/>
    <w:rsid w:val="00716E7F"/>
    <w:rsid w:val="00717932"/>
    <w:rsid w:val="00722529"/>
    <w:rsid w:val="00724296"/>
    <w:rsid w:val="00727C13"/>
    <w:rsid w:val="0073048C"/>
    <w:rsid w:val="00733F86"/>
    <w:rsid w:val="0073613E"/>
    <w:rsid w:val="00736849"/>
    <w:rsid w:val="00737787"/>
    <w:rsid w:val="007429DE"/>
    <w:rsid w:val="007431EC"/>
    <w:rsid w:val="00743B4A"/>
    <w:rsid w:val="00747DAC"/>
    <w:rsid w:val="0076456D"/>
    <w:rsid w:val="00766EBA"/>
    <w:rsid w:val="00770735"/>
    <w:rsid w:val="00773DE5"/>
    <w:rsid w:val="00776D41"/>
    <w:rsid w:val="00781AA4"/>
    <w:rsid w:val="00781F33"/>
    <w:rsid w:val="00782321"/>
    <w:rsid w:val="007826D7"/>
    <w:rsid w:val="00785EBC"/>
    <w:rsid w:val="00786659"/>
    <w:rsid w:val="007877A7"/>
    <w:rsid w:val="0079019E"/>
    <w:rsid w:val="00790B51"/>
    <w:rsid w:val="0079453C"/>
    <w:rsid w:val="007956D6"/>
    <w:rsid w:val="00796992"/>
    <w:rsid w:val="007A0419"/>
    <w:rsid w:val="007A1B09"/>
    <w:rsid w:val="007A4FD5"/>
    <w:rsid w:val="007A5060"/>
    <w:rsid w:val="007B5A5A"/>
    <w:rsid w:val="007C188A"/>
    <w:rsid w:val="007C1922"/>
    <w:rsid w:val="007C3B76"/>
    <w:rsid w:val="007C58C2"/>
    <w:rsid w:val="007D295F"/>
    <w:rsid w:val="007D4A75"/>
    <w:rsid w:val="007D62EB"/>
    <w:rsid w:val="007D6AD9"/>
    <w:rsid w:val="007E2825"/>
    <w:rsid w:val="007E39C0"/>
    <w:rsid w:val="007E5164"/>
    <w:rsid w:val="007E526C"/>
    <w:rsid w:val="007E643A"/>
    <w:rsid w:val="007E6562"/>
    <w:rsid w:val="007E6B1A"/>
    <w:rsid w:val="007E7D24"/>
    <w:rsid w:val="007F2D0D"/>
    <w:rsid w:val="007F40A3"/>
    <w:rsid w:val="007F4D91"/>
    <w:rsid w:val="007F6FDF"/>
    <w:rsid w:val="007F7D9D"/>
    <w:rsid w:val="00800F46"/>
    <w:rsid w:val="008024BF"/>
    <w:rsid w:val="00802A71"/>
    <w:rsid w:val="00806770"/>
    <w:rsid w:val="00810597"/>
    <w:rsid w:val="00812D10"/>
    <w:rsid w:val="00813982"/>
    <w:rsid w:val="00813997"/>
    <w:rsid w:val="008139A5"/>
    <w:rsid w:val="0081519B"/>
    <w:rsid w:val="00816174"/>
    <w:rsid w:val="00817B30"/>
    <w:rsid w:val="00823BB4"/>
    <w:rsid w:val="00831E68"/>
    <w:rsid w:val="00832095"/>
    <w:rsid w:val="00833BA5"/>
    <w:rsid w:val="00834510"/>
    <w:rsid w:val="00840358"/>
    <w:rsid w:val="00843105"/>
    <w:rsid w:val="008451F5"/>
    <w:rsid w:val="00845217"/>
    <w:rsid w:val="00847C39"/>
    <w:rsid w:val="0085400E"/>
    <w:rsid w:val="008561F9"/>
    <w:rsid w:val="00856684"/>
    <w:rsid w:val="00856F29"/>
    <w:rsid w:val="0086046A"/>
    <w:rsid w:val="008644D4"/>
    <w:rsid w:val="008674C7"/>
    <w:rsid w:val="00872243"/>
    <w:rsid w:val="00872635"/>
    <w:rsid w:val="008730D4"/>
    <w:rsid w:val="00873758"/>
    <w:rsid w:val="00873F15"/>
    <w:rsid w:val="008803DC"/>
    <w:rsid w:val="00881BB3"/>
    <w:rsid w:val="008834D4"/>
    <w:rsid w:val="008850CF"/>
    <w:rsid w:val="00886FE7"/>
    <w:rsid w:val="00890294"/>
    <w:rsid w:val="00891433"/>
    <w:rsid w:val="00891517"/>
    <w:rsid w:val="00891714"/>
    <w:rsid w:val="0089392F"/>
    <w:rsid w:val="008968F0"/>
    <w:rsid w:val="008A0761"/>
    <w:rsid w:val="008A5DC6"/>
    <w:rsid w:val="008A6A1F"/>
    <w:rsid w:val="008A72FA"/>
    <w:rsid w:val="008A76F1"/>
    <w:rsid w:val="008B39E1"/>
    <w:rsid w:val="008B7FC5"/>
    <w:rsid w:val="008C53A9"/>
    <w:rsid w:val="008C5A8A"/>
    <w:rsid w:val="008C6253"/>
    <w:rsid w:val="008C67A0"/>
    <w:rsid w:val="008C6F45"/>
    <w:rsid w:val="008C76C7"/>
    <w:rsid w:val="008D38CA"/>
    <w:rsid w:val="008D410C"/>
    <w:rsid w:val="008D6811"/>
    <w:rsid w:val="008D7990"/>
    <w:rsid w:val="008E0EEE"/>
    <w:rsid w:val="008E195D"/>
    <w:rsid w:val="008E3769"/>
    <w:rsid w:val="008E3ACC"/>
    <w:rsid w:val="008E3ECB"/>
    <w:rsid w:val="008E5008"/>
    <w:rsid w:val="008E668E"/>
    <w:rsid w:val="008F087D"/>
    <w:rsid w:val="008F550F"/>
    <w:rsid w:val="008F7564"/>
    <w:rsid w:val="00900663"/>
    <w:rsid w:val="00903F96"/>
    <w:rsid w:val="009056AA"/>
    <w:rsid w:val="00912B88"/>
    <w:rsid w:val="00914412"/>
    <w:rsid w:val="00915051"/>
    <w:rsid w:val="00915C4F"/>
    <w:rsid w:val="009160BC"/>
    <w:rsid w:val="009174FA"/>
    <w:rsid w:val="00921B75"/>
    <w:rsid w:val="00923222"/>
    <w:rsid w:val="00927513"/>
    <w:rsid w:val="009310CB"/>
    <w:rsid w:val="00934FCA"/>
    <w:rsid w:val="00936381"/>
    <w:rsid w:val="009373A3"/>
    <w:rsid w:val="009378F8"/>
    <w:rsid w:val="009405B4"/>
    <w:rsid w:val="00944277"/>
    <w:rsid w:val="0094437F"/>
    <w:rsid w:val="00944F0A"/>
    <w:rsid w:val="00947A07"/>
    <w:rsid w:val="00951332"/>
    <w:rsid w:val="009521C8"/>
    <w:rsid w:val="00952E7F"/>
    <w:rsid w:val="00954777"/>
    <w:rsid w:val="00960B3C"/>
    <w:rsid w:val="00960CB7"/>
    <w:rsid w:val="00963D58"/>
    <w:rsid w:val="009642F3"/>
    <w:rsid w:val="00964BEB"/>
    <w:rsid w:val="009651A9"/>
    <w:rsid w:val="00973086"/>
    <w:rsid w:val="00973C4B"/>
    <w:rsid w:val="00976459"/>
    <w:rsid w:val="0097760A"/>
    <w:rsid w:val="00977A83"/>
    <w:rsid w:val="0098155F"/>
    <w:rsid w:val="0098334E"/>
    <w:rsid w:val="00983744"/>
    <w:rsid w:val="00987B23"/>
    <w:rsid w:val="00987C53"/>
    <w:rsid w:val="009907C4"/>
    <w:rsid w:val="0099127B"/>
    <w:rsid w:val="00992443"/>
    <w:rsid w:val="00993553"/>
    <w:rsid w:val="009971E7"/>
    <w:rsid w:val="009A06A2"/>
    <w:rsid w:val="009A11FE"/>
    <w:rsid w:val="009A3113"/>
    <w:rsid w:val="009A57D4"/>
    <w:rsid w:val="009A5B36"/>
    <w:rsid w:val="009A7D9F"/>
    <w:rsid w:val="009B244F"/>
    <w:rsid w:val="009B2494"/>
    <w:rsid w:val="009B363A"/>
    <w:rsid w:val="009B3B14"/>
    <w:rsid w:val="009B5151"/>
    <w:rsid w:val="009C09CC"/>
    <w:rsid w:val="009C13FB"/>
    <w:rsid w:val="009C297F"/>
    <w:rsid w:val="009C2CA8"/>
    <w:rsid w:val="009C3A40"/>
    <w:rsid w:val="009D0269"/>
    <w:rsid w:val="009D0D77"/>
    <w:rsid w:val="009D2291"/>
    <w:rsid w:val="009D2807"/>
    <w:rsid w:val="009D428C"/>
    <w:rsid w:val="009D7D2D"/>
    <w:rsid w:val="009E1687"/>
    <w:rsid w:val="009E38EA"/>
    <w:rsid w:val="009E3A53"/>
    <w:rsid w:val="009E64BB"/>
    <w:rsid w:val="009E7123"/>
    <w:rsid w:val="009E7DFA"/>
    <w:rsid w:val="009F03E3"/>
    <w:rsid w:val="009F0D43"/>
    <w:rsid w:val="009F51A3"/>
    <w:rsid w:val="009F5A5A"/>
    <w:rsid w:val="009F6F0B"/>
    <w:rsid w:val="00A0021D"/>
    <w:rsid w:val="00A02330"/>
    <w:rsid w:val="00A02364"/>
    <w:rsid w:val="00A04059"/>
    <w:rsid w:val="00A06D45"/>
    <w:rsid w:val="00A07C6F"/>
    <w:rsid w:val="00A104F2"/>
    <w:rsid w:val="00A1074E"/>
    <w:rsid w:val="00A126D8"/>
    <w:rsid w:val="00A14184"/>
    <w:rsid w:val="00A14CA2"/>
    <w:rsid w:val="00A15284"/>
    <w:rsid w:val="00A173F9"/>
    <w:rsid w:val="00A20339"/>
    <w:rsid w:val="00A20962"/>
    <w:rsid w:val="00A21F2B"/>
    <w:rsid w:val="00A22BC8"/>
    <w:rsid w:val="00A22E16"/>
    <w:rsid w:val="00A25C94"/>
    <w:rsid w:val="00A2666F"/>
    <w:rsid w:val="00A328AC"/>
    <w:rsid w:val="00A334D6"/>
    <w:rsid w:val="00A34B7A"/>
    <w:rsid w:val="00A36FCA"/>
    <w:rsid w:val="00A3715F"/>
    <w:rsid w:val="00A40130"/>
    <w:rsid w:val="00A417FE"/>
    <w:rsid w:val="00A430C7"/>
    <w:rsid w:val="00A442DB"/>
    <w:rsid w:val="00A44618"/>
    <w:rsid w:val="00A44AA2"/>
    <w:rsid w:val="00A45202"/>
    <w:rsid w:val="00A4601D"/>
    <w:rsid w:val="00A467FC"/>
    <w:rsid w:val="00A50246"/>
    <w:rsid w:val="00A516C8"/>
    <w:rsid w:val="00A52C9A"/>
    <w:rsid w:val="00A56BD6"/>
    <w:rsid w:val="00A57ED4"/>
    <w:rsid w:val="00A61295"/>
    <w:rsid w:val="00A6346C"/>
    <w:rsid w:val="00A642B9"/>
    <w:rsid w:val="00A6479F"/>
    <w:rsid w:val="00A7106E"/>
    <w:rsid w:val="00A72A69"/>
    <w:rsid w:val="00A737C5"/>
    <w:rsid w:val="00A77D25"/>
    <w:rsid w:val="00A820E4"/>
    <w:rsid w:val="00A82DB2"/>
    <w:rsid w:val="00A8566F"/>
    <w:rsid w:val="00A86D72"/>
    <w:rsid w:val="00A904A0"/>
    <w:rsid w:val="00A9380E"/>
    <w:rsid w:val="00A93EEF"/>
    <w:rsid w:val="00A96EED"/>
    <w:rsid w:val="00A97485"/>
    <w:rsid w:val="00AA10D1"/>
    <w:rsid w:val="00AA1956"/>
    <w:rsid w:val="00AA2565"/>
    <w:rsid w:val="00AA7252"/>
    <w:rsid w:val="00AB1827"/>
    <w:rsid w:val="00AB3325"/>
    <w:rsid w:val="00AB51F7"/>
    <w:rsid w:val="00AB69ED"/>
    <w:rsid w:val="00AC36B2"/>
    <w:rsid w:val="00AC5B3C"/>
    <w:rsid w:val="00AC64E4"/>
    <w:rsid w:val="00AD338A"/>
    <w:rsid w:val="00AD3593"/>
    <w:rsid w:val="00AD5049"/>
    <w:rsid w:val="00AD79B9"/>
    <w:rsid w:val="00AD7A15"/>
    <w:rsid w:val="00AD7DEC"/>
    <w:rsid w:val="00AE208F"/>
    <w:rsid w:val="00AE3280"/>
    <w:rsid w:val="00AE4625"/>
    <w:rsid w:val="00AE6108"/>
    <w:rsid w:val="00AE6F12"/>
    <w:rsid w:val="00AE7C5B"/>
    <w:rsid w:val="00AF1031"/>
    <w:rsid w:val="00AF2493"/>
    <w:rsid w:val="00AF35F2"/>
    <w:rsid w:val="00AF3CD7"/>
    <w:rsid w:val="00AF434C"/>
    <w:rsid w:val="00AF7BB2"/>
    <w:rsid w:val="00B07886"/>
    <w:rsid w:val="00B12034"/>
    <w:rsid w:val="00B1557E"/>
    <w:rsid w:val="00B208BC"/>
    <w:rsid w:val="00B2129B"/>
    <w:rsid w:val="00B232AE"/>
    <w:rsid w:val="00B232B0"/>
    <w:rsid w:val="00B27F97"/>
    <w:rsid w:val="00B30083"/>
    <w:rsid w:val="00B31A4D"/>
    <w:rsid w:val="00B329FE"/>
    <w:rsid w:val="00B37547"/>
    <w:rsid w:val="00B37B4F"/>
    <w:rsid w:val="00B402FC"/>
    <w:rsid w:val="00B40DCF"/>
    <w:rsid w:val="00B45C62"/>
    <w:rsid w:val="00B5073D"/>
    <w:rsid w:val="00B551F6"/>
    <w:rsid w:val="00B55B0F"/>
    <w:rsid w:val="00B60238"/>
    <w:rsid w:val="00B609E7"/>
    <w:rsid w:val="00B63CD6"/>
    <w:rsid w:val="00B63E64"/>
    <w:rsid w:val="00B6499D"/>
    <w:rsid w:val="00B65F0C"/>
    <w:rsid w:val="00B66083"/>
    <w:rsid w:val="00B66486"/>
    <w:rsid w:val="00B66E74"/>
    <w:rsid w:val="00B7576D"/>
    <w:rsid w:val="00B8163C"/>
    <w:rsid w:val="00B81D44"/>
    <w:rsid w:val="00B83A22"/>
    <w:rsid w:val="00B9001F"/>
    <w:rsid w:val="00B92595"/>
    <w:rsid w:val="00B957A8"/>
    <w:rsid w:val="00BA4CED"/>
    <w:rsid w:val="00BA4F61"/>
    <w:rsid w:val="00BB1AA5"/>
    <w:rsid w:val="00BB4CAF"/>
    <w:rsid w:val="00BB5186"/>
    <w:rsid w:val="00BB7418"/>
    <w:rsid w:val="00BC00E8"/>
    <w:rsid w:val="00BC041F"/>
    <w:rsid w:val="00BC1C89"/>
    <w:rsid w:val="00BC3961"/>
    <w:rsid w:val="00BC40A8"/>
    <w:rsid w:val="00BC6020"/>
    <w:rsid w:val="00BC7043"/>
    <w:rsid w:val="00BD0864"/>
    <w:rsid w:val="00BD181D"/>
    <w:rsid w:val="00BD5502"/>
    <w:rsid w:val="00BD6380"/>
    <w:rsid w:val="00BD7E51"/>
    <w:rsid w:val="00BE4457"/>
    <w:rsid w:val="00BE4D4C"/>
    <w:rsid w:val="00BE5B36"/>
    <w:rsid w:val="00BE7403"/>
    <w:rsid w:val="00BF0803"/>
    <w:rsid w:val="00BF271A"/>
    <w:rsid w:val="00BF32B1"/>
    <w:rsid w:val="00BF7599"/>
    <w:rsid w:val="00C128D9"/>
    <w:rsid w:val="00C147A8"/>
    <w:rsid w:val="00C217BC"/>
    <w:rsid w:val="00C2314B"/>
    <w:rsid w:val="00C24E45"/>
    <w:rsid w:val="00C25A2E"/>
    <w:rsid w:val="00C329C5"/>
    <w:rsid w:val="00C329DD"/>
    <w:rsid w:val="00C330A7"/>
    <w:rsid w:val="00C3523A"/>
    <w:rsid w:val="00C3709D"/>
    <w:rsid w:val="00C37E6B"/>
    <w:rsid w:val="00C4041F"/>
    <w:rsid w:val="00C4048B"/>
    <w:rsid w:val="00C50FE9"/>
    <w:rsid w:val="00C51909"/>
    <w:rsid w:val="00C53C12"/>
    <w:rsid w:val="00C552B9"/>
    <w:rsid w:val="00C565C1"/>
    <w:rsid w:val="00C57797"/>
    <w:rsid w:val="00C63470"/>
    <w:rsid w:val="00C656BE"/>
    <w:rsid w:val="00C7249A"/>
    <w:rsid w:val="00C739B6"/>
    <w:rsid w:val="00C73F87"/>
    <w:rsid w:val="00C765C7"/>
    <w:rsid w:val="00C8089D"/>
    <w:rsid w:val="00C8112B"/>
    <w:rsid w:val="00C827A7"/>
    <w:rsid w:val="00C82D49"/>
    <w:rsid w:val="00C841C2"/>
    <w:rsid w:val="00C8492F"/>
    <w:rsid w:val="00C872D7"/>
    <w:rsid w:val="00C93C3D"/>
    <w:rsid w:val="00C979A0"/>
    <w:rsid w:val="00CA2C94"/>
    <w:rsid w:val="00CA2EEB"/>
    <w:rsid w:val="00CA3B88"/>
    <w:rsid w:val="00CA48B3"/>
    <w:rsid w:val="00CA4A73"/>
    <w:rsid w:val="00CA73F3"/>
    <w:rsid w:val="00CB2A7A"/>
    <w:rsid w:val="00CB5782"/>
    <w:rsid w:val="00CB59D6"/>
    <w:rsid w:val="00CB6E57"/>
    <w:rsid w:val="00CC03DC"/>
    <w:rsid w:val="00CC09A2"/>
    <w:rsid w:val="00CC31EB"/>
    <w:rsid w:val="00CC3F67"/>
    <w:rsid w:val="00CC4045"/>
    <w:rsid w:val="00CC7D38"/>
    <w:rsid w:val="00CD078A"/>
    <w:rsid w:val="00CD079B"/>
    <w:rsid w:val="00CD31B1"/>
    <w:rsid w:val="00CD3325"/>
    <w:rsid w:val="00CD33EC"/>
    <w:rsid w:val="00CD5680"/>
    <w:rsid w:val="00CD5707"/>
    <w:rsid w:val="00CE0291"/>
    <w:rsid w:val="00CE256C"/>
    <w:rsid w:val="00CE4D2D"/>
    <w:rsid w:val="00CE596E"/>
    <w:rsid w:val="00CE5FDD"/>
    <w:rsid w:val="00CE647B"/>
    <w:rsid w:val="00CE68D5"/>
    <w:rsid w:val="00CE7EC5"/>
    <w:rsid w:val="00CF1911"/>
    <w:rsid w:val="00CF32F9"/>
    <w:rsid w:val="00CF7E68"/>
    <w:rsid w:val="00D00F0E"/>
    <w:rsid w:val="00D0350F"/>
    <w:rsid w:val="00D078EA"/>
    <w:rsid w:val="00D16B1E"/>
    <w:rsid w:val="00D22834"/>
    <w:rsid w:val="00D265D3"/>
    <w:rsid w:val="00D33754"/>
    <w:rsid w:val="00D3572F"/>
    <w:rsid w:val="00D3718B"/>
    <w:rsid w:val="00D42218"/>
    <w:rsid w:val="00D44577"/>
    <w:rsid w:val="00D456D8"/>
    <w:rsid w:val="00D46142"/>
    <w:rsid w:val="00D46384"/>
    <w:rsid w:val="00D474F3"/>
    <w:rsid w:val="00D50516"/>
    <w:rsid w:val="00D51D6A"/>
    <w:rsid w:val="00D51F90"/>
    <w:rsid w:val="00D5654A"/>
    <w:rsid w:val="00D6062A"/>
    <w:rsid w:val="00D62AC2"/>
    <w:rsid w:val="00D6315C"/>
    <w:rsid w:val="00D63387"/>
    <w:rsid w:val="00D676A2"/>
    <w:rsid w:val="00D713ED"/>
    <w:rsid w:val="00D749FF"/>
    <w:rsid w:val="00D800C1"/>
    <w:rsid w:val="00D820F6"/>
    <w:rsid w:val="00D82E6E"/>
    <w:rsid w:val="00D8437A"/>
    <w:rsid w:val="00D84EFA"/>
    <w:rsid w:val="00D866D6"/>
    <w:rsid w:val="00D87506"/>
    <w:rsid w:val="00D90C26"/>
    <w:rsid w:val="00D91312"/>
    <w:rsid w:val="00D93390"/>
    <w:rsid w:val="00D947E5"/>
    <w:rsid w:val="00D94D60"/>
    <w:rsid w:val="00D967C5"/>
    <w:rsid w:val="00D97583"/>
    <w:rsid w:val="00DB0543"/>
    <w:rsid w:val="00DB0B3A"/>
    <w:rsid w:val="00DB2E5B"/>
    <w:rsid w:val="00DC1E69"/>
    <w:rsid w:val="00DC3BFB"/>
    <w:rsid w:val="00DC632A"/>
    <w:rsid w:val="00DC6591"/>
    <w:rsid w:val="00DC67A6"/>
    <w:rsid w:val="00DC7A99"/>
    <w:rsid w:val="00DD33BF"/>
    <w:rsid w:val="00DD50D7"/>
    <w:rsid w:val="00DD526B"/>
    <w:rsid w:val="00DE35AA"/>
    <w:rsid w:val="00DE46DF"/>
    <w:rsid w:val="00DE53CC"/>
    <w:rsid w:val="00DE574E"/>
    <w:rsid w:val="00DE5AD9"/>
    <w:rsid w:val="00DF25A4"/>
    <w:rsid w:val="00DF5F14"/>
    <w:rsid w:val="00DF75EE"/>
    <w:rsid w:val="00E009A8"/>
    <w:rsid w:val="00E009EC"/>
    <w:rsid w:val="00E06719"/>
    <w:rsid w:val="00E07B1E"/>
    <w:rsid w:val="00E15347"/>
    <w:rsid w:val="00E15C34"/>
    <w:rsid w:val="00E1790F"/>
    <w:rsid w:val="00E20528"/>
    <w:rsid w:val="00E222CD"/>
    <w:rsid w:val="00E22F4F"/>
    <w:rsid w:val="00E2570E"/>
    <w:rsid w:val="00E25DF7"/>
    <w:rsid w:val="00E30818"/>
    <w:rsid w:val="00E30BE7"/>
    <w:rsid w:val="00E30D57"/>
    <w:rsid w:val="00E3118F"/>
    <w:rsid w:val="00E31FDE"/>
    <w:rsid w:val="00E32400"/>
    <w:rsid w:val="00E4002E"/>
    <w:rsid w:val="00E4200C"/>
    <w:rsid w:val="00E468B6"/>
    <w:rsid w:val="00E476FB"/>
    <w:rsid w:val="00E504A3"/>
    <w:rsid w:val="00E5053F"/>
    <w:rsid w:val="00E51316"/>
    <w:rsid w:val="00E54C48"/>
    <w:rsid w:val="00E565B6"/>
    <w:rsid w:val="00E56B97"/>
    <w:rsid w:val="00E575EC"/>
    <w:rsid w:val="00E62192"/>
    <w:rsid w:val="00E634D7"/>
    <w:rsid w:val="00E672EA"/>
    <w:rsid w:val="00E71185"/>
    <w:rsid w:val="00E73B0C"/>
    <w:rsid w:val="00E76637"/>
    <w:rsid w:val="00E8197C"/>
    <w:rsid w:val="00E837E5"/>
    <w:rsid w:val="00E83FC0"/>
    <w:rsid w:val="00E84434"/>
    <w:rsid w:val="00E846B6"/>
    <w:rsid w:val="00E84C38"/>
    <w:rsid w:val="00E84E1D"/>
    <w:rsid w:val="00E91376"/>
    <w:rsid w:val="00E93D41"/>
    <w:rsid w:val="00E94DA9"/>
    <w:rsid w:val="00E960E9"/>
    <w:rsid w:val="00E97833"/>
    <w:rsid w:val="00E97905"/>
    <w:rsid w:val="00EA0604"/>
    <w:rsid w:val="00EA1E38"/>
    <w:rsid w:val="00EA61A7"/>
    <w:rsid w:val="00EB1D8F"/>
    <w:rsid w:val="00EB2F97"/>
    <w:rsid w:val="00EB519E"/>
    <w:rsid w:val="00EB5EB7"/>
    <w:rsid w:val="00EB7022"/>
    <w:rsid w:val="00EB7611"/>
    <w:rsid w:val="00EC137E"/>
    <w:rsid w:val="00EC47DF"/>
    <w:rsid w:val="00EC5376"/>
    <w:rsid w:val="00EC707A"/>
    <w:rsid w:val="00ED0EA1"/>
    <w:rsid w:val="00ED16A7"/>
    <w:rsid w:val="00ED1918"/>
    <w:rsid w:val="00ED19C2"/>
    <w:rsid w:val="00ED1B97"/>
    <w:rsid w:val="00ED1CE2"/>
    <w:rsid w:val="00ED2348"/>
    <w:rsid w:val="00ED2D45"/>
    <w:rsid w:val="00ED32DB"/>
    <w:rsid w:val="00ED3F2D"/>
    <w:rsid w:val="00ED71D3"/>
    <w:rsid w:val="00EE0479"/>
    <w:rsid w:val="00EE189D"/>
    <w:rsid w:val="00EE2538"/>
    <w:rsid w:val="00EE7DC5"/>
    <w:rsid w:val="00EF6700"/>
    <w:rsid w:val="00F00A8B"/>
    <w:rsid w:val="00F04780"/>
    <w:rsid w:val="00F04AF4"/>
    <w:rsid w:val="00F05B16"/>
    <w:rsid w:val="00F05E12"/>
    <w:rsid w:val="00F06BA6"/>
    <w:rsid w:val="00F102A1"/>
    <w:rsid w:val="00F103A7"/>
    <w:rsid w:val="00F11AD2"/>
    <w:rsid w:val="00F13E24"/>
    <w:rsid w:val="00F14C63"/>
    <w:rsid w:val="00F15503"/>
    <w:rsid w:val="00F15CA5"/>
    <w:rsid w:val="00F165BA"/>
    <w:rsid w:val="00F21113"/>
    <w:rsid w:val="00F21190"/>
    <w:rsid w:val="00F2662B"/>
    <w:rsid w:val="00F31ECC"/>
    <w:rsid w:val="00F327A9"/>
    <w:rsid w:val="00F354D4"/>
    <w:rsid w:val="00F37EC5"/>
    <w:rsid w:val="00F41991"/>
    <w:rsid w:val="00F41E7E"/>
    <w:rsid w:val="00F4243A"/>
    <w:rsid w:val="00F43D4E"/>
    <w:rsid w:val="00F4544F"/>
    <w:rsid w:val="00F45D99"/>
    <w:rsid w:val="00F46908"/>
    <w:rsid w:val="00F4776A"/>
    <w:rsid w:val="00F521F2"/>
    <w:rsid w:val="00F54522"/>
    <w:rsid w:val="00F5714D"/>
    <w:rsid w:val="00F621D6"/>
    <w:rsid w:val="00F62FCB"/>
    <w:rsid w:val="00F654C1"/>
    <w:rsid w:val="00F70346"/>
    <w:rsid w:val="00F73EAA"/>
    <w:rsid w:val="00F74AA2"/>
    <w:rsid w:val="00F75F69"/>
    <w:rsid w:val="00F76ABC"/>
    <w:rsid w:val="00F778C7"/>
    <w:rsid w:val="00F809BE"/>
    <w:rsid w:val="00F830AE"/>
    <w:rsid w:val="00F83D5C"/>
    <w:rsid w:val="00F8611C"/>
    <w:rsid w:val="00F86120"/>
    <w:rsid w:val="00F86363"/>
    <w:rsid w:val="00F865C2"/>
    <w:rsid w:val="00F87388"/>
    <w:rsid w:val="00F91D9D"/>
    <w:rsid w:val="00F953EC"/>
    <w:rsid w:val="00FA0808"/>
    <w:rsid w:val="00FA09EA"/>
    <w:rsid w:val="00FA0E6E"/>
    <w:rsid w:val="00FA1E70"/>
    <w:rsid w:val="00FA2B7F"/>
    <w:rsid w:val="00FA2FA3"/>
    <w:rsid w:val="00FA40D7"/>
    <w:rsid w:val="00FB4DD3"/>
    <w:rsid w:val="00FB6A55"/>
    <w:rsid w:val="00FB7CB1"/>
    <w:rsid w:val="00FC08B1"/>
    <w:rsid w:val="00FC3168"/>
    <w:rsid w:val="00FC3B18"/>
    <w:rsid w:val="00FC49D8"/>
    <w:rsid w:val="00FC4C30"/>
    <w:rsid w:val="00FD5AC0"/>
    <w:rsid w:val="00FE1458"/>
    <w:rsid w:val="00FE3BD2"/>
    <w:rsid w:val="00FE3CB1"/>
    <w:rsid w:val="00FE6352"/>
    <w:rsid w:val="00FE668A"/>
    <w:rsid w:val="00FE7DA4"/>
    <w:rsid w:val="00FF103F"/>
    <w:rsid w:val="00FF33E1"/>
    <w:rsid w:val="00FF52A0"/>
    <w:rsid w:val="00FF6DD8"/>
    <w:rsid w:val="00FF710A"/>
    <w:rsid w:val="00FF738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0647B8"/>
  <w15:chartTrackingRefBased/>
  <w15:docId w15:val="{FEC501C5-54BA-4A8D-ABCF-71481239F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3ECB"/>
    <w:rPr>
      <w:color w:val="1B1F18"/>
    </w:rPr>
  </w:style>
  <w:style w:type="paragraph" w:styleId="Heading1">
    <w:name w:val="heading 1"/>
    <w:basedOn w:val="Normal"/>
    <w:next w:val="Normal"/>
    <w:link w:val="Heading1Char"/>
    <w:uiPriority w:val="9"/>
    <w:qFormat/>
    <w:rsid w:val="00B92595"/>
    <w:pPr>
      <w:keepNext/>
      <w:keepLines/>
      <w:spacing w:before="240" w:after="0"/>
      <w:outlineLvl w:val="0"/>
    </w:pPr>
    <w:rPr>
      <w:rFonts w:asciiTheme="majorHAnsi" w:eastAsiaTheme="majorEastAsia" w:hAnsiTheme="majorHAnsi" w:cstheme="majorBidi"/>
      <w:color w:val="319BA2" w:themeColor="accent1" w:themeShade="BF"/>
      <w:sz w:val="32"/>
      <w:szCs w:val="32"/>
    </w:rPr>
  </w:style>
  <w:style w:type="paragraph" w:styleId="Heading2">
    <w:name w:val="heading 2"/>
    <w:basedOn w:val="Normal"/>
    <w:next w:val="Normal"/>
    <w:link w:val="Heading2Char"/>
    <w:uiPriority w:val="9"/>
    <w:semiHidden/>
    <w:unhideWhenUsed/>
    <w:qFormat/>
    <w:rsid w:val="00B92595"/>
    <w:pPr>
      <w:keepNext/>
      <w:keepLines/>
      <w:spacing w:before="40" w:after="0"/>
      <w:outlineLvl w:val="1"/>
    </w:pPr>
    <w:rPr>
      <w:rFonts w:asciiTheme="majorHAnsi" w:eastAsiaTheme="majorEastAsia" w:hAnsiTheme="majorHAnsi" w:cstheme="majorBidi"/>
      <w:color w:val="319BA2"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ulletsCar">
    <w:name w:val="Bullets Car"/>
    <w:basedOn w:val="DefaultParagraphFont"/>
    <w:link w:val="Bullets"/>
    <w:locked/>
    <w:rsid w:val="00405077"/>
    <w:rPr>
      <w:color w:val="3F3F42" w:themeColor="background1" w:themeTint="E6"/>
      <w:sz w:val="24"/>
    </w:rPr>
  </w:style>
  <w:style w:type="paragraph" w:customStyle="1" w:styleId="Bullets">
    <w:name w:val="Bullets"/>
    <w:basedOn w:val="Normal"/>
    <w:link w:val="BulletsCar"/>
    <w:qFormat/>
    <w:rsid w:val="00405077"/>
    <w:pPr>
      <w:numPr>
        <w:numId w:val="1"/>
      </w:numPr>
      <w:spacing w:after="0" w:line="276" w:lineRule="auto"/>
      <w:ind w:left="714" w:hanging="357"/>
      <w:jc w:val="both"/>
    </w:pPr>
    <w:rPr>
      <w:color w:val="3F3F42" w:themeColor="background1" w:themeTint="E6"/>
      <w:sz w:val="24"/>
    </w:rPr>
  </w:style>
  <w:style w:type="character" w:customStyle="1" w:styleId="Title1normalChar">
    <w:name w:val="Title1_normal Char"/>
    <w:basedOn w:val="DefaultParagraphFont"/>
    <w:link w:val="Title1normal"/>
    <w:locked/>
    <w:rsid w:val="00F830AE"/>
    <w:rPr>
      <w:rFonts w:asciiTheme="majorHAnsi" w:hAnsiTheme="majorHAnsi"/>
      <w:color w:val="0086AC" w:themeColor="accent5"/>
      <w:sz w:val="40"/>
    </w:rPr>
  </w:style>
  <w:style w:type="paragraph" w:customStyle="1" w:styleId="Title1normal">
    <w:name w:val="Title1_normal"/>
    <w:basedOn w:val="Normal"/>
    <w:next w:val="Normal"/>
    <w:link w:val="Title1normalChar"/>
    <w:rsid w:val="00F830AE"/>
    <w:pPr>
      <w:spacing w:after="240" w:line="254" w:lineRule="auto"/>
      <w:jc w:val="both"/>
    </w:pPr>
    <w:rPr>
      <w:rFonts w:asciiTheme="majorHAnsi" w:hAnsiTheme="majorHAnsi"/>
      <w:color w:val="0086AC" w:themeColor="accent5"/>
      <w:sz w:val="40"/>
    </w:rPr>
  </w:style>
  <w:style w:type="character" w:customStyle="1" w:styleId="TitleIndexCar">
    <w:name w:val="TitleIndex Car"/>
    <w:basedOn w:val="DefaultParagraphFont"/>
    <w:link w:val="TitleIndex"/>
    <w:locked/>
    <w:rsid w:val="00B92595"/>
    <w:rPr>
      <w:rFonts w:asciiTheme="majorHAnsi" w:eastAsiaTheme="majorEastAsia" w:hAnsiTheme="majorHAnsi" w:cstheme="majorBidi"/>
      <w:b/>
      <w:color w:val="154064" w:themeColor="text2" w:themeShade="BF"/>
      <w:spacing w:val="-10"/>
      <w:kern w:val="28"/>
      <w:sz w:val="56"/>
      <w:szCs w:val="56"/>
    </w:rPr>
  </w:style>
  <w:style w:type="paragraph" w:customStyle="1" w:styleId="TitleIndex">
    <w:name w:val="TitleIndex"/>
    <w:basedOn w:val="Title"/>
    <w:link w:val="TitleIndexCar"/>
    <w:qFormat/>
    <w:rsid w:val="00B92595"/>
    <w:pPr>
      <w:spacing w:before="120" w:after="360"/>
      <w:jc w:val="both"/>
    </w:pPr>
    <w:rPr>
      <w:b/>
      <w:color w:val="154064" w:themeColor="text2" w:themeShade="BF"/>
    </w:rPr>
  </w:style>
  <w:style w:type="character" w:customStyle="1" w:styleId="Title2Char">
    <w:name w:val="Title2 Char"/>
    <w:basedOn w:val="TitleIndexCar"/>
    <w:link w:val="Title2"/>
    <w:locked/>
    <w:rsid w:val="006A7657"/>
    <w:rPr>
      <w:rFonts w:ascii="Arial" w:eastAsiaTheme="majorEastAsia" w:hAnsi="Arial" w:cstheme="majorBidi"/>
      <w:b w:val="0"/>
      <w:color w:val="5B52C7"/>
      <w:spacing w:val="-10"/>
      <w:kern w:val="28"/>
      <w:sz w:val="28"/>
      <w:szCs w:val="56"/>
    </w:rPr>
  </w:style>
  <w:style w:type="paragraph" w:customStyle="1" w:styleId="Title2">
    <w:name w:val="Title2"/>
    <w:basedOn w:val="Normal"/>
    <w:link w:val="Title2Char"/>
    <w:qFormat/>
    <w:rsid w:val="006A7657"/>
    <w:pPr>
      <w:spacing w:before="120" w:after="120" w:line="254" w:lineRule="auto"/>
    </w:pPr>
    <w:rPr>
      <w:rFonts w:ascii="Arial" w:hAnsi="Arial"/>
      <w:color w:val="5B52C7"/>
      <w:sz w:val="28"/>
    </w:rPr>
  </w:style>
  <w:style w:type="character" w:customStyle="1" w:styleId="paragraphCar">
    <w:name w:val="paragraph Car"/>
    <w:basedOn w:val="DefaultParagraphFont"/>
    <w:link w:val="paragraph"/>
    <w:locked/>
    <w:rsid w:val="008E3ECB"/>
    <w:rPr>
      <w:color w:val="1B1F18"/>
      <w:sz w:val="24"/>
    </w:rPr>
  </w:style>
  <w:style w:type="paragraph" w:customStyle="1" w:styleId="paragraph">
    <w:name w:val="paragraph"/>
    <w:basedOn w:val="Normal"/>
    <w:link w:val="paragraphCar"/>
    <w:qFormat/>
    <w:rsid w:val="008E3ECB"/>
    <w:pPr>
      <w:spacing w:before="120" w:after="120" w:line="254" w:lineRule="auto"/>
      <w:jc w:val="both"/>
    </w:pPr>
    <w:rPr>
      <w:sz w:val="24"/>
    </w:rPr>
  </w:style>
  <w:style w:type="character" w:customStyle="1" w:styleId="HeaderFooterCar">
    <w:name w:val="HeaderFooter Car"/>
    <w:basedOn w:val="DefaultParagraphFont"/>
    <w:link w:val="HeaderFooter"/>
    <w:locked/>
    <w:rsid w:val="00B92595"/>
    <w:rPr>
      <w:color w:val="929297" w:themeColor="background1" w:themeTint="80"/>
      <w:sz w:val="20"/>
      <w:szCs w:val="20"/>
    </w:rPr>
  </w:style>
  <w:style w:type="paragraph" w:customStyle="1" w:styleId="HeaderFooter">
    <w:name w:val="HeaderFooter"/>
    <w:basedOn w:val="Normal"/>
    <w:link w:val="HeaderFooterCar"/>
    <w:qFormat/>
    <w:rsid w:val="00B92595"/>
    <w:pPr>
      <w:spacing w:line="254" w:lineRule="auto"/>
      <w:jc w:val="both"/>
    </w:pPr>
    <w:rPr>
      <w:color w:val="929297" w:themeColor="background1" w:themeTint="80"/>
      <w:sz w:val="20"/>
      <w:szCs w:val="20"/>
    </w:rPr>
  </w:style>
  <w:style w:type="character" w:customStyle="1" w:styleId="TableHeadCar">
    <w:name w:val="TableHead Car"/>
    <w:basedOn w:val="DefaultParagraphFont"/>
    <w:link w:val="TableHead"/>
    <w:locked/>
    <w:rsid w:val="00B92595"/>
    <w:rPr>
      <w:b/>
      <w:iCs/>
      <w:color w:val="FFFFFF" w:themeColor="text1"/>
      <w:shd w:val="clear" w:color="auto" w:fill="0097B7" w:themeFill="accent4"/>
    </w:rPr>
  </w:style>
  <w:style w:type="paragraph" w:customStyle="1" w:styleId="TableHead">
    <w:name w:val="TableHead"/>
    <w:basedOn w:val="IntenseQuote"/>
    <w:link w:val="TableHeadCar"/>
    <w:qFormat/>
    <w:rsid w:val="00B92595"/>
    <w:pPr>
      <w:pBdr>
        <w:top w:val="none" w:sz="0" w:space="0" w:color="auto"/>
        <w:bottom w:val="single" w:sz="48" w:space="1" w:color="0097B7" w:themeColor="accent4"/>
      </w:pBdr>
      <w:shd w:val="clear" w:color="auto" w:fill="0097B7" w:themeFill="accent4"/>
      <w:spacing w:before="120" w:after="0" w:line="254" w:lineRule="auto"/>
      <w:ind w:left="862" w:right="862"/>
    </w:pPr>
    <w:rPr>
      <w:b/>
      <w:i w:val="0"/>
      <w:color w:val="FFFFFF" w:themeColor="text1"/>
    </w:rPr>
  </w:style>
  <w:style w:type="character" w:customStyle="1" w:styleId="TableContentCar">
    <w:name w:val="TableContent Car"/>
    <w:basedOn w:val="TableHeadCar"/>
    <w:link w:val="TableContent"/>
    <w:locked/>
    <w:rsid w:val="00B92595"/>
    <w:rPr>
      <w:b w:val="0"/>
      <w:iCs/>
      <w:color w:val="3F3F42" w:themeColor="background1" w:themeTint="E6"/>
      <w:shd w:val="clear" w:color="auto" w:fill="0097B7" w:themeFill="accent4"/>
    </w:rPr>
  </w:style>
  <w:style w:type="paragraph" w:customStyle="1" w:styleId="TableContent">
    <w:name w:val="TableContent"/>
    <w:basedOn w:val="Normal"/>
    <w:link w:val="TableContentCar"/>
    <w:qFormat/>
    <w:rsid w:val="00B92595"/>
    <w:pPr>
      <w:pBdr>
        <w:bottom w:val="single" w:sz="24" w:space="1" w:color="FFFFFF" w:themeColor="text1"/>
      </w:pBdr>
      <w:spacing w:after="0" w:line="254" w:lineRule="auto"/>
      <w:ind w:left="862" w:right="862"/>
    </w:pPr>
    <w:rPr>
      <w:iCs/>
      <w:color w:val="3F3F42" w:themeColor="background1" w:themeTint="E6"/>
    </w:rPr>
  </w:style>
  <w:style w:type="character" w:customStyle="1" w:styleId="TableContentEndCar">
    <w:name w:val="TableContentEnd Car"/>
    <w:basedOn w:val="TableContentCar"/>
    <w:link w:val="TableContentEnd"/>
    <w:locked/>
    <w:rsid w:val="00B92595"/>
    <w:rPr>
      <w:b w:val="0"/>
      <w:iCs/>
      <w:color w:val="3F3F42" w:themeColor="background1" w:themeTint="E6"/>
      <w:shd w:val="clear" w:color="auto" w:fill="0097B7" w:themeFill="accent4"/>
    </w:rPr>
  </w:style>
  <w:style w:type="paragraph" w:customStyle="1" w:styleId="TableContentEnd">
    <w:name w:val="TableContentEnd"/>
    <w:basedOn w:val="TableContent"/>
    <w:link w:val="TableContentEndCar"/>
    <w:qFormat/>
    <w:rsid w:val="00B92595"/>
    <w:pPr>
      <w:pBdr>
        <w:bottom w:val="single" w:sz="8" w:space="1" w:color="0097B7" w:themeColor="accent4"/>
      </w:pBdr>
      <w:spacing w:after="120"/>
    </w:pPr>
  </w:style>
  <w:style w:type="character" w:customStyle="1" w:styleId="TableContentEndBoldCar">
    <w:name w:val="TableContentEndBold Car"/>
    <w:basedOn w:val="TableContentEndCar"/>
    <w:link w:val="TableContentEndBold"/>
    <w:locked/>
    <w:rsid w:val="00B92595"/>
    <w:rPr>
      <w:b/>
      <w:iCs/>
      <w:color w:val="3F3F42" w:themeColor="background1" w:themeTint="E6"/>
      <w:shd w:val="clear" w:color="auto" w:fill="0097B7" w:themeFill="accent4"/>
    </w:rPr>
  </w:style>
  <w:style w:type="paragraph" w:customStyle="1" w:styleId="TableContentEndBold">
    <w:name w:val="TableContentEndBold"/>
    <w:basedOn w:val="TableContentEnd"/>
    <w:link w:val="TableContentEndBoldCar"/>
    <w:qFormat/>
    <w:rsid w:val="00B92595"/>
    <w:pPr>
      <w:spacing w:line="240" w:lineRule="auto"/>
    </w:pPr>
    <w:rPr>
      <w:b/>
    </w:rPr>
  </w:style>
  <w:style w:type="character" w:customStyle="1" w:styleId="TableContentHeadCar">
    <w:name w:val="TableContentHead Car"/>
    <w:basedOn w:val="TableHeadCar"/>
    <w:link w:val="TableContentHead"/>
    <w:locked/>
    <w:rsid w:val="00B92595"/>
    <w:rPr>
      <w:b w:val="0"/>
      <w:iCs/>
      <w:color w:val="3F3F42" w:themeColor="background1" w:themeTint="E6"/>
      <w:shd w:val="clear" w:color="auto" w:fill="E8E8E9" w:themeFill="background1" w:themeFillTint="1A"/>
    </w:rPr>
  </w:style>
  <w:style w:type="paragraph" w:customStyle="1" w:styleId="TableContentHead">
    <w:name w:val="TableContentHead"/>
    <w:basedOn w:val="TableHead"/>
    <w:link w:val="TableContentHeadCar"/>
    <w:qFormat/>
    <w:rsid w:val="00B92595"/>
    <w:pPr>
      <w:pBdr>
        <w:bottom w:val="single" w:sz="24" w:space="1" w:color="E8E8E9" w:themeColor="background1" w:themeTint="1A"/>
      </w:pBdr>
      <w:shd w:val="clear" w:color="auto" w:fill="E8E8E9" w:themeFill="background1" w:themeFillTint="1A"/>
      <w:spacing w:before="0"/>
      <w:jc w:val="left"/>
    </w:pPr>
    <w:rPr>
      <w:b w:val="0"/>
      <w:color w:val="3F3F42" w:themeColor="background1" w:themeTint="E6"/>
    </w:rPr>
  </w:style>
  <w:style w:type="character" w:customStyle="1" w:styleId="NameTableImgCar">
    <w:name w:val="NameTableImg Car"/>
    <w:basedOn w:val="HeaderFooterCar"/>
    <w:link w:val="NameTableImg"/>
    <w:locked/>
    <w:rsid w:val="006A7657"/>
    <w:rPr>
      <w:rFonts w:ascii="Arial" w:hAnsi="Arial"/>
      <w:color w:val="929297" w:themeColor="background1" w:themeTint="80"/>
      <w:sz w:val="20"/>
      <w:szCs w:val="20"/>
    </w:rPr>
  </w:style>
  <w:style w:type="paragraph" w:customStyle="1" w:styleId="NameTableImg">
    <w:name w:val="NameTableImg"/>
    <w:basedOn w:val="HeaderFooter"/>
    <w:link w:val="NameTableImgCar"/>
    <w:qFormat/>
    <w:rsid w:val="006A7657"/>
    <w:pPr>
      <w:jc w:val="center"/>
    </w:pPr>
    <w:rPr>
      <w:rFonts w:ascii="Arial" w:hAnsi="Arial"/>
      <w:color w:val="auto"/>
    </w:rPr>
  </w:style>
  <w:style w:type="character" w:customStyle="1" w:styleId="Title2IndexCar">
    <w:name w:val="Title2Index Car"/>
    <w:basedOn w:val="Title2Char"/>
    <w:link w:val="Title2Index"/>
    <w:locked/>
    <w:rsid w:val="002200B3"/>
    <w:rPr>
      <w:rFonts w:asciiTheme="majorHAnsi" w:eastAsiaTheme="majorEastAsia" w:hAnsiTheme="majorHAnsi" w:cstheme="majorBidi"/>
      <w:b w:val="0"/>
      <w:color w:val="5E5E62" w:themeColor="background1" w:themeTint="BF"/>
      <w:spacing w:val="-10"/>
      <w:kern w:val="28"/>
      <w:sz w:val="28"/>
      <w:szCs w:val="26"/>
    </w:rPr>
  </w:style>
  <w:style w:type="paragraph" w:customStyle="1" w:styleId="Title2Index">
    <w:name w:val="Title2Index"/>
    <w:basedOn w:val="Title2"/>
    <w:link w:val="Title2IndexCar"/>
    <w:qFormat/>
    <w:rsid w:val="002200B3"/>
    <w:pPr>
      <w:spacing w:before="0" w:after="60"/>
      <w:ind w:left="454"/>
    </w:pPr>
    <w:rPr>
      <w:color w:val="5E5E62" w:themeColor="background1" w:themeTint="BF"/>
    </w:rPr>
  </w:style>
  <w:style w:type="character" w:customStyle="1" w:styleId="Title1Char">
    <w:name w:val="Title1 Char"/>
    <w:basedOn w:val="Title1normalChar"/>
    <w:link w:val="Title1"/>
    <w:locked/>
    <w:rsid w:val="006A7657"/>
    <w:rPr>
      <w:rFonts w:ascii="Arial" w:hAnsi="Arial"/>
      <w:b/>
      <w:color w:val="5B52C7"/>
      <w:sz w:val="32"/>
    </w:rPr>
  </w:style>
  <w:style w:type="paragraph" w:customStyle="1" w:styleId="Title1">
    <w:name w:val="Title1"/>
    <w:basedOn w:val="Normal"/>
    <w:link w:val="Title1Char"/>
    <w:qFormat/>
    <w:rsid w:val="006A7657"/>
    <w:pPr>
      <w:spacing w:after="240" w:line="254" w:lineRule="auto"/>
    </w:pPr>
    <w:rPr>
      <w:rFonts w:ascii="Arial" w:hAnsi="Arial"/>
      <w:b/>
      <w:color w:val="5B52C7"/>
      <w:sz w:val="32"/>
    </w:rPr>
  </w:style>
  <w:style w:type="character" w:customStyle="1" w:styleId="Heading1Char">
    <w:name w:val="Heading 1 Char"/>
    <w:basedOn w:val="DefaultParagraphFont"/>
    <w:link w:val="Heading1"/>
    <w:uiPriority w:val="9"/>
    <w:rsid w:val="00B92595"/>
    <w:rPr>
      <w:rFonts w:asciiTheme="majorHAnsi" w:eastAsiaTheme="majorEastAsia" w:hAnsiTheme="majorHAnsi" w:cstheme="majorBidi"/>
      <w:color w:val="319BA2" w:themeColor="accent1" w:themeShade="BF"/>
      <w:sz w:val="32"/>
      <w:szCs w:val="32"/>
    </w:rPr>
  </w:style>
  <w:style w:type="paragraph" w:styleId="Title">
    <w:name w:val="Title"/>
    <w:basedOn w:val="Normal"/>
    <w:next w:val="Normal"/>
    <w:link w:val="TitleChar"/>
    <w:uiPriority w:val="10"/>
    <w:qFormat/>
    <w:rsid w:val="00B9259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92595"/>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semiHidden/>
    <w:rsid w:val="00B92595"/>
    <w:rPr>
      <w:rFonts w:asciiTheme="majorHAnsi" w:eastAsiaTheme="majorEastAsia" w:hAnsiTheme="majorHAnsi" w:cstheme="majorBidi"/>
      <w:color w:val="319BA2" w:themeColor="accent1" w:themeShade="BF"/>
      <w:sz w:val="26"/>
      <w:szCs w:val="26"/>
    </w:rPr>
  </w:style>
  <w:style w:type="paragraph" w:styleId="IntenseQuote">
    <w:name w:val="Intense Quote"/>
    <w:basedOn w:val="Normal"/>
    <w:next w:val="Normal"/>
    <w:link w:val="IntenseQuoteChar"/>
    <w:uiPriority w:val="30"/>
    <w:qFormat/>
    <w:rsid w:val="00B92595"/>
    <w:pPr>
      <w:pBdr>
        <w:top w:val="single" w:sz="4" w:space="10" w:color="51C3CA" w:themeColor="accent1"/>
        <w:bottom w:val="single" w:sz="4" w:space="10" w:color="51C3CA" w:themeColor="accent1"/>
      </w:pBdr>
      <w:spacing w:before="360" w:after="360"/>
      <w:ind w:left="864" w:right="864"/>
      <w:jc w:val="center"/>
    </w:pPr>
    <w:rPr>
      <w:i/>
      <w:iCs/>
      <w:color w:val="51C3CA" w:themeColor="accent1"/>
    </w:rPr>
  </w:style>
  <w:style w:type="character" w:customStyle="1" w:styleId="IntenseQuoteChar">
    <w:name w:val="Intense Quote Char"/>
    <w:basedOn w:val="DefaultParagraphFont"/>
    <w:link w:val="IntenseQuote"/>
    <w:uiPriority w:val="30"/>
    <w:rsid w:val="00B92595"/>
    <w:rPr>
      <w:i/>
      <w:iCs/>
      <w:color w:val="51C3CA" w:themeColor="accent1"/>
    </w:rPr>
  </w:style>
  <w:style w:type="paragraph" w:styleId="Header">
    <w:name w:val="header"/>
    <w:basedOn w:val="Normal"/>
    <w:link w:val="HeaderChar"/>
    <w:uiPriority w:val="99"/>
    <w:unhideWhenUsed/>
    <w:rsid w:val="00B27F97"/>
    <w:pPr>
      <w:tabs>
        <w:tab w:val="center" w:pos="4252"/>
        <w:tab w:val="right" w:pos="8504"/>
      </w:tabs>
      <w:spacing w:after="0" w:line="240" w:lineRule="auto"/>
    </w:pPr>
  </w:style>
  <w:style w:type="character" w:customStyle="1" w:styleId="HeaderChar">
    <w:name w:val="Header Char"/>
    <w:basedOn w:val="DefaultParagraphFont"/>
    <w:link w:val="Header"/>
    <w:uiPriority w:val="99"/>
    <w:rsid w:val="00B27F97"/>
  </w:style>
  <w:style w:type="paragraph" w:styleId="Footer">
    <w:name w:val="footer"/>
    <w:basedOn w:val="Normal"/>
    <w:link w:val="FooterChar"/>
    <w:uiPriority w:val="99"/>
    <w:unhideWhenUsed/>
    <w:rsid w:val="00B27F97"/>
    <w:pPr>
      <w:tabs>
        <w:tab w:val="center" w:pos="4252"/>
        <w:tab w:val="right" w:pos="8504"/>
      </w:tabs>
      <w:spacing w:after="0" w:line="240" w:lineRule="auto"/>
    </w:pPr>
  </w:style>
  <w:style w:type="character" w:customStyle="1" w:styleId="FooterChar">
    <w:name w:val="Footer Char"/>
    <w:basedOn w:val="DefaultParagraphFont"/>
    <w:link w:val="Footer"/>
    <w:uiPriority w:val="99"/>
    <w:rsid w:val="00B27F97"/>
  </w:style>
  <w:style w:type="table" w:styleId="TableGrid">
    <w:name w:val="Table Grid"/>
    <w:basedOn w:val="TableNormal"/>
    <w:uiPriority w:val="39"/>
    <w:rsid w:val="002513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F32F9"/>
    <w:pPr>
      <w:ind w:left="720"/>
      <w:contextualSpacing/>
    </w:pPr>
  </w:style>
  <w:style w:type="table" w:styleId="GridTable4-Accent1">
    <w:name w:val="Grid Table 4 Accent 1"/>
    <w:basedOn w:val="TableNormal"/>
    <w:uiPriority w:val="49"/>
    <w:rsid w:val="00072345"/>
    <w:pPr>
      <w:spacing w:after="0" w:line="240" w:lineRule="auto"/>
    </w:pPr>
    <w:tblPr>
      <w:tblStyleRowBandSize w:val="1"/>
      <w:tblStyleColBandSize w:val="1"/>
      <w:tblBorders>
        <w:top w:val="single" w:sz="4" w:space="0" w:color="96DADF" w:themeColor="accent1" w:themeTint="99"/>
        <w:left w:val="single" w:sz="4" w:space="0" w:color="96DADF" w:themeColor="accent1" w:themeTint="99"/>
        <w:bottom w:val="single" w:sz="4" w:space="0" w:color="96DADF" w:themeColor="accent1" w:themeTint="99"/>
        <w:right w:val="single" w:sz="4" w:space="0" w:color="96DADF" w:themeColor="accent1" w:themeTint="99"/>
        <w:insideH w:val="single" w:sz="4" w:space="0" w:color="96DADF" w:themeColor="accent1" w:themeTint="99"/>
        <w:insideV w:val="single" w:sz="4" w:space="0" w:color="96DADF" w:themeColor="accent1" w:themeTint="99"/>
      </w:tblBorders>
    </w:tblPr>
    <w:tblStylePr w:type="firstRow">
      <w:rPr>
        <w:b/>
        <w:bCs/>
        <w:color w:val="FFFFFF" w:themeColor="text1"/>
      </w:rPr>
      <w:tblPr/>
      <w:tcPr>
        <w:shd w:val="clear" w:color="auto" w:fill="0097B7" w:themeFill="accent4"/>
      </w:tcPr>
    </w:tblStylePr>
    <w:tblStylePr w:type="lastRow">
      <w:rPr>
        <w:b/>
        <w:bCs/>
      </w:rPr>
      <w:tblPr/>
      <w:tcPr>
        <w:tcBorders>
          <w:top w:val="double" w:sz="4" w:space="0" w:color="51C3CA" w:themeColor="accent1"/>
        </w:tcBorders>
      </w:tcPr>
    </w:tblStylePr>
    <w:tblStylePr w:type="firstCol">
      <w:rPr>
        <w:b w:val="0"/>
        <w:bCs/>
      </w:rPr>
    </w:tblStylePr>
    <w:tblStylePr w:type="lastCol">
      <w:rPr>
        <w:b/>
        <w:bCs/>
      </w:rPr>
    </w:tblStylePr>
    <w:tblStylePr w:type="band1Vert">
      <w:tblPr/>
      <w:tcPr>
        <w:shd w:val="clear" w:color="auto" w:fill="DCF2F4" w:themeFill="accent1" w:themeFillTint="33"/>
      </w:tcPr>
    </w:tblStylePr>
    <w:tblStylePr w:type="band1Horz">
      <w:pPr>
        <w:jc w:val="center"/>
      </w:pPr>
      <w:tblPr/>
      <w:tcPr>
        <w:shd w:val="clear" w:color="auto" w:fill="D9D9D9" w:themeFill="text1" w:themeFillShade="D9"/>
        <w:vAlign w:val="center"/>
      </w:tcPr>
    </w:tblStylePr>
    <w:tblStylePr w:type="band2Horz">
      <w:pPr>
        <w:jc w:val="center"/>
      </w:pPr>
      <w:tblPr/>
      <w:tcPr>
        <w:vAlign w:val="center"/>
      </w:tcPr>
    </w:tblStylePr>
  </w:style>
  <w:style w:type="table" w:styleId="GridTable4">
    <w:name w:val="Grid Table 4"/>
    <w:basedOn w:val="TableNormal"/>
    <w:uiPriority w:val="49"/>
    <w:rsid w:val="0041502F"/>
    <w:pPr>
      <w:spacing w:after="0" w:line="240" w:lineRule="auto"/>
    </w:pPr>
    <w:tblPr>
      <w:tblStyleRowBandSize w:val="1"/>
      <w:tblStyleColBandSize w:val="1"/>
      <w:tblBorders>
        <w:top w:val="single" w:sz="4" w:space="0" w:color="FFFFFF" w:themeColor="text1" w:themeTint="99"/>
        <w:left w:val="single" w:sz="4" w:space="0" w:color="FFFFFF" w:themeColor="text1" w:themeTint="99"/>
        <w:bottom w:val="single" w:sz="4" w:space="0" w:color="FFFFFF" w:themeColor="text1" w:themeTint="99"/>
        <w:right w:val="single" w:sz="4" w:space="0" w:color="FFFFFF" w:themeColor="text1" w:themeTint="99"/>
        <w:insideH w:val="single" w:sz="4" w:space="0" w:color="FFFFFF" w:themeColor="text1" w:themeTint="99"/>
        <w:insideV w:val="single" w:sz="4" w:space="0" w:color="FFFFFF" w:themeColor="text1" w:themeTint="99"/>
      </w:tblBorders>
    </w:tblPr>
    <w:tblStylePr w:type="firstRow">
      <w:rPr>
        <w:b/>
        <w:bCs/>
        <w:color w:val="2B2B2D" w:themeColor="background1"/>
      </w:rPr>
      <w:tblPr/>
      <w:tcPr>
        <w:tcBorders>
          <w:top w:val="single" w:sz="4" w:space="0" w:color="FFFFFF" w:themeColor="text1"/>
          <w:left w:val="single" w:sz="4" w:space="0" w:color="FFFFFF" w:themeColor="text1"/>
          <w:bottom w:val="single" w:sz="4" w:space="0" w:color="FFFFFF" w:themeColor="text1"/>
          <w:right w:val="single" w:sz="4" w:space="0" w:color="FFFFFF" w:themeColor="text1"/>
          <w:insideH w:val="nil"/>
          <w:insideV w:val="nil"/>
        </w:tcBorders>
        <w:shd w:val="clear" w:color="auto" w:fill="FFFFFF" w:themeFill="text1"/>
      </w:tcPr>
    </w:tblStylePr>
    <w:tblStylePr w:type="lastRow">
      <w:rPr>
        <w:b/>
        <w:bCs/>
      </w:rPr>
      <w:tblPr/>
      <w:tcPr>
        <w:tcBorders>
          <w:top w:val="double" w:sz="4" w:space="0" w:color="FFFFFF" w:themeColor="text1"/>
        </w:tcBorders>
      </w:tcPr>
    </w:tblStylePr>
    <w:tblStylePr w:type="firstCol">
      <w:rPr>
        <w:b/>
        <w:bCs/>
      </w:rPr>
    </w:tblStylePr>
    <w:tblStylePr w:type="lastCol">
      <w:rPr>
        <w:b/>
        <w:bCs/>
      </w:rPr>
    </w:tblStylePr>
    <w:tblStylePr w:type="band1Vert">
      <w:tblPr/>
      <w:tcPr>
        <w:shd w:val="clear" w:color="auto" w:fill="FFFFFF" w:themeFill="text1" w:themeFillTint="33"/>
      </w:tcPr>
    </w:tblStylePr>
    <w:tblStylePr w:type="band1Horz">
      <w:tblPr/>
      <w:tcPr>
        <w:shd w:val="clear" w:color="auto" w:fill="FFFFFF" w:themeFill="text1" w:themeFillTint="33"/>
      </w:tcPr>
    </w:tblStylePr>
  </w:style>
  <w:style w:type="table" w:styleId="GridTable1Light">
    <w:name w:val="Grid Table 1 Light"/>
    <w:basedOn w:val="TableNormal"/>
    <w:uiPriority w:val="46"/>
    <w:rsid w:val="0041502F"/>
    <w:pPr>
      <w:spacing w:after="0" w:line="240" w:lineRule="auto"/>
    </w:pPr>
    <w:tblPr>
      <w:tblStyleRowBandSize w:val="1"/>
      <w:tblStyleColBandSize w:val="1"/>
      <w:tblBorders>
        <w:top w:val="single" w:sz="4" w:space="0" w:color="FFFFFF" w:themeColor="text1" w:themeTint="66"/>
        <w:left w:val="single" w:sz="4" w:space="0" w:color="FFFFFF" w:themeColor="text1" w:themeTint="66"/>
        <w:bottom w:val="single" w:sz="4" w:space="0" w:color="FFFFFF" w:themeColor="text1" w:themeTint="66"/>
        <w:right w:val="single" w:sz="4" w:space="0" w:color="FFFFFF" w:themeColor="text1" w:themeTint="66"/>
        <w:insideH w:val="single" w:sz="4" w:space="0" w:color="FFFFFF" w:themeColor="text1" w:themeTint="66"/>
        <w:insideV w:val="single" w:sz="4" w:space="0" w:color="FFFFFF" w:themeColor="text1" w:themeTint="66"/>
      </w:tblBorders>
    </w:tblPr>
    <w:tblStylePr w:type="firstRow">
      <w:rPr>
        <w:b/>
        <w:bCs/>
      </w:rPr>
      <w:tblPr/>
      <w:tcPr>
        <w:tcBorders>
          <w:bottom w:val="single" w:sz="12" w:space="0" w:color="FFFFFF" w:themeColor="text1" w:themeTint="99"/>
        </w:tcBorders>
      </w:tcPr>
    </w:tblStylePr>
    <w:tblStylePr w:type="lastRow">
      <w:rPr>
        <w:b/>
        <w:bCs/>
      </w:rPr>
      <w:tblPr/>
      <w:tcPr>
        <w:tcBorders>
          <w:top w:val="double" w:sz="2" w:space="0" w:color="FFFFFF" w:themeColor="tex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271C1C"/>
    <w:pPr>
      <w:outlineLvl w:val="9"/>
    </w:pPr>
    <w:rPr>
      <w:lang w:val="en-US"/>
    </w:rPr>
  </w:style>
  <w:style w:type="paragraph" w:styleId="TOC1">
    <w:name w:val="toc 1"/>
    <w:basedOn w:val="Normal"/>
    <w:next w:val="Normal"/>
    <w:autoRedefine/>
    <w:uiPriority w:val="39"/>
    <w:unhideWhenUsed/>
    <w:rsid w:val="00271C1C"/>
    <w:pPr>
      <w:spacing w:after="100"/>
    </w:pPr>
  </w:style>
  <w:style w:type="paragraph" w:styleId="TOC2">
    <w:name w:val="toc 2"/>
    <w:basedOn w:val="Normal"/>
    <w:next w:val="Normal"/>
    <w:autoRedefine/>
    <w:uiPriority w:val="39"/>
    <w:unhideWhenUsed/>
    <w:rsid w:val="00271C1C"/>
    <w:pPr>
      <w:spacing w:after="100"/>
      <w:ind w:left="220"/>
    </w:pPr>
  </w:style>
  <w:style w:type="character" w:styleId="Hyperlink">
    <w:name w:val="Hyperlink"/>
    <w:basedOn w:val="DefaultParagraphFont"/>
    <w:uiPriority w:val="99"/>
    <w:unhideWhenUsed/>
    <w:rsid w:val="00271C1C"/>
    <w:rPr>
      <w:color w:val="FBBA37" w:themeColor="hyperlink"/>
      <w:u w:val="single"/>
    </w:rPr>
  </w:style>
  <w:style w:type="paragraph" w:customStyle="1" w:styleId="Title1nfs">
    <w:name w:val="Title1_nfs"/>
    <w:basedOn w:val="paragraph"/>
    <w:link w:val="Title1nfsChar"/>
    <w:rsid w:val="00952E7F"/>
  </w:style>
  <w:style w:type="paragraph" w:customStyle="1" w:styleId="Title1nfsBold">
    <w:name w:val="Title1nfsBold"/>
    <w:basedOn w:val="Title1"/>
    <w:link w:val="Title1nfsBoldChar"/>
    <w:qFormat/>
    <w:rsid w:val="00C3523A"/>
    <w:pPr>
      <w:spacing w:before="360" w:after="120"/>
    </w:pPr>
    <w:rPr>
      <w:sz w:val="28"/>
    </w:rPr>
  </w:style>
  <w:style w:type="character" w:customStyle="1" w:styleId="Title1nfsChar">
    <w:name w:val="Title1_nfs Char"/>
    <w:basedOn w:val="paragraphCar"/>
    <w:link w:val="Title1nfs"/>
    <w:rsid w:val="00952E7F"/>
    <w:rPr>
      <w:color w:val="3F3F42" w:themeColor="background1" w:themeTint="E6"/>
      <w:sz w:val="24"/>
    </w:rPr>
  </w:style>
  <w:style w:type="paragraph" w:customStyle="1" w:styleId="Title2nfs">
    <w:name w:val="Title2nfs"/>
    <w:basedOn w:val="Title2"/>
    <w:link w:val="Title2nfsChar"/>
    <w:qFormat/>
    <w:rsid w:val="008D7990"/>
    <w:rPr>
      <w:color w:val="3F3F42" w:themeColor="background1" w:themeTint="E6"/>
      <w:sz w:val="22"/>
    </w:rPr>
  </w:style>
  <w:style w:type="character" w:customStyle="1" w:styleId="Title1nfsBoldChar">
    <w:name w:val="Title1nfsBold Char"/>
    <w:basedOn w:val="DefaultParagraphFont"/>
    <w:link w:val="Title1nfsBold"/>
    <w:rsid w:val="00C3523A"/>
    <w:rPr>
      <w:rFonts w:asciiTheme="majorHAnsi" w:hAnsiTheme="majorHAnsi"/>
      <w:color w:val="0097B7" w:themeColor="accent4"/>
      <w:sz w:val="28"/>
    </w:rPr>
  </w:style>
  <w:style w:type="character" w:customStyle="1" w:styleId="Title2Car">
    <w:name w:val="Title2 Car"/>
    <w:basedOn w:val="TitleIndexCar"/>
    <w:locked/>
    <w:rsid w:val="002446AC"/>
    <w:rPr>
      <w:rFonts w:asciiTheme="majorHAnsi" w:eastAsiaTheme="majorEastAsia" w:hAnsiTheme="majorHAnsi" w:cstheme="majorBidi"/>
      <w:b w:val="0"/>
      <w:color w:val="0097B7" w:themeColor="accent4"/>
      <w:spacing w:val="-10"/>
      <w:kern w:val="28"/>
      <w:sz w:val="28"/>
      <w:szCs w:val="26"/>
    </w:rPr>
  </w:style>
  <w:style w:type="character" w:customStyle="1" w:styleId="Title2nfsChar">
    <w:name w:val="Title2nfs Char"/>
    <w:basedOn w:val="Title1nfsBoldChar"/>
    <w:link w:val="Title2nfs"/>
    <w:rsid w:val="008D7990"/>
    <w:rPr>
      <w:rFonts w:asciiTheme="majorHAnsi" w:hAnsiTheme="majorHAnsi"/>
      <w:b/>
      <w:color w:val="3F3F42" w:themeColor="background1" w:themeTint="E6"/>
      <w:sz w:val="28"/>
    </w:rPr>
  </w:style>
  <w:style w:type="paragraph" w:customStyle="1" w:styleId="BulletsNew">
    <w:name w:val="BulletsNew"/>
    <w:basedOn w:val="paragraph"/>
    <w:link w:val="BulletsNewChar"/>
    <w:qFormat/>
    <w:rsid w:val="00324BDE"/>
    <w:pPr>
      <w:numPr>
        <w:numId w:val="8"/>
      </w:numPr>
      <w:spacing w:before="0" w:after="0" w:line="276" w:lineRule="auto"/>
      <w:ind w:left="714" w:hanging="357"/>
    </w:pPr>
    <w:rPr>
      <w:lang w:val="en-US"/>
    </w:rPr>
  </w:style>
  <w:style w:type="character" w:customStyle="1" w:styleId="BulletsNewChar">
    <w:name w:val="BulletsNew Char"/>
    <w:basedOn w:val="paragraphCar"/>
    <w:link w:val="BulletsNew"/>
    <w:rsid w:val="00324BDE"/>
    <w:rPr>
      <w:color w:val="3F3F42" w:themeColor="background1" w:themeTint="E6"/>
      <w:sz w:val="24"/>
      <w:lang w:val="en-US"/>
    </w:rPr>
  </w:style>
  <w:style w:type="paragraph" w:customStyle="1" w:styleId="CoverSubtitle28">
    <w:name w:val="CoverSubtitle28"/>
    <w:basedOn w:val="Normal"/>
    <w:link w:val="CoverSubtitle28Char"/>
    <w:qFormat/>
    <w:rsid w:val="00AF434C"/>
    <w:pPr>
      <w:spacing w:after="0" w:line="254" w:lineRule="auto"/>
    </w:pPr>
    <w:rPr>
      <w:rFonts w:ascii="Ubuntu" w:hAnsi="Ubuntu"/>
      <w:color w:val="1AA5BD" w:themeColor="accent3"/>
      <w:sz w:val="56"/>
    </w:rPr>
  </w:style>
  <w:style w:type="paragraph" w:customStyle="1" w:styleId="CoverSubtitle20">
    <w:name w:val="CoverSubtitle20"/>
    <w:basedOn w:val="Normal"/>
    <w:link w:val="CoverSubtitle20Char"/>
    <w:qFormat/>
    <w:rsid w:val="006A7657"/>
    <w:pPr>
      <w:spacing w:after="0" w:line="254" w:lineRule="auto"/>
    </w:pPr>
    <w:rPr>
      <w:rFonts w:ascii="Arial" w:hAnsi="Arial" w:cs="Arial"/>
      <w:sz w:val="48"/>
      <w:szCs w:val="48"/>
      <w:lang w:val="en-US"/>
    </w:rPr>
  </w:style>
  <w:style w:type="character" w:customStyle="1" w:styleId="CoverSubtitle28Char">
    <w:name w:val="CoverSubtitle28 Char"/>
    <w:basedOn w:val="DefaultParagraphFont"/>
    <w:link w:val="CoverSubtitle28"/>
    <w:rsid w:val="00AF434C"/>
    <w:rPr>
      <w:rFonts w:ascii="Ubuntu" w:hAnsi="Ubuntu"/>
      <w:color w:val="1AA5BD" w:themeColor="accent3"/>
      <w:sz w:val="56"/>
    </w:rPr>
  </w:style>
  <w:style w:type="character" w:customStyle="1" w:styleId="CoverSubtitle20Char">
    <w:name w:val="CoverSubtitle20 Char"/>
    <w:basedOn w:val="DefaultParagraphFont"/>
    <w:link w:val="CoverSubtitle20"/>
    <w:rsid w:val="006A7657"/>
    <w:rPr>
      <w:rFonts w:ascii="Arial" w:hAnsi="Arial" w:cs="Arial"/>
      <w:sz w:val="48"/>
      <w:szCs w:val="48"/>
      <w:lang w:val="en-US"/>
    </w:rPr>
  </w:style>
  <w:style w:type="paragraph" w:customStyle="1" w:styleId="BulletsDoc">
    <w:name w:val="BulletsDoc"/>
    <w:basedOn w:val="paragraph"/>
    <w:link w:val="BulletsDocChar"/>
    <w:qFormat/>
    <w:rsid w:val="000D2BFC"/>
    <w:pPr>
      <w:spacing w:before="0" w:after="0" w:line="276" w:lineRule="auto"/>
      <w:ind w:left="714" w:hanging="357"/>
    </w:pPr>
    <w:rPr>
      <w:lang w:val="en-US"/>
    </w:rPr>
  </w:style>
  <w:style w:type="character" w:customStyle="1" w:styleId="BulletsDocChar">
    <w:name w:val="BulletsDoc Char"/>
    <w:basedOn w:val="paragraphCar"/>
    <w:link w:val="BulletsDoc"/>
    <w:rsid w:val="000D2BFC"/>
    <w:rPr>
      <w:color w:val="3F3F42" w:themeColor="background1" w:themeTint="E6"/>
      <w:sz w:val="24"/>
      <w:lang w:val="en-US"/>
    </w:rPr>
  </w:style>
  <w:style w:type="paragraph" w:styleId="ListBullet">
    <w:name w:val="List Bullet"/>
    <w:basedOn w:val="Normal"/>
    <w:uiPriority w:val="99"/>
    <w:semiHidden/>
    <w:unhideWhenUsed/>
    <w:rsid w:val="00A14CA2"/>
    <w:pPr>
      <w:numPr>
        <w:numId w:val="9"/>
      </w:numPr>
      <w:spacing w:after="0" w:line="254" w:lineRule="auto"/>
      <w:contextualSpacing/>
    </w:pPr>
  </w:style>
  <w:style w:type="character" w:styleId="UnresolvedMention">
    <w:name w:val="Unresolved Mention"/>
    <w:basedOn w:val="DefaultParagraphFont"/>
    <w:uiPriority w:val="99"/>
    <w:semiHidden/>
    <w:unhideWhenUsed/>
    <w:rsid w:val="00EB7022"/>
    <w:rPr>
      <w:color w:val="605E5C"/>
      <w:shd w:val="clear" w:color="auto" w:fill="E1DFDD"/>
    </w:rPr>
  </w:style>
  <w:style w:type="character" w:styleId="FollowedHyperlink">
    <w:name w:val="FollowedHyperlink"/>
    <w:basedOn w:val="DefaultParagraphFont"/>
    <w:uiPriority w:val="99"/>
    <w:semiHidden/>
    <w:unhideWhenUsed/>
    <w:rsid w:val="006E0107"/>
    <w:rPr>
      <w:color w:val="2BC8FF" w:themeColor="followedHyperlink"/>
      <w:u w:val="single"/>
    </w:rPr>
  </w:style>
  <w:style w:type="paragraph" w:styleId="BalloonText">
    <w:name w:val="Balloon Text"/>
    <w:basedOn w:val="Normal"/>
    <w:link w:val="BalloonTextChar"/>
    <w:uiPriority w:val="99"/>
    <w:semiHidden/>
    <w:unhideWhenUsed/>
    <w:rsid w:val="007956D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56D6"/>
    <w:rPr>
      <w:rFonts w:ascii="Segoe UI" w:hAnsi="Segoe UI" w:cs="Segoe UI"/>
      <w:sz w:val="18"/>
      <w:szCs w:val="18"/>
    </w:rPr>
  </w:style>
  <w:style w:type="character" w:customStyle="1" w:styleId="normaltextrun">
    <w:name w:val="normaltextrun"/>
    <w:basedOn w:val="DefaultParagraphFont"/>
    <w:rsid w:val="007C3B76"/>
  </w:style>
  <w:style w:type="character" w:customStyle="1" w:styleId="eop">
    <w:name w:val="eop"/>
    <w:basedOn w:val="DefaultParagraphFont"/>
    <w:rsid w:val="007C3B76"/>
  </w:style>
  <w:style w:type="paragraph" w:customStyle="1" w:styleId="TableHeaderDynamic">
    <w:name w:val="TableHeaderDynamic"/>
    <w:basedOn w:val="paragraph"/>
    <w:link w:val="TableHeaderDynamicChar"/>
    <w:qFormat/>
    <w:rsid w:val="00AD5049"/>
    <w:pPr>
      <w:jc w:val="left"/>
    </w:pPr>
    <w:rPr>
      <w:rFonts w:ascii="Arial" w:hAnsi="Arial" w:cs="Arial"/>
      <w:bCs/>
      <w:sz w:val="28"/>
      <w:szCs w:val="24"/>
      <w:lang w:val="en-US"/>
    </w:rPr>
  </w:style>
  <w:style w:type="character" w:customStyle="1" w:styleId="TableHeaderDynamicChar">
    <w:name w:val="TableHeaderDynamic Char"/>
    <w:basedOn w:val="paragraphCar"/>
    <w:link w:val="TableHeaderDynamic"/>
    <w:rsid w:val="00AD5049"/>
    <w:rPr>
      <w:rFonts w:ascii="Arial" w:hAnsi="Arial" w:cs="Arial"/>
      <w:bCs/>
      <w:color w:val="1B1F18"/>
      <w:sz w:val="28"/>
      <w:szCs w:val="24"/>
      <w:lang w:val="en-US"/>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8005562">
      <w:bodyDiv w:val="1"/>
      <w:marLeft w:val="0"/>
      <w:marRight w:val="0"/>
      <w:marTop w:val="0"/>
      <w:marBottom w:val="0"/>
      <w:divBdr>
        <w:top w:val="none" w:sz="0" w:space="0" w:color="auto"/>
        <w:left w:val="none" w:sz="0" w:space="0" w:color="auto"/>
        <w:bottom w:val="none" w:sz="0" w:space="0" w:color="auto"/>
        <w:right w:val="none" w:sz="0" w:space="0" w:color="auto"/>
      </w:divBdr>
    </w:div>
    <w:div w:id="425884197">
      <w:bodyDiv w:val="1"/>
      <w:marLeft w:val="0"/>
      <w:marRight w:val="0"/>
      <w:marTop w:val="0"/>
      <w:marBottom w:val="0"/>
      <w:divBdr>
        <w:top w:val="none" w:sz="0" w:space="0" w:color="auto"/>
        <w:left w:val="none" w:sz="0" w:space="0" w:color="auto"/>
        <w:bottom w:val="none" w:sz="0" w:space="0" w:color="auto"/>
        <w:right w:val="none" w:sz="0" w:space="0" w:color="auto"/>
      </w:divBdr>
    </w:div>
    <w:div w:id="554118909">
      <w:bodyDiv w:val="1"/>
      <w:marLeft w:val="0"/>
      <w:marRight w:val="0"/>
      <w:marTop w:val="0"/>
      <w:marBottom w:val="0"/>
      <w:divBdr>
        <w:top w:val="none" w:sz="0" w:space="0" w:color="auto"/>
        <w:left w:val="none" w:sz="0" w:space="0" w:color="auto"/>
        <w:bottom w:val="none" w:sz="0" w:space="0" w:color="auto"/>
        <w:right w:val="none" w:sz="0" w:space="0" w:color="auto"/>
      </w:divBdr>
      <w:divsChild>
        <w:div w:id="1241599823">
          <w:marLeft w:val="0"/>
          <w:marRight w:val="0"/>
          <w:marTop w:val="0"/>
          <w:marBottom w:val="0"/>
          <w:divBdr>
            <w:top w:val="none" w:sz="0" w:space="0" w:color="auto"/>
            <w:left w:val="none" w:sz="0" w:space="0" w:color="auto"/>
            <w:bottom w:val="none" w:sz="0" w:space="0" w:color="auto"/>
            <w:right w:val="none" w:sz="0" w:space="0" w:color="auto"/>
          </w:divBdr>
        </w:div>
      </w:divsChild>
    </w:div>
    <w:div w:id="737438014">
      <w:bodyDiv w:val="1"/>
      <w:marLeft w:val="0"/>
      <w:marRight w:val="0"/>
      <w:marTop w:val="0"/>
      <w:marBottom w:val="0"/>
      <w:divBdr>
        <w:top w:val="none" w:sz="0" w:space="0" w:color="auto"/>
        <w:left w:val="none" w:sz="0" w:space="0" w:color="auto"/>
        <w:bottom w:val="none" w:sz="0" w:space="0" w:color="auto"/>
        <w:right w:val="none" w:sz="0" w:space="0" w:color="auto"/>
      </w:divBdr>
    </w:div>
    <w:div w:id="929970390">
      <w:bodyDiv w:val="1"/>
      <w:marLeft w:val="0"/>
      <w:marRight w:val="0"/>
      <w:marTop w:val="0"/>
      <w:marBottom w:val="0"/>
      <w:divBdr>
        <w:top w:val="none" w:sz="0" w:space="0" w:color="auto"/>
        <w:left w:val="none" w:sz="0" w:space="0" w:color="auto"/>
        <w:bottom w:val="none" w:sz="0" w:space="0" w:color="auto"/>
        <w:right w:val="none" w:sz="0" w:space="0" w:color="auto"/>
      </w:divBdr>
    </w:div>
    <w:div w:id="941184575">
      <w:bodyDiv w:val="1"/>
      <w:marLeft w:val="0"/>
      <w:marRight w:val="0"/>
      <w:marTop w:val="0"/>
      <w:marBottom w:val="0"/>
      <w:divBdr>
        <w:top w:val="none" w:sz="0" w:space="0" w:color="auto"/>
        <w:left w:val="none" w:sz="0" w:space="0" w:color="auto"/>
        <w:bottom w:val="none" w:sz="0" w:space="0" w:color="auto"/>
        <w:right w:val="none" w:sz="0" w:space="0" w:color="auto"/>
      </w:divBdr>
    </w:div>
    <w:div w:id="966811255">
      <w:bodyDiv w:val="1"/>
      <w:marLeft w:val="0"/>
      <w:marRight w:val="0"/>
      <w:marTop w:val="0"/>
      <w:marBottom w:val="0"/>
      <w:divBdr>
        <w:top w:val="none" w:sz="0" w:space="0" w:color="auto"/>
        <w:left w:val="none" w:sz="0" w:space="0" w:color="auto"/>
        <w:bottom w:val="none" w:sz="0" w:space="0" w:color="auto"/>
        <w:right w:val="none" w:sz="0" w:space="0" w:color="auto"/>
      </w:divBdr>
    </w:div>
    <w:div w:id="976911097">
      <w:bodyDiv w:val="1"/>
      <w:marLeft w:val="0"/>
      <w:marRight w:val="0"/>
      <w:marTop w:val="0"/>
      <w:marBottom w:val="0"/>
      <w:divBdr>
        <w:top w:val="none" w:sz="0" w:space="0" w:color="auto"/>
        <w:left w:val="none" w:sz="0" w:space="0" w:color="auto"/>
        <w:bottom w:val="none" w:sz="0" w:space="0" w:color="auto"/>
        <w:right w:val="none" w:sz="0" w:space="0" w:color="auto"/>
      </w:divBdr>
      <w:divsChild>
        <w:div w:id="1965426950">
          <w:marLeft w:val="0"/>
          <w:marRight w:val="0"/>
          <w:marTop w:val="0"/>
          <w:marBottom w:val="0"/>
          <w:divBdr>
            <w:top w:val="none" w:sz="0" w:space="0" w:color="auto"/>
            <w:left w:val="none" w:sz="0" w:space="0" w:color="auto"/>
            <w:bottom w:val="none" w:sz="0" w:space="0" w:color="auto"/>
            <w:right w:val="none" w:sz="0" w:space="0" w:color="auto"/>
          </w:divBdr>
        </w:div>
      </w:divsChild>
    </w:div>
    <w:div w:id="1079837281">
      <w:bodyDiv w:val="1"/>
      <w:marLeft w:val="0"/>
      <w:marRight w:val="0"/>
      <w:marTop w:val="0"/>
      <w:marBottom w:val="0"/>
      <w:divBdr>
        <w:top w:val="none" w:sz="0" w:space="0" w:color="auto"/>
        <w:left w:val="none" w:sz="0" w:space="0" w:color="auto"/>
        <w:bottom w:val="none" w:sz="0" w:space="0" w:color="auto"/>
        <w:right w:val="none" w:sz="0" w:space="0" w:color="auto"/>
      </w:divBdr>
    </w:div>
    <w:div w:id="1109348512">
      <w:bodyDiv w:val="1"/>
      <w:marLeft w:val="0"/>
      <w:marRight w:val="0"/>
      <w:marTop w:val="0"/>
      <w:marBottom w:val="0"/>
      <w:divBdr>
        <w:top w:val="none" w:sz="0" w:space="0" w:color="auto"/>
        <w:left w:val="none" w:sz="0" w:space="0" w:color="auto"/>
        <w:bottom w:val="none" w:sz="0" w:space="0" w:color="auto"/>
        <w:right w:val="none" w:sz="0" w:space="0" w:color="auto"/>
      </w:divBdr>
      <w:divsChild>
        <w:div w:id="1344550390">
          <w:marLeft w:val="0"/>
          <w:marRight w:val="0"/>
          <w:marTop w:val="0"/>
          <w:marBottom w:val="0"/>
          <w:divBdr>
            <w:top w:val="none" w:sz="0" w:space="0" w:color="auto"/>
            <w:left w:val="none" w:sz="0" w:space="0" w:color="auto"/>
            <w:bottom w:val="none" w:sz="0" w:space="0" w:color="auto"/>
            <w:right w:val="none" w:sz="0" w:space="0" w:color="auto"/>
          </w:divBdr>
        </w:div>
      </w:divsChild>
    </w:div>
    <w:div w:id="1182356942">
      <w:bodyDiv w:val="1"/>
      <w:marLeft w:val="0"/>
      <w:marRight w:val="0"/>
      <w:marTop w:val="0"/>
      <w:marBottom w:val="0"/>
      <w:divBdr>
        <w:top w:val="none" w:sz="0" w:space="0" w:color="auto"/>
        <w:left w:val="none" w:sz="0" w:space="0" w:color="auto"/>
        <w:bottom w:val="none" w:sz="0" w:space="0" w:color="auto"/>
        <w:right w:val="none" w:sz="0" w:space="0" w:color="auto"/>
      </w:divBdr>
    </w:div>
    <w:div w:id="1452289370">
      <w:bodyDiv w:val="1"/>
      <w:marLeft w:val="0"/>
      <w:marRight w:val="0"/>
      <w:marTop w:val="0"/>
      <w:marBottom w:val="0"/>
      <w:divBdr>
        <w:top w:val="none" w:sz="0" w:space="0" w:color="auto"/>
        <w:left w:val="none" w:sz="0" w:space="0" w:color="auto"/>
        <w:bottom w:val="none" w:sz="0" w:space="0" w:color="auto"/>
        <w:right w:val="none" w:sz="0" w:space="0" w:color="auto"/>
      </w:divBdr>
    </w:div>
    <w:div w:id="1524243318">
      <w:bodyDiv w:val="1"/>
      <w:marLeft w:val="0"/>
      <w:marRight w:val="0"/>
      <w:marTop w:val="0"/>
      <w:marBottom w:val="0"/>
      <w:divBdr>
        <w:top w:val="none" w:sz="0" w:space="0" w:color="auto"/>
        <w:left w:val="none" w:sz="0" w:space="0" w:color="auto"/>
        <w:bottom w:val="none" w:sz="0" w:space="0" w:color="auto"/>
        <w:right w:val="none" w:sz="0" w:space="0" w:color="auto"/>
      </w:divBdr>
      <w:divsChild>
        <w:div w:id="197738132">
          <w:marLeft w:val="0"/>
          <w:marRight w:val="0"/>
          <w:marTop w:val="0"/>
          <w:marBottom w:val="0"/>
          <w:divBdr>
            <w:top w:val="none" w:sz="0" w:space="0" w:color="auto"/>
            <w:left w:val="none" w:sz="0" w:space="0" w:color="auto"/>
            <w:bottom w:val="none" w:sz="0" w:space="0" w:color="auto"/>
            <w:right w:val="none" w:sz="0" w:space="0" w:color="auto"/>
          </w:divBdr>
        </w:div>
      </w:divsChild>
    </w:div>
    <w:div w:id="1883861247">
      <w:bodyDiv w:val="1"/>
      <w:marLeft w:val="0"/>
      <w:marRight w:val="0"/>
      <w:marTop w:val="0"/>
      <w:marBottom w:val="0"/>
      <w:divBdr>
        <w:top w:val="none" w:sz="0" w:space="0" w:color="auto"/>
        <w:left w:val="none" w:sz="0" w:space="0" w:color="auto"/>
        <w:bottom w:val="none" w:sz="0" w:space="0" w:color="auto"/>
        <w:right w:val="none" w:sz="0" w:space="0" w:color="auto"/>
      </w:divBdr>
    </w:div>
    <w:div w:id="1886677103">
      <w:bodyDiv w:val="1"/>
      <w:marLeft w:val="0"/>
      <w:marRight w:val="0"/>
      <w:marTop w:val="0"/>
      <w:marBottom w:val="0"/>
      <w:divBdr>
        <w:top w:val="none" w:sz="0" w:space="0" w:color="auto"/>
        <w:left w:val="none" w:sz="0" w:space="0" w:color="auto"/>
        <w:bottom w:val="none" w:sz="0" w:space="0" w:color="auto"/>
        <w:right w:val="none" w:sz="0" w:space="0" w:color="auto"/>
      </w:divBdr>
    </w:div>
    <w:div w:id="2051222438">
      <w:bodyDiv w:val="1"/>
      <w:marLeft w:val="0"/>
      <w:marRight w:val="0"/>
      <w:marTop w:val="0"/>
      <w:marBottom w:val="0"/>
      <w:divBdr>
        <w:top w:val="none" w:sz="0" w:space="0" w:color="auto"/>
        <w:left w:val="none" w:sz="0" w:space="0" w:color="auto"/>
        <w:bottom w:val="none" w:sz="0" w:space="0" w:color="auto"/>
        <w:right w:val="none" w:sz="0" w:space="0" w:color="auto"/>
      </w:divBdr>
    </w:div>
    <w:div w:id="2085952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no"?><Relationships xmlns="http://schemas.openxmlformats.org/package/2006/relationships"><Relationship Id="rId1" Target="../customXml/item1.xml" Type="http://schemas.openxmlformats.org/officeDocument/2006/relationships/customXml"/><Relationship Id="rId10" Target="https://f.hubspotusercontent20.net/hubfs/2650377/RatedPower-pvDesign-Energy-Methodology-Report.pdf" TargetMode="External" Type="http://schemas.openxmlformats.org/officeDocument/2006/relationships/hyperlink"/><Relationship Id="rId11" Target="fontTable.xml" Type="http://schemas.openxmlformats.org/officeDocument/2006/relationships/fontTable"/><Relationship Id="rId12" Target="theme/theme1.xml" Type="http://schemas.openxmlformats.org/officeDocument/2006/relationships/theme"/><Relationship Id="rId13" Target="media/image2.png" Type="http://schemas.openxmlformats.org/officeDocument/2006/relationships/image"/><Relationship Id="rId14" Target="media/image3.png" Type="http://schemas.openxmlformats.org/officeDocument/2006/relationships/image"/><Relationship Id="rId15" Target="media/image4.png" Type="http://schemas.openxmlformats.org/officeDocument/2006/relationships/image"/><Relationship Id="rId16" Target="media/image5.png" Type="http://schemas.openxmlformats.org/officeDocument/2006/relationships/image"/><Relationship Id="rId17" Target="media/image6.png" Type="http://schemas.openxmlformats.org/officeDocument/2006/relationships/image"/><Relationship Id="rId18" Target="media/image7.png" Type="http://schemas.openxmlformats.org/officeDocument/2006/relationships/image"/><Relationship Id="rId19" Target="media/image8.png" Type="http://schemas.openxmlformats.org/officeDocument/2006/relationships/image"/><Relationship Id="rId2" Target="numbering.xml" Type="http://schemas.openxmlformats.org/officeDocument/2006/relationships/numbering"/><Relationship Id="rId20" Target="media/image9.png" Type="http://schemas.openxmlformats.org/officeDocument/2006/relationships/image"/><Relationship Id="rId21" Target="media/image10.png" Type="http://schemas.openxmlformats.org/officeDocument/2006/relationships/image"/><Relationship Id="rId22" Target="media/image11.png" Type="http://schemas.openxmlformats.org/officeDocument/2006/relationships/image"/><Relationship Id="rId23" Target="media/image12.png" Type="http://schemas.openxmlformats.org/officeDocument/2006/relationships/image"/><Relationship Id="rId24" Target="media/image13.png" Type="http://schemas.openxmlformats.org/officeDocument/2006/relationships/image"/><Relationship Id="rId25" Target="media/image14.jpeg" Type="http://schemas.openxmlformats.org/officeDocument/2006/relationships/image"/><Relationship Id="rId26" Target="media/image15.png" Type="http://schemas.openxmlformats.org/officeDocument/2006/relationships/image"/><Relationship Id="rId27" Target="media/image16.png" Type="http://schemas.openxmlformats.org/officeDocument/2006/relationships/image"/><Relationship Id="rId28" Target="media/image17.png" Type="http://schemas.openxmlformats.org/officeDocument/2006/relationships/image"/><Relationship Id="rId29" Target="media/image18.png" Type="http://schemas.openxmlformats.org/officeDocument/2006/relationships/image"/><Relationship Id="rId3" Target="styles.xml" Type="http://schemas.openxmlformats.org/officeDocument/2006/relationships/styles"/><Relationship Id="rId30" Target="media/image19.png" Type="http://schemas.openxmlformats.org/officeDocument/2006/relationships/image"/><Relationship Id="rId31" Target="header1.xml" Type="http://schemas.openxmlformats.org/officeDocument/2006/relationships/header"/><Relationship Id="rId32" Target="header2.xml" Type="http://schemas.openxmlformats.org/officeDocument/2006/relationships/header"/><Relationship Id="rId4" Target="settings.xml" Type="http://schemas.openxmlformats.org/officeDocument/2006/relationships/settings"/><Relationship Id="rId5" Target="webSettings.xml" Type="http://schemas.openxmlformats.org/officeDocument/2006/relationships/webSettings"/><Relationship Id="rId6" Target="footnotes.xml" Type="http://schemas.openxmlformats.org/officeDocument/2006/relationships/footnotes"/><Relationship Id="rId7" Target="endnotes.xml" Type="http://schemas.openxmlformats.org/officeDocument/2006/relationships/endnotes"/><Relationship Id="rId8" Target="media/image1.png" Type="http://schemas.openxmlformats.org/officeDocument/2006/relationships/image"/><Relationship Id="rId9" Target="footer1.xml" Type="http://schemas.openxmlformats.org/officeDocument/2006/relationships/footer"/></Relationships>
</file>

<file path=word/theme/theme1.xml><?xml version="1.0" encoding="utf-8"?>
<a:theme xmlns:a="http://schemas.openxmlformats.org/drawingml/2006/main" name="Tema de Office">
  <a:themeElements>
    <a:clrScheme name="RatedPower2">
      <a:dk1>
        <a:srgbClr val="FFFFFF"/>
      </a:dk1>
      <a:lt1>
        <a:srgbClr val="2B2B2D"/>
      </a:lt1>
      <a:dk2>
        <a:srgbClr val="1C5686"/>
      </a:dk2>
      <a:lt2>
        <a:srgbClr val="176490"/>
      </a:lt2>
      <a:accent1>
        <a:srgbClr val="51C3CA"/>
      </a:accent1>
      <a:accent2>
        <a:srgbClr val="3CB2C3"/>
      </a:accent2>
      <a:accent3>
        <a:srgbClr val="1AA5BD"/>
      </a:accent3>
      <a:accent4>
        <a:srgbClr val="0097B7"/>
      </a:accent4>
      <a:accent5>
        <a:srgbClr val="0086AC"/>
      </a:accent5>
      <a:accent6>
        <a:srgbClr val="00759E"/>
      </a:accent6>
      <a:hlink>
        <a:srgbClr val="FBBA37"/>
      </a:hlink>
      <a:folHlink>
        <a:srgbClr val="2BC8FF"/>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no"?><Relationships xmlns="http://schemas.openxmlformats.org/package/2006/relationships"><Relationship Id="rId1" Target="itemProps1.xml" Type="http://schemas.openxmlformats.org/officeDocument/2006/relationships/customXmlProps"/></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45BC62-D776-4641-A425-6DED9C7F3E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48</Pages>
  <Words>11034</Words>
  <Characters>62900</Characters>
  <Application>Microsoft Office Word</Application>
  <DocSecurity>0</DocSecurity>
  <Lines>524</Lines>
  <Paragraphs>147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2024-08-20T11:15:00Z</dcterms:created>
  <dc:creator>Miguel Ángel Torrero Rionegro</dc:creator>
  <cp:lastModifiedBy>Javier González Cabrera</cp:lastModifiedBy>
  <dcterms:modified xsi:type="dcterms:W3CDTF">2024-10-21T10:45:00Z</dcterms:modified>
  <cp:revision>10</cp:revision>
</cp:coreProperties>
</file>