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4B80" w14:textId="77777777" w:rsidR="009103CC" w:rsidRPr="001814D2" w:rsidRDefault="009103CC" w:rsidP="009103CC">
      <w:pPr>
        <w:pStyle w:val="ARheading1"/>
      </w:pPr>
      <w:bookmarkStart w:id="0" w:name="_Toc92880778"/>
      <w:r w:rsidRPr="001814D2">
        <w:t>Art Gallery of New South Wales Annual Report 2020</w:t>
      </w:r>
      <w:r w:rsidRPr="00933FC4">
        <w:t>–</w:t>
      </w:r>
      <w:r w:rsidRPr="001814D2">
        <w:t>21</w:t>
      </w:r>
      <w:bookmarkEnd w:id="0"/>
    </w:p>
    <w:p w14:paraId="48AC2C24" w14:textId="77777777" w:rsidR="009103CC" w:rsidRDefault="009103CC" w:rsidP="009103CC">
      <w:pPr>
        <w:pStyle w:val="ARbody"/>
      </w:pPr>
    </w:p>
    <w:p w14:paraId="1026353A" w14:textId="77777777" w:rsidR="009103CC" w:rsidRDefault="009103CC" w:rsidP="009103CC">
      <w:pPr>
        <w:pStyle w:val="TOC2"/>
        <w:tabs>
          <w:tab w:val="right" w:pos="9060"/>
        </w:tabs>
        <w:rPr>
          <w:rFonts w:asciiTheme="minorHAnsi" w:eastAsiaTheme="minorEastAsia" w:hAnsiTheme="minorHAnsi" w:cstheme="minorBidi"/>
          <w:bCs w:val="0"/>
          <w:noProof/>
          <w:color w:val="auto"/>
          <w:szCs w:val="22"/>
          <w:lang w:val="en-AU" w:eastAsia="en-AU"/>
        </w:rPr>
      </w:pPr>
      <w:r>
        <w:fldChar w:fldCharType="begin"/>
      </w:r>
      <w:r>
        <w:instrText xml:space="preserve"> TOC \o "2-2" \h \z \t "Heading 1,1" </w:instrText>
      </w:r>
      <w:r>
        <w:fldChar w:fldCharType="separate"/>
      </w:r>
      <w:hyperlink w:anchor="_Toc92897858" w:history="1">
        <w:r w:rsidRPr="00843D0A">
          <w:rPr>
            <w:rStyle w:val="Hyperlink"/>
            <w:noProof/>
            <w:lang w:val="en-AU"/>
          </w:rPr>
          <w:t>Highlights</w:t>
        </w:r>
        <w:r>
          <w:rPr>
            <w:noProof/>
            <w:webHidden/>
          </w:rPr>
          <w:tab/>
        </w:r>
        <w:r>
          <w:rPr>
            <w:noProof/>
            <w:webHidden/>
          </w:rPr>
          <w:fldChar w:fldCharType="begin"/>
        </w:r>
        <w:r>
          <w:rPr>
            <w:noProof/>
            <w:webHidden/>
          </w:rPr>
          <w:instrText xml:space="preserve"> PAGEREF _Toc92897858 \h </w:instrText>
        </w:r>
        <w:r>
          <w:rPr>
            <w:noProof/>
            <w:webHidden/>
          </w:rPr>
        </w:r>
        <w:r>
          <w:rPr>
            <w:noProof/>
            <w:webHidden/>
          </w:rPr>
          <w:fldChar w:fldCharType="separate"/>
        </w:r>
        <w:r>
          <w:rPr>
            <w:noProof/>
            <w:webHidden/>
          </w:rPr>
          <w:t>3</w:t>
        </w:r>
        <w:r>
          <w:rPr>
            <w:noProof/>
            <w:webHidden/>
          </w:rPr>
          <w:fldChar w:fldCharType="end"/>
        </w:r>
      </w:hyperlink>
    </w:p>
    <w:p w14:paraId="24D4A4E0" w14:textId="77777777" w:rsidR="009103CC" w:rsidRDefault="00E103FD" w:rsidP="009103CC">
      <w:pPr>
        <w:pStyle w:val="TOC2"/>
        <w:tabs>
          <w:tab w:val="right" w:pos="9060"/>
        </w:tabs>
        <w:rPr>
          <w:rFonts w:asciiTheme="minorHAnsi" w:eastAsiaTheme="minorEastAsia" w:hAnsiTheme="minorHAnsi" w:cstheme="minorBidi"/>
          <w:bCs w:val="0"/>
          <w:noProof/>
          <w:color w:val="auto"/>
          <w:szCs w:val="22"/>
          <w:lang w:val="en-AU" w:eastAsia="en-AU"/>
        </w:rPr>
      </w:pPr>
      <w:hyperlink w:anchor="_Toc92897859" w:history="1">
        <w:r w:rsidR="009103CC" w:rsidRPr="00843D0A">
          <w:rPr>
            <w:rStyle w:val="Hyperlink"/>
            <w:noProof/>
            <w:lang w:val="en-AU"/>
          </w:rPr>
          <w:t>President’s foreword</w:t>
        </w:r>
        <w:r w:rsidR="009103CC">
          <w:rPr>
            <w:noProof/>
            <w:webHidden/>
          </w:rPr>
          <w:tab/>
        </w:r>
        <w:r w:rsidR="009103CC">
          <w:rPr>
            <w:noProof/>
            <w:webHidden/>
          </w:rPr>
          <w:fldChar w:fldCharType="begin"/>
        </w:r>
        <w:r w:rsidR="009103CC">
          <w:rPr>
            <w:noProof/>
            <w:webHidden/>
          </w:rPr>
          <w:instrText xml:space="preserve"> PAGEREF _Toc92897859 \h </w:instrText>
        </w:r>
        <w:r w:rsidR="009103CC">
          <w:rPr>
            <w:noProof/>
            <w:webHidden/>
          </w:rPr>
        </w:r>
        <w:r w:rsidR="009103CC">
          <w:rPr>
            <w:noProof/>
            <w:webHidden/>
          </w:rPr>
          <w:fldChar w:fldCharType="separate"/>
        </w:r>
        <w:r w:rsidR="009103CC">
          <w:rPr>
            <w:noProof/>
            <w:webHidden/>
          </w:rPr>
          <w:t>4</w:t>
        </w:r>
        <w:r w:rsidR="009103CC">
          <w:rPr>
            <w:noProof/>
            <w:webHidden/>
          </w:rPr>
          <w:fldChar w:fldCharType="end"/>
        </w:r>
      </w:hyperlink>
    </w:p>
    <w:p w14:paraId="0CC5DEB3" w14:textId="77777777" w:rsidR="009103CC" w:rsidRDefault="00E103FD" w:rsidP="009103CC">
      <w:pPr>
        <w:pStyle w:val="TOC2"/>
        <w:tabs>
          <w:tab w:val="right" w:pos="9060"/>
        </w:tabs>
        <w:rPr>
          <w:rFonts w:asciiTheme="minorHAnsi" w:eastAsiaTheme="minorEastAsia" w:hAnsiTheme="minorHAnsi" w:cstheme="minorBidi"/>
          <w:bCs w:val="0"/>
          <w:noProof/>
          <w:color w:val="auto"/>
          <w:szCs w:val="22"/>
          <w:lang w:val="en-AU" w:eastAsia="en-AU"/>
        </w:rPr>
      </w:pPr>
      <w:hyperlink w:anchor="_Toc92897860" w:history="1">
        <w:r w:rsidR="009103CC" w:rsidRPr="00843D0A">
          <w:rPr>
            <w:rStyle w:val="Hyperlink"/>
            <w:noProof/>
            <w:lang w:val="en-AU"/>
          </w:rPr>
          <w:t>Director’s statement</w:t>
        </w:r>
        <w:r w:rsidR="009103CC">
          <w:rPr>
            <w:noProof/>
            <w:webHidden/>
          </w:rPr>
          <w:tab/>
        </w:r>
        <w:r w:rsidR="009103CC">
          <w:rPr>
            <w:noProof/>
            <w:webHidden/>
          </w:rPr>
          <w:fldChar w:fldCharType="begin"/>
        </w:r>
        <w:r w:rsidR="009103CC">
          <w:rPr>
            <w:noProof/>
            <w:webHidden/>
          </w:rPr>
          <w:instrText xml:space="preserve"> PAGEREF _Toc92897860 \h </w:instrText>
        </w:r>
        <w:r w:rsidR="009103CC">
          <w:rPr>
            <w:noProof/>
            <w:webHidden/>
          </w:rPr>
        </w:r>
        <w:r w:rsidR="009103CC">
          <w:rPr>
            <w:noProof/>
            <w:webHidden/>
          </w:rPr>
          <w:fldChar w:fldCharType="separate"/>
        </w:r>
        <w:r w:rsidR="009103CC">
          <w:rPr>
            <w:noProof/>
            <w:webHidden/>
          </w:rPr>
          <w:t>8</w:t>
        </w:r>
        <w:r w:rsidR="009103CC">
          <w:rPr>
            <w:noProof/>
            <w:webHidden/>
          </w:rPr>
          <w:fldChar w:fldCharType="end"/>
        </w:r>
      </w:hyperlink>
    </w:p>
    <w:p w14:paraId="1DFD2AC8" w14:textId="77777777" w:rsidR="009103CC" w:rsidRDefault="00E103FD" w:rsidP="009103CC">
      <w:pPr>
        <w:pStyle w:val="TOC2"/>
        <w:tabs>
          <w:tab w:val="right" w:pos="9060"/>
        </w:tabs>
        <w:rPr>
          <w:rFonts w:asciiTheme="minorHAnsi" w:eastAsiaTheme="minorEastAsia" w:hAnsiTheme="minorHAnsi" w:cstheme="minorBidi"/>
          <w:bCs w:val="0"/>
          <w:noProof/>
          <w:color w:val="auto"/>
          <w:szCs w:val="22"/>
          <w:lang w:val="en-AU" w:eastAsia="en-AU"/>
        </w:rPr>
      </w:pPr>
      <w:hyperlink w:anchor="_Toc92897861" w:history="1">
        <w:r w:rsidR="009103CC" w:rsidRPr="00843D0A">
          <w:rPr>
            <w:rStyle w:val="Hyperlink"/>
            <w:noProof/>
            <w:lang w:val="en-AU"/>
          </w:rPr>
          <w:t>1 Strategic goal: Campus</w:t>
        </w:r>
        <w:r w:rsidR="009103CC">
          <w:rPr>
            <w:noProof/>
            <w:webHidden/>
          </w:rPr>
          <w:tab/>
        </w:r>
        <w:r w:rsidR="009103CC">
          <w:rPr>
            <w:noProof/>
            <w:webHidden/>
          </w:rPr>
          <w:fldChar w:fldCharType="begin"/>
        </w:r>
        <w:r w:rsidR="009103CC">
          <w:rPr>
            <w:noProof/>
            <w:webHidden/>
          </w:rPr>
          <w:instrText xml:space="preserve"> PAGEREF _Toc92897861 \h </w:instrText>
        </w:r>
        <w:r w:rsidR="009103CC">
          <w:rPr>
            <w:noProof/>
            <w:webHidden/>
          </w:rPr>
        </w:r>
        <w:r w:rsidR="009103CC">
          <w:rPr>
            <w:noProof/>
            <w:webHidden/>
          </w:rPr>
          <w:fldChar w:fldCharType="separate"/>
        </w:r>
        <w:r w:rsidR="009103CC">
          <w:rPr>
            <w:noProof/>
            <w:webHidden/>
          </w:rPr>
          <w:t>15</w:t>
        </w:r>
        <w:r w:rsidR="009103CC">
          <w:rPr>
            <w:noProof/>
            <w:webHidden/>
          </w:rPr>
          <w:fldChar w:fldCharType="end"/>
        </w:r>
      </w:hyperlink>
    </w:p>
    <w:p w14:paraId="145F0583" w14:textId="77777777" w:rsidR="009103CC" w:rsidRDefault="00E103FD" w:rsidP="009103CC">
      <w:pPr>
        <w:pStyle w:val="TOC2"/>
        <w:tabs>
          <w:tab w:val="right" w:pos="9060"/>
        </w:tabs>
        <w:rPr>
          <w:rFonts w:asciiTheme="minorHAnsi" w:eastAsiaTheme="minorEastAsia" w:hAnsiTheme="minorHAnsi" w:cstheme="minorBidi"/>
          <w:bCs w:val="0"/>
          <w:noProof/>
          <w:color w:val="auto"/>
          <w:szCs w:val="22"/>
          <w:lang w:val="en-AU" w:eastAsia="en-AU"/>
        </w:rPr>
      </w:pPr>
      <w:hyperlink w:anchor="_Toc92897862" w:history="1">
        <w:r w:rsidR="009103CC" w:rsidRPr="00843D0A">
          <w:rPr>
            <w:rStyle w:val="Hyperlink"/>
            <w:noProof/>
            <w:lang w:val="en-AU"/>
          </w:rPr>
          <w:t>2 Strategic goal: Art</w:t>
        </w:r>
        <w:r w:rsidR="009103CC">
          <w:rPr>
            <w:noProof/>
            <w:webHidden/>
          </w:rPr>
          <w:tab/>
        </w:r>
        <w:r w:rsidR="009103CC">
          <w:rPr>
            <w:noProof/>
            <w:webHidden/>
          </w:rPr>
          <w:fldChar w:fldCharType="begin"/>
        </w:r>
        <w:r w:rsidR="009103CC">
          <w:rPr>
            <w:noProof/>
            <w:webHidden/>
          </w:rPr>
          <w:instrText xml:space="preserve"> PAGEREF _Toc92897862 \h </w:instrText>
        </w:r>
        <w:r w:rsidR="009103CC">
          <w:rPr>
            <w:noProof/>
            <w:webHidden/>
          </w:rPr>
        </w:r>
        <w:r w:rsidR="009103CC">
          <w:rPr>
            <w:noProof/>
            <w:webHidden/>
          </w:rPr>
          <w:fldChar w:fldCharType="separate"/>
        </w:r>
        <w:r w:rsidR="009103CC">
          <w:rPr>
            <w:noProof/>
            <w:webHidden/>
          </w:rPr>
          <w:t>18</w:t>
        </w:r>
        <w:r w:rsidR="009103CC">
          <w:rPr>
            <w:noProof/>
            <w:webHidden/>
          </w:rPr>
          <w:fldChar w:fldCharType="end"/>
        </w:r>
      </w:hyperlink>
    </w:p>
    <w:p w14:paraId="1C6337AD" w14:textId="77777777" w:rsidR="009103CC" w:rsidRDefault="00E103FD" w:rsidP="009103CC">
      <w:pPr>
        <w:pStyle w:val="TOC2"/>
        <w:tabs>
          <w:tab w:val="right" w:pos="9060"/>
        </w:tabs>
        <w:rPr>
          <w:rFonts w:asciiTheme="minorHAnsi" w:eastAsiaTheme="minorEastAsia" w:hAnsiTheme="minorHAnsi" w:cstheme="minorBidi"/>
          <w:bCs w:val="0"/>
          <w:noProof/>
          <w:color w:val="auto"/>
          <w:szCs w:val="22"/>
          <w:lang w:val="en-AU" w:eastAsia="en-AU"/>
        </w:rPr>
      </w:pPr>
      <w:hyperlink w:anchor="_Toc92897863" w:history="1">
        <w:r w:rsidR="009103CC" w:rsidRPr="00843D0A">
          <w:rPr>
            <w:rStyle w:val="Hyperlink"/>
            <w:noProof/>
            <w:lang w:val="en-AU"/>
          </w:rPr>
          <w:t>3 Strategic goal: Audience</w:t>
        </w:r>
        <w:r w:rsidR="009103CC">
          <w:rPr>
            <w:noProof/>
            <w:webHidden/>
          </w:rPr>
          <w:tab/>
        </w:r>
        <w:r w:rsidR="009103CC">
          <w:rPr>
            <w:noProof/>
            <w:webHidden/>
          </w:rPr>
          <w:fldChar w:fldCharType="begin"/>
        </w:r>
        <w:r w:rsidR="009103CC">
          <w:rPr>
            <w:noProof/>
            <w:webHidden/>
          </w:rPr>
          <w:instrText xml:space="preserve"> PAGEREF _Toc92897863 \h </w:instrText>
        </w:r>
        <w:r w:rsidR="009103CC">
          <w:rPr>
            <w:noProof/>
            <w:webHidden/>
          </w:rPr>
        </w:r>
        <w:r w:rsidR="009103CC">
          <w:rPr>
            <w:noProof/>
            <w:webHidden/>
          </w:rPr>
          <w:fldChar w:fldCharType="separate"/>
        </w:r>
        <w:r w:rsidR="009103CC">
          <w:rPr>
            <w:noProof/>
            <w:webHidden/>
          </w:rPr>
          <w:t>74</w:t>
        </w:r>
        <w:r w:rsidR="009103CC">
          <w:rPr>
            <w:noProof/>
            <w:webHidden/>
          </w:rPr>
          <w:fldChar w:fldCharType="end"/>
        </w:r>
      </w:hyperlink>
    </w:p>
    <w:p w14:paraId="255BAD75" w14:textId="77777777" w:rsidR="009103CC" w:rsidRDefault="00E103FD" w:rsidP="009103CC">
      <w:pPr>
        <w:pStyle w:val="TOC2"/>
        <w:tabs>
          <w:tab w:val="right" w:pos="9060"/>
        </w:tabs>
        <w:rPr>
          <w:rFonts w:asciiTheme="minorHAnsi" w:eastAsiaTheme="minorEastAsia" w:hAnsiTheme="minorHAnsi" w:cstheme="minorBidi"/>
          <w:bCs w:val="0"/>
          <w:noProof/>
          <w:color w:val="auto"/>
          <w:szCs w:val="22"/>
          <w:lang w:val="en-AU" w:eastAsia="en-AU"/>
        </w:rPr>
      </w:pPr>
      <w:hyperlink w:anchor="_Toc92897864" w:history="1">
        <w:r w:rsidR="009103CC" w:rsidRPr="00843D0A">
          <w:rPr>
            <w:rStyle w:val="Hyperlink"/>
            <w:noProof/>
            <w:lang w:val="en-AU"/>
          </w:rPr>
          <w:t>4 Strategic goal: Strength</w:t>
        </w:r>
        <w:r w:rsidR="009103CC">
          <w:rPr>
            <w:noProof/>
            <w:webHidden/>
          </w:rPr>
          <w:tab/>
        </w:r>
        <w:r w:rsidR="009103CC">
          <w:rPr>
            <w:noProof/>
            <w:webHidden/>
          </w:rPr>
          <w:fldChar w:fldCharType="begin"/>
        </w:r>
        <w:r w:rsidR="009103CC">
          <w:rPr>
            <w:noProof/>
            <w:webHidden/>
          </w:rPr>
          <w:instrText xml:space="preserve"> PAGEREF _Toc92897864 \h </w:instrText>
        </w:r>
        <w:r w:rsidR="009103CC">
          <w:rPr>
            <w:noProof/>
            <w:webHidden/>
          </w:rPr>
        </w:r>
        <w:r w:rsidR="009103CC">
          <w:rPr>
            <w:noProof/>
            <w:webHidden/>
          </w:rPr>
          <w:fldChar w:fldCharType="separate"/>
        </w:r>
        <w:r w:rsidR="009103CC">
          <w:rPr>
            <w:noProof/>
            <w:webHidden/>
          </w:rPr>
          <w:t>93</w:t>
        </w:r>
        <w:r w:rsidR="009103CC">
          <w:rPr>
            <w:noProof/>
            <w:webHidden/>
          </w:rPr>
          <w:fldChar w:fldCharType="end"/>
        </w:r>
      </w:hyperlink>
    </w:p>
    <w:p w14:paraId="491A3187" w14:textId="77777777" w:rsidR="009103CC" w:rsidRDefault="00E103FD" w:rsidP="009103CC">
      <w:pPr>
        <w:pStyle w:val="TOC2"/>
        <w:tabs>
          <w:tab w:val="right" w:pos="9060"/>
        </w:tabs>
        <w:rPr>
          <w:rFonts w:asciiTheme="minorHAnsi" w:eastAsiaTheme="minorEastAsia" w:hAnsiTheme="minorHAnsi" w:cstheme="minorBidi"/>
          <w:bCs w:val="0"/>
          <w:noProof/>
          <w:color w:val="auto"/>
          <w:szCs w:val="22"/>
          <w:lang w:val="en-AU" w:eastAsia="en-AU"/>
        </w:rPr>
      </w:pPr>
      <w:hyperlink w:anchor="_Toc92897865" w:history="1">
        <w:r w:rsidR="009103CC" w:rsidRPr="00843D0A">
          <w:rPr>
            <w:rStyle w:val="Hyperlink"/>
            <w:noProof/>
            <w:lang w:val="en-AU"/>
          </w:rPr>
          <w:t>5 Strategic goal: People</w:t>
        </w:r>
        <w:r w:rsidR="009103CC">
          <w:rPr>
            <w:noProof/>
            <w:webHidden/>
          </w:rPr>
          <w:tab/>
        </w:r>
        <w:r w:rsidR="009103CC">
          <w:rPr>
            <w:noProof/>
            <w:webHidden/>
          </w:rPr>
          <w:fldChar w:fldCharType="begin"/>
        </w:r>
        <w:r w:rsidR="009103CC">
          <w:rPr>
            <w:noProof/>
            <w:webHidden/>
          </w:rPr>
          <w:instrText xml:space="preserve"> PAGEREF _Toc92897865 \h </w:instrText>
        </w:r>
        <w:r w:rsidR="009103CC">
          <w:rPr>
            <w:noProof/>
            <w:webHidden/>
          </w:rPr>
        </w:r>
        <w:r w:rsidR="009103CC">
          <w:rPr>
            <w:noProof/>
            <w:webHidden/>
          </w:rPr>
          <w:fldChar w:fldCharType="separate"/>
        </w:r>
        <w:r w:rsidR="009103CC">
          <w:rPr>
            <w:noProof/>
            <w:webHidden/>
          </w:rPr>
          <w:t>111</w:t>
        </w:r>
        <w:r w:rsidR="009103CC">
          <w:rPr>
            <w:noProof/>
            <w:webHidden/>
          </w:rPr>
          <w:fldChar w:fldCharType="end"/>
        </w:r>
      </w:hyperlink>
    </w:p>
    <w:p w14:paraId="0CEAE196" w14:textId="77777777" w:rsidR="009103CC" w:rsidRDefault="00E103FD" w:rsidP="009103CC">
      <w:pPr>
        <w:pStyle w:val="TOC2"/>
        <w:tabs>
          <w:tab w:val="right" w:pos="9060"/>
        </w:tabs>
        <w:rPr>
          <w:rFonts w:asciiTheme="minorHAnsi" w:eastAsiaTheme="minorEastAsia" w:hAnsiTheme="minorHAnsi" w:cstheme="minorBidi"/>
          <w:bCs w:val="0"/>
          <w:noProof/>
          <w:color w:val="auto"/>
          <w:szCs w:val="22"/>
          <w:lang w:val="en-AU" w:eastAsia="en-AU"/>
        </w:rPr>
      </w:pPr>
      <w:hyperlink w:anchor="_Toc92897866" w:history="1">
        <w:r w:rsidR="009103CC" w:rsidRPr="00843D0A">
          <w:rPr>
            <w:rStyle w:val="Hyperlink"/>
            <w:noProof/>
          </w:rPr>
          <w:t>Financial reports</w:t>
        </w:r>
        <w:r w:rsidR="009103CC">
          <w:rPr>
            <w:noProof/>
            <w:webHidden/>
          </w:rPr>
          <w:tab/>
        </w:r>
        <w:r w:rsidR="009103CC">
          <w:rPr>
            <w:noProof/>
            <w:webHidden/>
          </w:rPr>
          <w:fldChar w:fldCharType="begin"/>
        </w:r>
        <w:r w:rsidR="009103CC">
          <w:rPr>
            <w:noProof/>
            <w:webHidden/>
          </w:rPr>
          <w:instrText xml:space="preserve"> PAGEREF _Toc92897866 \h </w:instrText>
        </w:r>
        <w:r w:rsidR="009103CC">
          <w:rPr>
            <w:noProof/>
            <w:webHidden/>
          </w:rPr>
        </w:r>
        <w:r w:rsidR="009103CC">
          <w:rPr>
            <w:noProof/>
            <w:webHidden/>
          </w:rPr>
          <w:fldChar w:fldCharType="separate"/>
        </w:r>
        <w:r w:rsidR="009103CC">
          <w:rPr>
            <w:noProof/>
            <w:webHidden/>
          </w:rPr>
          <w:t>139</w:t>
        </w:r>
        <w:r w:rsidR="009103CC">
          <w:rPr>
            <w:noProof/>
            <w:webHidden/>
          </w:rPr>
          <w:fldChar w:fldCharType="end"/>
        </w:r>
      </w:hyperlink>
    </w:p>
    <w:p w14:paraId="29DCED4B" w14:textId="77777777" w:rsidR="009103CC" w:rsidRPr="001814D2" w:rsidRDefault="009103CC" w:rsidP="009103CC">
      <w:pPr>
        <w:pStyle w:val="ARbody"/>
      </w:pPr>
      <w:r>
        <w:fldChar w:fldCharType="end"/>
      </w:r>
    </w:p>
    <w:p w14:paraId="1B8819C2" w14:textId="77777777" w:rsidR="009103CC" w:rsidRPr="001814D2" w:rsidRDefault="009103CC" w:rsidP="009103CC">
      <w:pPr>
        <w:pStyle w:val="ARbody"/>
      </w:pPr>
      <w:r w:rsidRPr="001814D2">
        <w:t>The Art Gallery acknowledges the Gadigal of the Eora Nation, the traditional custodians of the Country on which it stands.</w:t>
      </w:r>
    </w:p>
    <w:p w14:paraId="4F50F434" w14:textId="77777777" w:rsidR="009103CC" w:rsidRPr="001814D2" w:rsidRDefault="009103CC" w:rsidP="009103CC">
      <w:pPr>
        <w:pStyle w:val="ARbody"/>
      </w:pPr>
      <w:r w:rsidRPr="001814D2">
        <w:t>© Art Gallery of New South Wales</w:t>
      </w:r>
    </w:p>
    <w:p w14:paraId="6FB548BA" w14:textId="77777777" w:rsidR="009103CC" w:rsidRPr="001814D2" w:rsidRDefault="009103CC" w:rsidP="009103CC">
      <w:pPr>
        <w:pStyle w:val="ARbody"/>
      </w:pPr>
      <w:r w:rsidRPr="001814D2">
        <w:t>Art Gallery of New South Wales</w:t>
      </w:r>
      <w:r w:rsidRPr="001814D2">
        <w:br/>
        <w:t>ABN 24 934 492 575. Entity name: The Trustee for Art Gallery of NSW Trust</w:t>
      </w:r>
    </w:p>
    <w:p w14:paraId="18B3FF9C" w14:textId="77777777" w:rsidR="009103CC" w:rsidRPr="001814D2" w:rsidRDefault="009103CC" w:rsidP="009103CC">
      <w:pPr>
        <w:pStyle w:val="ARbody"/>
      </w:pPr>
      <w:r w:rsidRPr="001814D2">
        <w:t xml:space="preserve">The Art Gallery of New South Wales is a statutory body established under the </w:t>
      </w:r>
      <w:r w:rsidRPr="001814D2">
        <w:rPr>
          <w:i/>
          <w:iCs/>
        </w:rPr>
        <w:t>Art Gallery of New South Wales Act 1980</w:t>
      </w:r>
      <w:r w:rsidRPr="001814D2">
        <w:t xml:space="preserve"> and, from 1 July 2019, an executive agency related to the Department of Premier and Cabinet.</w:t>
      </w:r>
    </w:p>
    <w:p w14:paraId="4C61B6D9" w14:textId="77777777" w:rsidR="009103CC" w:rsidRPr="001814D2" w:rsidRDefault="009103CC" w:rsidP="009103CC">
      <w:pPr>
        <w:pStyle w:val="Tabletext"/>
      </w:pPr>
      <w:r w:rsidRPr="001814D2">
        <w:br w:type="page"/>
      </w:r>
    </w:p>
    <w:p w14:paraId="5BB07EFE" w14:textId="77777777" w:rsidR="009103CC" w:rsidRPr="001814D2" w:rsidRDefault="009103CC" w:rsidP="009103CC">
      <w:pPr>
        <w:pStyle w:val="ARbody"/>
      </w:pPr>
      <w:r w:rsidRPr="001814D2">
        <w:lastRenderedPageBreak/>
        <w:t>The Hon Don Harwin MLC</w:t>
      </w:r>
      <w:r w:rsidRPr="001814D2">
        <w:br/>
        <w:t xml:space="preserve">Minister for the Arts </w:t>
      </w:r>
      <w:r w:rsidRPr="001814D2">
        <w:br/>
        <w:t>Parliament of New South Wales</w:t>
      </w:r>
      <w:r w:rsidRPr="001814D2">
        <w:br/>
        <w:t>Macquarie Street</w:t>
      </w:r>
      <w:r w:rsidRPr="001814D2">
        <w:br/>
        <w:t>Sydney NSW 2000</w:t>
      </w:r>
    </w:p>
    <w:p w14:paraId="1D04C026" w14:textId="77777777" w:rsidR="009103CC" w:rsidRPr="001814D2" w:rsidRDefault="009103CC" w:rsidP="009103CC">
      <w:pPr>
        <w:pStyle w:val="ARbody"/>
      </w:pPr>
      <w:r w:rsidRPr="001814D2">
        <w:t>Dear Minister,</w:t>
      </w:r>
    </w:p>
    <w:p w14:paraId="5A4C3E88" w14:textId="77777777" w:rsidR="009103CC" w:rsidRPr="001814D2" w:rsidRDefault="009103CC" w:rsidP="009103CC">
      <w:pPr>
        <w:pStyle w:val="ARbody"/>
      </w:pPr>
      <w:r w:rsidRPr="001814D2">
        <w:t>It is our pleasure to forward to you for presentation to the NSW Parliament the Annual Report for the Art Gallery of New South Wales for the year ended 30 June 2021.</w:t>
      </w:r>
    </w:p>
    <w:p w14:paraId="3A07C13F" w14:textId="77777777" w:rsidR="009103CC" w:rsidRPr="001814D2" w:rsidRDefault="009103CC" w:rsidP="009103CC">
      <w:pPr>
        <w:pStyle w:val="ARbody"/>
      </w:pPr>
      <w:r w:rsidRPr="001814D2">
        <w:t xml:space="preserve">This report has been prepared in accordance with the provisions of the </w:t>
      </w:r>
      <w:r w:rsidRPr="001814D2">
        <w:rPr>
          <w:rStyle w:val="RegularItalic"/>
        </w:rPr>
        <w:t>Annual Report (Statutory Bodies) Act 1984</w:t>
      </w:r>
      <w:r w:rsidRPr="001814D2">
        <w:t xml:space="preserve"> and the </w:t>
      </w:r>
      <w:r w:rsidRPr="001814D2">
        <w:rPr>
          <w:rStyle w:val="RegularItalic"/>
        </w:rPr>
        <w:t>Annual Reports (Statutory Bodies) Regulations 2010</w:t>
      </w:r>
      <w:r w:rsidRPr="001814D2">
        <w:t>.</w:t>
      </w:r>
    </w:p>
    <w:p w14:paraId="568D5F8F" w14:textId="77777777" w:rsidR="009103CC" w:rsidRPr="001814D2" w:rsidRDefault="009103CC" w:rsidP="009103CC">
      <w:pPr>
        <w:pStyle w:val="ARbody"/>
      </w:pPr>
      <w:r w:rsidRPr="001814D2">
        <w:t>Yours sincerely,</w:t>
      </w:r>
    </w:p>
    <w:p w14:paraId="0897CA58" w14:textId="77777777" w:rsidR="009103CC" w:rsidRPr="001814D2" w:rsidRDefault="009103CC" w:rsidP="009103CC">
      <w:pPr>
        <w:pStyle w:val="ARbody"/>
      </w:pPr>
      <w:r w:rsidRPr="001814D2">
        <w:t>Mr David Gonski AC</w:t>
      </w:r>
      <w:r w:rsidRPr="001814D2">
        <w:br/>
        <w:t>President, Art Gallery of New South Wales Trust</w:t>
      </w:r>
    </w:p>
    <w:p w14:paraId="423A39D5" w14:textId="77777777" w:rsidR="009103CC" w:rsidRPr="001814D2" w:rsidRDefault="009103CC" w:rsidP="009103CC">
      <w:pPr>
        <w:pStyle w:val="ARbody"/>
      </w:pPr>
      <w:r w:rsidRPr="001814D2">
        <w:t>Dr Michael Brand</w:t>
      </w:r>
      <w:r w:rsidRPr="001814D2">
        <w:br/>
        <w:t>Director, Art Gallery of New South Wales</w:t>
      </w:r>
    </w:p>
    <w:p w14:paraId="4EC96C21" w14:textId="77777777" w:rsidR="009103CC" w:rsidRPr="001814D2" w:rsidRDefault="009103CC" w:rsidP="009103CC">
      <w:pPr>
        <w:pStyle w:val="ARbody"/>
      </w:pPr>
      <w:r w:rsidRPr="001814D2">
        <w:t>15 October 2021</w:t>
      </w:r>
    </w:p>
    <w:p w14:paraId="20462055" w14:textId="77777777" w:rsidR="009103CC" w:rsidRPr="001814D2" w:rsidRDefault="009103CC" w:rsidP="009103CC">
      <w:pPr>
        <w:pStyle w:val="Tabletext"/>
      </w:pPr>
      <w:r w:rsidRPr="001814D2">
        <w:br w:type="page"/>
      </w:r>
    </w:p>
    <w:p w14:paraId="3D531766" w14:textId="77777777" w:rsidR="009103CC" w:rsidRPr="001814D2" w:rsidRDefault="009103CC" w:rsidP="009103CC">
      <w:pPr>
        <w:pStyle w:val="ARheading2"/>
      </w:pPr>
      <w:bookmarkStart w:id="1" w:name="_Toc92880779"/>
      <w:bookmarkStart w:id="2" w:name="_Toc92884936"/>
      <w:bookmarkStart w:id="3" w:name="_Toc92897857"/>
      <w:r w:rsidRPr="001814D2">
        <w:lastRenderedPageBreak/>
        <w:t>From here. For all.</w:t>
      </w:r>
      <w:bookmarkEnd w:id="1"/>
      <w:bookmarkEnd w:id="2"/>
      <w:bookmarkEnd w:id="3"/>
    </w:p>
    <w:p w14:paraId="37B57893" w14:textId="77777777" w:rsidR="009103CC" w:rsidRPr="001814D2" w:rsidRDefault="009103CC" w:rsidP="009103CC">
      <w:pPr>
        <w:pStyle w:val="ARbody"/>
      </w:pPr>
      <w:r w:rsidRPr="001814D2">
        <w:t>As the state art museum, we’re here to champion artists and to serve the widest possible audience as a centre of excellence for the collection, preservation, documentation, interpretation and display of Australian and international art, and a forum for scholarship, art education and the exchange of ideas.</w:t>
      </w:r>
    </w:p>
    <w:p w14:paraId="47DF750C" w14:textId="77777777" w:rsidR="009103CC" w:rsidRPr="001814D2" w:rsidRDefault="009103CC" w:rsidP="009103CC">
      <w:pPr>
        <w:pStyle w:val="ARbody"/>
      </w:pPr>
      <w:r w:rsidRPr="001814D2">
        <w:t>Our vision is to be a beacon for art in Australia, reflecting and exploring perspectives from our place in the world.</w:t>
      </w:r>
    </w:p>
    <w:p w14:paraId="629A1870" w14:textId="77777777" w:rsidR="009103CC" w:rsidRPr="001814D2" w:rsidRDefault="009103CC" w:rsidP="009103CC">
      <w:pPr>
        <w:pStyle w:val="ARbody"/>
      </w:pPr>
      <w:r w:rsidRPr="001814D2">
        <w:t>Our purpose is to enrich lives through meaningful encounters with art.</w:t>
      </w:r>
    </w:p>
    <w:p w14:paraId="4CA85AAD" w14:textId="77777777" w:rsidR="009103CC" w:rsidRPr="001814D2" w:rsidRDefault="009103CC" w:rsidP="009103CC">
      <w:pPr>
        <w:pStyle w:val="ARheading2"/>
        <w:rPr>
          <w:lang w:val="en-AU"/>
        </w:rPr>
      </w:pPr>
      <w:bookmarkStart w:id="4" w:name="_Toc92897858"/>
      <w:r w:rsidRPr="001814D2">
        <w:rPr>
          <w:lang w:val="en-AU"/>
        </w:rPr>
        <w:t>Highlights</w:t>
      </w:r>
      <w:bookmarkEnd w:id="4"/>
    </w:p>
    <w:p w14:paraId="71AB7E74" w14:textId="77777777" w:rsidR="009103CC" w:rsidRPr="00933FC4" w:rsidRDefault="009103CC" w:rsidP="009103CC">
      <w:pPr>
        <w:pStyle w:val="ARbody"/>
      </w:pPr>
      <w:r w:rsidRPr="00933FC4">
        <w:rPr>
          <w:b/>
          <w:bCs/>
        </w:rPr>
        <w:t>666,572</w:t>
      </w:r>
      <w:r w:rsidRPr="00933FC4">
        <w:t> visitors came to the Art Gallery, Brett Whiteley Studio and attended our touring exhibitions. Note: Due to the impacts of COVID-19, the Art Gallery and other Greater Sydney cultural institutions were closed to the public from 25 June 2021.</w:t>
      </w:r>
    </w:p>
    <w:p w14:paraId="5B1F1FA6" w14:textId="77777777" w:rsidR="009103CC" w:rsidRPr="001814D2" w:rsidRDefault="009103CC" w:rsidP="009103CC">
      <w:pPr>
        <w:pStyle w:val="ARbody"/>
      </w:pPr>
      <w:r w:rsidRPr="001814D2">
        <w:rPr>
          <w:b/>
          <w:bCs/>
        </w:rPr>
        <w:t xml:space="preserve">31,995 </w:t>
      </w:r>
      <w:r w:rsidRPr="001814D2">
        <w:rPr>
          <w:i/>
          <w:iCs/>
        </w:rPr>
        <w:t>ARTEXPRESS 2020</w:t>
      </w:r>
      <w:r w:rsidRPr="001814D2">
        <w:t xml:space="preserve"> attendees</w:t>
      </w:r>
    </w:p>
    <w:p w14:paraId="540E18B7" w14:textId="77777777" w:rsidR="009103CC" w:rsidRPr="001814D2" w:rsidRDefault="009103CC" w:rsidP="009103CC">
      <w:pPr>
        <w:pStyle w:val="ARbody"/>
      </w:pPr>
      <w:r w:rsidRPr="001814D2">
        <w:rPr>
          <w:b/>
          <w:bCs/>
        </w:rPr>
        <w:t>150</w:t>
      </w:r>
      <w:r w:rsidRPr="001814D2">
        <w:t xml:space="preserve"> volunteer guides and 120 volunteers</w:t>
      </w:r>
    </w:p>
    <w:p w14:paraId="3BD71686" w14:textId="77777777" w:rsidR="009103CC" w:rsidRPr="001814D2" w:rsidRDefault="009103CC" w:rsidP="009103CC">
      <w:pPr>
        <w:pStyle w:val="ARbody"/>
      </w:pPr>
      <w:r w:rsidRPr="001814D2">
        <w:rPr>
          <w:b/>
          <w:bCs/>
        </w:rPr>
        <w:t xml:space="preserve">4000 </w:t>
      </w:r>
      <w:r w:rsidRPr="001814D2">
        <w:t>volunteer hours</w:t>
      </w:r>
    </w:p>
    <w:p w14:paraId="4587D7B0" w14:textId="77777777" w:rsidR="009103CC" w:rsidRPr="001814D2" w:rsidRDefault="009103CC" w:rsidP="009103CC">
      <w:pPr>
        <w:pStyle w:val="ARbody"/>
      </w:pPr>
      <w:r w:rsidRPr="001814D2">
        <w:rPr>
          <w:b/>
          <w:bCs/>
        </w:rPr>
        <w:t xml:space="preserve">79,446 </w:t>
      </w:r>
      <w:r w:rsidRPr="001814D2">
        <w:t>visitors attended our public and education programs</w:t>
      </w:r>
    </w:p>
    <w:p w14:paraId="076A5FF2" w14:textId="77777777" w:rsidR="009103CC" w:rsidRPr="001814D2" w:rsidRDefault="009103CC" w:rsidP="009103CC">
      <w:pPr>
        <w:pStyle w:val="ARlistparagraph"/>
      </w:pPr>
      <w:r w:rsidRPr="001814D2">
        <w:rPr>
          <w:b/>
        </w:rPr>
        <w:t>34,417</w:t>
      </w:r>
      <w:r w:rsidRPr="001814D2">
        <w:t xml:space="preserve"> students and teachers participated in education programs</w:t>
      </w:r>
    </w:p>
    <w:p w14:paraId="16EF74B3" w14:textId="77777777" w:rsidR="009103CC" w:rsidRPr="001814D2" w:rsidRDefault="009103CC" w:rsidP="009103CC">
      <w:pPr>
        <w:pStyle w:val="ARlistparagraph"/>
      </w:pPr>
      <w:r w:rsidRPr="001814D2">
        <w:rPr>
          <w:b/>
        </w:rPr>
        <w:t>14,100</w:t>
      </w:r>
      <w:r w:rsidRPr="001814D2">
        <w:t xml:space="preserve"> visitors engaged with youth and family experiences</w:t>
      </w:r>
    </w:p>
    <w:p w14:paraId="7B5CA9D3" w14:textId="77777777" w:rsidR="009103CC" w:rsidRPr="001814D2" w:rsidRDefault="009103CC" w:rsidP="009103CC">
      <w:pPr>
        <w:pStyle w:val="ARlistparagraph"/>
      </w:pPr>
      <w:r w:rsidRPr="001814D2">
        <w:rPr>
          <w:b/>
        </w:rPr>
        <w:t>8681</w:t>
      </w:r>
      <w:r w:rsidRPr="001814D2">
        <w:t xml:space="preserve"> people participated in other public programs</w:t>
      </w:r>
    </w:p>
    <w:p w14:paraId="2CEC09B3" w14:textId="77777777" w:rsidR="009103CC" w:rsidRPr="001814D2" w:rsidRDefault="009103CC" w:rsidP="009103CC">
      <w:pPr>
        <w:pStyle w:val="ARlistparagraph"/>
      </w:pPr>
      <w:r w:rsidRPr="001814D2">
        <w:rPr>
          <w:b/>
        </w:rPr>
        <w:t xml:space="preserve">7753 </w:t>
      </w:r>
      <w:r w:rsidRPr="001814D2">
        <w:t>visitors attended a guided tour</w:t>
      </w:r>
    </w:p>
    <w:p w14:paraId="763CF037" w14:textId="77777777" w:rsidR="009103CC" w:rsidRPr="001814D2" w:rsidRDefault="009103CC" w:rsidP="009103CC">
      <w:pPr>
        <w:pStyle w:val="ARlistparagraph"/>
      </w:pPr>
      <w:r w:rsidRPr="001814D2">
        <w:rPr>
          <w:b/>
        </w:rPr>
        <w:t>14,495</w:t>
      </w:r>
      <w:r w:rsidRPr="001814D2">
        <w:t xml:space="preserve"> film program attendees</w:t>
      </w:r>
    </w:p>
    <w:p w14:paraId="1AD8662B" w14:textId="77777777" w:rsidR="009103CC" w:rsidRPr="001814D2" w:rsidRDefault="009103CC" w:rsidP="009103CC">
      <w:pPr>
        <w:pStyle w:val="ARbody"/>
      </w:pPr>
      <w:r w:rsidRPr="001814D2">
        <w:rPr>
          <w:b/>
          <w:bCs/>
        </w:rPr>
        <w:t xml:space="preserve">13,886 </w:t>
      </w:r>
      <w:r w:rsidRPr="001814D2">
        <w:t>Art After Hours attendees</w:t>
      </w:r>
    </w:p>
    <w:p w14:paraId="7AD44095" w14:textId="77777777" w:rsidR="009103CC" w:rsidRPr="001814D2" w:rsidRDefault="009103CC" w:rsidP="009103CC">
      <w:pPr>
        <w:pStyle w:val="ARbody"/>
      </w:pPr>
      <w:r w:rsidRPr="001814D2">
        <w:rPr>
          <w:b/>
          <w:bCs/>
        </w:rPr>
        <w:t xml:space="preserve">27% </w:t>
      </w:r>
      <w:r w:rsidRPr="001814D2">
        <w:t>of education program participants were from Western Sydney or regional NSW</w:t>
      </w:r>
    </w:p>
    <w:p w14:paraId="3BBE807A" w14:textId="77777777" w:rsidR="009103CC" w:rsidRPr="001814D2" w:rsidRDefault="009103CC" w:rsidP="009103CC">
      <w:pPr>
        <w:pStyle w:val="ARbody"/>
      </w:pPr>
      <w:r w:rsidRPr="001814D2">
        <w:rPr>
          <w:b/>
          <w:bCs/>
        </w:rPr>
        <w:t xml:space="preserve">20% </w:t>
      </w:r>
      <w:r w:rsidRPr="001814D2">
        <w:t>growth YouTube subscribers</w:t>
      </w:r>
    </w:p>
    <w:p w14:paraId="165394FA" w14:textId="77777777" w:rsidR="009103CC" w:rsidRPr="001814D2" w:rsidRDefault="009103CC" w:rsidP="009103CC">
      <w:pPr>
        <w:pStyle w:val="ARbody"/>
      </w:pPr>
      <w:r w:rsidRPr="001814D2">
        <w:rPr>
          <w:b/>
          <w:bCs/>
        </w:rPr>
        <w:t xml:space="preserve">18% </w:t>
      </w:r>
      <w:r w:rsidRPr="001814D2">
        <w:t>growth Instagram followers</w:t>
      </w:r>
    </w:p>
    <w:p w14:paraId="1F86E754" w14:textId="77777777" w:rsidR="009103CC" w:rsidRPr="001814D2" w:rsidRDefault="009103CC" w:rsidP="009103CC">
      <w:pPr>
        <w:pStyle w:val="ARbody"/>
        <w:rPr>
          <w:b/>
          <w:bCs/>
        </w:rPr>
      </w:pPr>
      <w:r w:rsidRPr="001814D2">
        <w:rPr>
          <w:b/>
          <w:bCs/>
        </w:rPr>
        <w:t xml:space="preserve">3% </w:t>
      </w:r>
      <w:r w:rsidRPr="001814D2">
        <w:t>growth Facebook fans</w:t>
      </w:r>
    </w:p>
    <w:p w14:paraId="15655750" w14:textId="77777777" w:rsidR="009103CC" w:rsidRPr="001814D2" w:rsidRDefault="009103CC" w:rsidP="009103CC">
      <w:pPr>
        <w:pStyle w:val="ARbody"/>
      </w:pPr>
      <w:r w:rsidRPr="001814D2">
        <w:rPr>
          <w:b/>
          <w:bCs/>
        </w:rPr>
        <w:lastRenderedPageBreak/>
        <w:t xml:space="preserve">$1.791 billion </w:t>
      </w:r>
      <w:r w:rsidRPr="001814D2">
        <w:t>total value of art collection</w:t>
      </w:r>
    </w:p>
    <w:p w14:paraId="6BD34AB6" w14:textId="77777777" w:rsidR="009103CC" w:rsidRPr="001814D2" w:rsidRDefault="009103CC" w:rsidP="009103CC">
      <w:pPr>
        <w:pStyle w:val="ARbody"/>
      </w:pPr>
      <w:r w:rsidRPr="001814D2">
        <w:rPr>
          <w:b/>
          <w:bCs/>
        </w:rPr>
        <w:t xml:space="preserve">323 </w:t>
      </w:r>
      <w:r w:rsidRPr="001814D2">
        <w:t>artworks acquired</w:t>
      </w:r>
    </w:p>
    <w:p w14:paraId="23E6203B" w14:textId="77777777" w:rsidR="009103CC" w:rsidRPr="001814D2" w:rsidRDefault="009103CC" w:rsidP="009103CC">
      <w:pPr>
        <w:pStyle w:val="ARbody"/>
      </w:pPr>
      <w:r w:rsidRPr="001814D2">
        <w:rPr>
          <w:b/>
          <w:bCs/>
        </w:rPr>
        <w:t xml:space="preserve">$12.7 million </w:t>
      </w:r>
      <w:r w:rsidRPr="001814D2">
        <w:t>worth of artworks purchased and gifted to collection</w:t>
      </w:r>
    </w:p>
    <w:p w14:paraId="4E6F3181" w14:textId="77777777" w:rsidR="009103CC" w:rsidRPr="001814D2" w:rsidRDefault="009103CC" w:rsidP="009103CC">
      <w:pPr>
        <w:pStyle w:val="ARbody"/>
      </w:pPr>
      <w:r w:rsidRPr="001814D2">
        <w:rPr>
          <w:b/>
          <w:bCs/>
        </w:rPr>
        <w:t xml:space="preserve">35,793 </w:t>
      </w:r>
      <w:r w:rsidRPr="001814D2">
        <w:t>artworks in collection</w:t>
      </w:r>
    </w:p>
    <w:p w14:paraId="1ACAF2F0" w14:textId="77777777" w:rsidR="009103CC" w:rsidRPr="001814D2" w:rsidRDefault="009103CC" w:rsidP="009103CC">
      <w:pPr>
        <w:pStyle w:val="ARbody"/>
      </w:pPr>
      <w:r w:rsidRPr="001814D2">
        <w:rPr>
          <w:b/>
          <w:bCs/>
        </w:rPr>
        <w:t>2800+</w:t>
      </w:r>
      <w:r w:rsidRPr="001814D2">
        <w:t xml:space="preserve"> works assessed and prepared for display by Conservation</w:t>
      </w:r>
    </w:p>
    <w:p w14:paraId="76D6A931" w14:textId="77777777" w:rsidR="009103CC" w:rsidRPr="001814D2" w:rsidRDefault="009103CC" w:rsidP="009103CC">
      <w:pPr>
        <w:pStyle w:val="ARbody"/>
      </w:pPr>
      <w:r w:rsidRPr="001814D2">
        <w:rPr>
          <w:b/>
          <w:bCs/>
        </w:rPr>
        <w:t>2144</w:t>
      </w:r>
      <w:r w:rsidRPr="001814D2">
        <w:t xml:space="preserve"> Archibald, Wynne and Sulman Prizes entries received (2021) </w:t>
      </w:r>
    </w:p>
    <w:p w14:paraId="2425ABFF" w14:textId="77777777" w:rsidR="009103CC" w:rsidRPr="001814D2" w:rsidRDefault="009103CC" w:rsidP="009103CC">
      <w:pPr>
        <w:pStyle w:val="ARbody"/>
      </w:pPr>
      <w:r w:rsidRPr="001814D2">
        <w:rPr>
          <w:b/>
          <w:bCs/>
        </w:rPr>
        <w:t xml:space="preserve">$2.669 million </w:t>
      </w:r>
      <w:r w:rsidRPr="001814D2">
        <w:t>cash sponsorship</w:t>
      </w:r>
    </w:p>
    <w:p w14:paraId="54441E64" w14:textId="77777777" w:rsidR="009103CC" w:rsidRPr="001814D2" w:rsidRDefault="009103CC" w:rsidP="009103CC">
      <w:pPr>
        <w:pStyle w:val="ARbody"/>
      </w:pPr>
      <w:r w:rsidRPr="001814D2">
        <w:rPr>
          <w:b/>
          <w:bCs/>
        </w:rPr>
        <w:t xml:space="preserve">$1.053 million </w:t>
      </w:r>
      <w:r w:rsidRPr="001814D2">
        <w:t>in-kind sponsor support</w:t>
      </w:r>
    </w:p>
    <w:p w14:paraId="544ECA7A" w14:textId="77777777" w:rsidR="009103CC" w:rsidRPr="001814D2" w:rsidRDefault="009103CC" w:rsidP="009103CC">
      <w:pPr>
        <w:pStyle w:val="ARbody"/>
      </w:pPr>
      <w:r w:rsidRPr="001814D2">
        <w:rPr>
          <w:b/>
          <w:bCs/>
        </w:rPr>
        <w:t xml:space="preserve">$472,000+ </w:t>
      </w:r>
      <w:r w:rsidRPr="001814D2">
        <w:t>to Australian artists in art prizes and scholarships (including Archibald, Wynne and Sulman Prizes 2020 and 2021)</w:t>
      </w:r>
    </w:p>
    <w:p w14:paraId="6DBA9697" w14:textId="77777777" w:rsidR="009103CC" w:rsidRPr="001814D2" w:rsidRDefault="009103CC" w:rsidP="009103CC">
      <w:pPr>
        <w:pStyle w:val="ARbody"/>
      </w:pPr>
      <w:r w:rsidRPr="001814D2">
        <w:rPr>
          <w:b/>
          <w:bCs/>
        </w:rPr>
        <w:t xml:space="preserve">$206.4 million </w:t>
      </w:r>
      <w:r w:rsidRPr="001814D2">
        <w:t>total Art Gallery revenue, including:</w:t>
      </w:r>
    </w:p>
    <w:p w14:paraId="2A300AC1" w14:textId="77777777" w:rsidR="009103CC" w:rsidRPr="00546E9D" w:rsidRDefault="009103CC" w:rsidP="009103CC">
      <w:pPr>
        <w:pStyle w:val="ARlistparagraph"/>
      </w:pPr>
      <w:r w:rsidRPr="00546E9D">
        <w:t>NSW Government recurrent funding of $33 million</w:t>
      </w:r>
    </w:p>
    <w:p w14:paraId="1019572C" w14:textId="77777777" w:rsidR="009103CC" w:rsidRPr="00546E9D" w:rsidRDefault="009103CC" w:rsidP="009103CC">
      <w:pPr>
        <w:pStyle w:val="ARlistparagraph"/>
      </w:pPr>
      <w:r w:rsidRPr="00546E9D">
        <w:t>NSW Government capital funding of $113.1 million</w:t>
      </w:r>
    </w:p>
    <w:p w14:paraId="3731EA48" w14:textId="77777777" w:rsidR="009103CC" w:rsidRPr="00546E9D" w:rsidRDefault="009103CC" w:rsidP="009103CC">
      <w:pPr>
        <w:pStyle w:val="ARlistparagraph"/>
      </w:pPr>
      <w:r w:rsidRPr="00546E9D">
        <w:t>restricted bequests, gifts and capital donations of $43.6 million</w:t>
      </w:r>
    </w:p>
    <w:p w14:paraId="10F5A7F2" w14:textId="77777777" w:rsidR="009103CC" w:rsidRPr="00546E9D" w:rsidRDefault="009103CC" w:rsidP="009103CC">
      <w:pPr>
        <w:pStyle w:val="ARlistparagraph"/>
      </w:pPr>
      <w:r w:rsidRPr="00546E9D">
        <w:t>other revenues of $16.7 million</w:t>
      </w:r>
    </w:p>
    <w:p w14:paraId="3B38B5F2" w14:textId="77777777" w:rsidR="009103CC" w:rsidRPr="001814D2" w:rsidRDefault="009103CC" w:rsidP="009103CC">
      <w:pPr>
        <w:pStyle w:val="ARheading2"/>
        <w:rPr>
          <w:lang w:val="en-AU"/>
        </w:rPr>
      </w:pPr>
      <w:bookmarkStart w:id="5" w:name="_Toc90982530"/>
      <w:bookmarkStart w:id="6" w:name="_Toc92897859"/>
      <w:r w:rsidRPr="001814D2">
        <w:rPr>
          <w:lang w:val="en-AU"/>
        </w:rPr>
        <w:t>President’s foreword</w:t>
      </w:r>
      <w:bookmarkEnd w:id="5"/>
      <w:bookmarkEnd w:id="6"/>
    </w:p>
    <w:p w14:paraId="09A8E640" w14:textId="77777777" w:rsidR="009103CC" w:rsidRPr="001814D2" w:rsidRDefault="009103CC" w:rsidP="009103CC">
      <w:pPr>
        <w:pStyle w:val="ARbody"/>
      </w:pPr>
      <w:r w:rsidRPr="001814D2">
        <w:t>The Art Gallery of New South Wales entered the 2020–21 financial year with great optimism. Having successfully emerged from lockdown, we were delighted to be the first art museum in Australia to welcome back visitors. As our audiences grew in confidence and number, we also watched our new building emerge from the ground to the north of the Art Gallery.</w:t>
      </w:r>
    </w:p>
    <w:p w14:paraId="2F95D6DB" w14:textId="77777777" w:rsidR="009103CC" w:rsidRPr="001814D2" w:rsidRDefault="009103CC" w:rsidP="009103CC">
      <w:pPr>
        <w:pStyle w:val="ARbody"/>
      </w:pPr>
      <w:r w:rsidRPr="001814D2">
        <w:t xml:space="preserve">We were extraordinarily proud to mark 150 years of our institution. As president at such a significant moment, it has been especially humbling to reflect on our heritage and to acknowledge that the Art Gallery we enjoy today is the fruit of so many decades of dedication by so many hundreds and thousands of passionate and committed lovers of art and culture. </w:t>
      </w:r>
    </w:p>
    <w:p w14:paraId="22604C7A" w14:textId="77777777" w:rsidR="009103CC" w:rsidRPr="001814D2" w:rsidRDefault="009103CC" w:rsidP="009103CC">
      <w:pPr>
        <w:pStyle w:val="ARbody"/>
      </w:pPr>
      <w:r w:rsidRPr="001814D2">
        <w:t xml:space="preserve">We all know and love the magnificent facade of our existing building, but, in its earliest days, the back of the building was little more than a shed. In the century and a half that followed, a wonderful institution blossomed. The Art Gallery’s activities now reach far beyond The Domain to the furthest reaches of our state and country and to the most diverse of </w:t>
      </w:r>
      <w:r w:rsidRPr="001814D2">
        <w:lastRenderedPageBreak/>
        <w:t xml:space="preserve">audiences, and our collection of art continues to grow and inspire our visitors. This is a credit to generations of Art Gallery staff, supporters, artists and governments working together. As Australian impressionist artist Arthur Streeton once said, ‘The Sydney Gallery has one of the finest natural positions in the world, and the Sydney folk have made the most of it.’ </w:t>
      </w:r>
    </w:p>
    <w:p w14:paraId="6362B1A5" w14:textId="77777777" w:rsidR="009103CC" w:rsidRPr="001814D2" w:rsidRDefault="009103CC" w:rsidP="009103CC">
      <w:pPr>
        <w:pStyle w:val="ARbody"/>
      </w:pPr>
      <w:r w:rsidRPr="001814D2">
        <w:t>However, as the financial year drew to a close, so too did our doors to the public as our city and then our state returned to lockdown. Although the resurgence of COVID-19 has in many ways presented even greater challenges than last year, we have now begun to carefully welcome back visitors and look forward to restoring the events and activities we have missed so much.</w:t>
      </w:r>
    </w:p>
    <w:p w14:paraId="5C45F22A" w14:textId="77777777" w:rsidR="009103CC" w:rsidRPr="001814D2" w:rsidRDefault="009103CC" w:rsidP="009103CC">
      <w:pPr>
        <w:pStyle w:val="ARbody"/>
      </w:pPr>
      <w:r w:rsidRPr="001814D2">
        <w:t>The NSW Government’s unstinting support for the Art Gallery – including during times of crisis – has allowed us to provide the people of NSW with free access to some of the most wonderful art imaginable. The NSW Government’s investment allows us to remain a cultural touchpoint for the community, and its record support for our new building will allow us to redouble these efforts.</w:t>
      </w:r>
    </w:p>
    <w:p w14:paraId="02680C54" w14:textId="77777777" w:rsidR="009103CC" w:rsidRPr="001814D2" w:rsidRDefault="009103CC" w:rsidP="009103CC">
      <w:pPr>
        <w:pStyle w:val="ARbody"/>
      </w:pPr>
      <w:r w:rsidRPr="001814D2">
        <w:t>I acknowledge the Art Gallery of New South Wales Foundation (including its hard-working chair, Kiera Grant, and Board of Trustees) and our family of benefactors, who have become a truly significant source of support for the Art Gallery, its projects and of course the growth of our state’s art collection. The ongoing generosity of our major donors is inspiring, as is our Campaign Committee, led by Dr Mark Nelson. The committee is building on the $103.5 million raised for our expansion with a new fundraising program to enable the Art Gallery to enliven the new and existing building with diverse art commissions and acquisitions, programs and the revitalisation of our existing building. Thanks to them, our community will enjoy extraordinary art experiences.</w:t>
      </w:r>
    </w:p>
    <w:p w14:paraId="6CADA889" w14:textId="77777777" w:rsidR="009103CC" w:rsidRPr="001814D2" w:rsidRDefault="009103CC" w:rsidP="009103CC">
      <w:pPr>
        <w:pStyle w:val="ARbody"/>
      </w:pPr>
      <w:r w:rsidRPr="001814D2">
        <w:t>To coincide with our anniversary, we were delighted to award the Art Gallery’s highest honour of life governor to two individuals with exceptional longstanding contributions to the Art Gallery. Anne Flanagan was recognised for her twenty-three-year tenure at the Art Gallery, including as deputy director, and her ongoing generous advisory contributions. Guido Belgiorno-Nettis AM received the honour for his significant contributions in governance, as a past trustee and president, and philanthropy, in his generous support through our Foundation, Campaign and President’s Council.</w:t>
      </w:r>
    </w:p>
    <w:p w14:paraId="5D278E8D" w14:textId="77777777" w:rsidR="009103CC" w:rsidRPr="001814D2" w:rsidRDefault="009103CC" w:rsidP="009103CC">
      <w:pPr>
        <w:pStyle w:val="ARbody"/>
      </w:pPr>
      <w:r w:rsidRPr="001814D2">
        <w:t>With deep regret we farewelled two leading lights of the Art Gallery family. John Schaeffer AO passed away in July 2020. His legacy as a past trustee, a Foundation trustee, a generous benefactor and connoisseur of nineteenth-century art will be long remembered. In April 2021, we mourned the sad loss of Carla Zampatti AC, also a former trustee and a champion of multicultural Australia, women in business, and of course the arts.</w:t>
      </w:r>
    </w:p>
    <w:p w14:paraId="51948EAA" w14:textId="77777777" w:rsidR="009103CC" w:rsidRPr="001814D2" w:rsidRDefault="009103CC" w:rsidP="009103CC">
      <w:pPr>
        <w:pStyle w:val="ARbody"/>
      </w:pPr>
      <w:r w:rsidRPr="001814D2">
        <w:lastRenderedPageBreak/>
        <w:t>We were proud to work with a diverse group of sponsors, who remain committed to helping us bring exceptional art experiences to the community. Their stalwart support in 2020–21 allowed us to offer outstanding exhibitions and programs to every visitor who stepped through our doors, and for us to reach out to a wide variety of communities across NSW, and beyond.</w:t>
      </w:r>
    </w:p>
    <w:p w14:paraId="4B31E89F" w14:textId="77777777" w:rsidR="009103CC" w:rsidRPr="001814D2" w:rsidRDefault="009103CC" w:rsidP="009103CC">
      <w:pPr>
        <w:pStyle w:val="ARbody"/>
      </w:pPr>
      <w:r w:rsidRPr="001814D2">
        <w:t xml:space="preserve">This was our eleventh year in partnership with Destination NSW. We were exceptionally grateful for their continued support in a difficult time for the tourism and events sector. Destination NSW’s sponsorship enabled visitors to enjoy the glorious </w:t>
      </w:r>
      <w:r w:rsidRPr="001814D2">
        <w:rPr>
          <w:i/>
          <w:iCs/>
        </w:rPr>
        <w:t>Streeton</w:t>
      </w:r>
      <w:r w:rsidRPr="001814D2">
        <w:t xml:space="preserve"> exhibition over the 2020–21 summer, and in June 2021, we opened the acclaimed </w:t>
      </w:r>
      <w:r w:rsidRPr="001814D2">
        <w:rPr>
          <w:i/>
          <w:iCs/>
        </w:rPr>
        <w:t>Hilma af Klint: The Secret Paintings</w:t>
      </w:r>
      <w:r w:rsidRPr="001814D2">
        <w:t xml:space="preserve">, the first time the artist’s works were seen in the Asia Pacific. </w:t>
      </w:r>
    </w:p>
    <w:p w14:paraId="54B605EF" w14:textId="77777777" w:rsidR="009103CC" w:rsidRPr="001814D2" w:rsidRDefault="009103CC" w:rsidP="009103CC">
      <w:pPr>
        <w:pStyle w:val="ARbody"/>
      </w:pPr>
      <w:r w:rsidRPr="001814D2">
        <w:t xml:space="preserve">We thank our leadership partners ANZ and Aqualand whose investment has allowed the Art Gallery to present a range of art experiences. ANZ continued their support for the 2020 and 2021 Archibald, Wynne and Sulman Prizes exhibitions, and 2019 and 2020 Archibald Prize regional tours. Their generosity helps bring these exhibitions to audiences at our Domain site and in regional communities across the state and country. </w:t>
      </w:r>
    </w:p>
    <w:p w14:paraId="660E8A6C" w14:textId="77777777" w:rsidR="009103CC" w:rsidRPr="001814D2" w:rsidRDefault="009103CC" w:rsidP="009103CC">
      <w:pPr>
        <w:pStyle w:val="ARbody"/>
      </w:pPr>
      <w:r w:rsidRPr="001814D2">
        <w:t xml:space="preserve">Our presenting partners also gave important contributions: EY again supporting dynamic exhibition experiences, this time as major digital sponsor of </w:t>
      </w:r>
      <w:r w:rsidRPr="001814D2">
        <w:rPr>
          <w:i/>
          <w:iCs/>
        </w:rPr>
        <w:t>Hilma af Klint: The Secret Paintings</w:t>
      </w:r>
      <w:r w:rsidRPr="001814D2">
        <w:t xml:space="preserve">; Macquarie Group with support for our Australian art collection and </w:t>
      </w:r>
      <w:r w:rsidRPr="001814D2">
        <w:rPr>
          <w:i/>
          <w:iCs/>
        </w:rPr>
        <w:t>Streeton</w:t>
      </w:r>
      <w:r w:rsidRPr="001814D2">
        <w:t xml:space="preserve">; and Macquarie University enabling our much-loved Art After Hours program, and exhibitions such as ARTEXPRESS. Herbert Smith Freehills continued long and steadfast support of our institution, providing valuable professional guidance as well as supporting our exhibitions program. As presenting partner: contemporary art, UBS supported a range of important exhibitions as well as our contemporary galleries. As presenting partner for the Brett Whiteley Studio, J.P. Morgan continued to help us share the beloved artist’s legacy. </w:t>
      </w:r>
    </w:p>
    <w:p w14:paraId="56E140F4" w14:textId="77777777" w:rsidR="009103CC" w:rsidRPr="001814D2" w:rsidRDefault="009103CC" w:rsidP="009103CC">
      <w:pPr>
        <w:pStyle w:val="ARbody"/>
      </w:pPr>
      <w:r w:rsidRPr="001814D2">
        <w:t>Thanks to our major partners, including the Bank of China, which enabled us to undertake important conservation projects and exhibitions, and Sofitel Sydney Wentworth, which also supported major exhibitions as hotel partner.</w:t>
      </w:r>
    </w:p>
    <w:p w14:paraId="1A85A3D0" w14:textId="77777777" w:rsidR="009103CC" w:rsidRPr="001814D2" w:rsidRDefault="009103CC" w:rsidP="009103CC">
      <w:pPr>
        <w:pStyle w:val="ARbody"/>
      </w:pPr>
      <w:r w:rsidRPr="001814D2">
        <w:t>Our business councils, the President’s Council and VisAsia Council also generously supported our exhibitions offering in 2020–21. We are grateful for the personal support that so many members of those councils have provided to us during the year – each are very busy and we appreciate the time they give us.</w:t>
      </w:r>
    </w:p>
    <w:p w14:paraId="13EA2DDE" w14:textId="77777777" w:rsidR="009103CC" w:rsidRPr="001814D2" w:rsidRDefault="009103CC" w:rsidP="009103CC">
      <w:pPr>
        <w:pStyle w:val="ARbody"/>
      </w:pPr>
      <w:r w:rsidRPr="001814D2">
        <w:t xml:space="preserve">City of Sydney, Paspaley, Porter’s Original Paints, Robert Oatley Wines and S&amp;S Creative contributed to a rich range of education programs, events and exhibitions, and I thank them for their commitment to the Art Gallery. Likewise, to Glenfiddich and Hendrick’s Gin and Valiant Events, which contributed to a range of vibrant events. </w:t>
      </w:r>
    </w:p>
    <w:p w14:paraId="19EE662F" w14:textId="77777777" w:rsidR="009103CC" w:rsidRPr="001814D2" w:rsidRDefault="009103CC" w:rsidP="009103CC">
      <w:pPr>
        <w:pStyle w:val="ARbody"/>
      </w:pPr>
      <w:r w:rsidRPr="001814D2">
        <w:lastRenderedPageBreak/>
        <w:t xml:space="preserve">A warm welcome must also be extended to Oroton, in their inaugural year, supporting the very important </w:t>
      </w:r>
      <w:r w:rsidRPr="001814D2">
        <w:rPr>
          <w:i/>
          <w:iCs/>
        </w:rPr>
        <w:t>Archie 100</w:t>
      </w:r>
      <w:r w:rsidRPr="001814D2">
        <w:t xml:space="preserve"> exhibition. </w:t>
      </w:r>
    </w:p>
    <w:p w14:paraId="69D2C5F4" w14:textId="77777777" w:rsidR="009103CC" w:rsidRPr="001814D2" w:rsidRDefault="009103CC" w:rsidP="009103CC">
      <w:pPr>
        <w:pStyle w:val="ARbody"/>
      </w:pPr>
      <w:r w:rsidRPr="001814D2">
        <w:t>We greatly appreciate our media partners JCDecaux, The Sydney Morning Herald, and The Saturday Paper and The Monthly, which have helped raise community awareness of our wonderful exhibitions program, and we also thank our program supporters Crestone Wealth Management, which invest in next-generation engagement through Atelier.</w:t>
      </w:r>
    </w:p>
    <w:p w14:paraId="56011A46" w14:textId="77777777" w:rsidR="009103CC" w:rsidRPr="001814D2" w:rsidRDefault="009103CC" w:rsidP="009103CC">
      <w:pPr>
        <w:pStyle w:val="ARbody"/>
      </w:pPr>
      <w:r w:rsidRPr="001814D2">
        <w:t>The Art Gallery has been able to deliver a number of special projects thanks to targeted government and philanthropic grants, and we appreciate this support.</w:t>
      </w:r>
    </w:p>
    <w:p w14:paraId="0359DA35" w14:textId="77777777" w:rsidR="009103CC" w:rsidRPr="001814D2" w:rsidRDefault="009103CC" w:rsidP="009103CC">
      <w:pPr>
        <w:pStyle w:val="ARbody"/>
      </w:pPr>
      <w:r w:rsidRPr="001814D2">
        <w:t xml:space="preserve">We also value the Art Gallery Society of NSW and its members, all of whom are Art Gallery supporters. I thank the council, led by president Brian Greenacre, and executive director Robert Heather, for their hard work to keep members informed of our activities so they can enjoy all our institution has to offer.   </w:t>
      </w:r>
    </w:p>
    <w:p w14:paraId="2914D083" w14:textId="77777777" w:rsidR="009103CC" w:rsidRPr="001814D2" w:rsidRDefault="009103CC" w:rsidP="009103CC">
      <w:pPr>
        <w:pStyle w:val="ARbody"/>
      </w:pPr>
      <w:r w:rsidRPr="001814D2">
        <w:t>We thank our volunteers, who each year give so much time to engage visitors with art in memorable and deeply personal ways, and to enrich our members’ experiences at the Art Gallery. We are grateful for their loyalty, and look forward to welcoming them back.</w:t>
      </w:r>
    </w:p>
    <w:p w14:paraId="1E900058" w14:textId="77777777" w:rsidR="009103CC" w:rsidRPr="001814D2" w:rsidRDefault="009103CC" w:rsidP="009103CC">
      <w:pPr>
        <w:pStyle w:val="ARbody"/>
      </w:pPr>
      <w:r w:rsidRPr="001814D2">
        <w:t>At this critical time for the Art Gallery, we are immensely appreciative of the unwavering support from the NSW Government, in particular the Hon Gladys Berejiklian MP, 45th Premier of NSW; the Hon Dominic Perrottet MP, first as Treasurer and now as 46th Premier of NSW; and the Hon Don Harwin MLC, Minister for the Arts. We also thank the many members of parliament who are engaged advocates and friends of the Art Gallery.</w:t>
      </w:r>
    </w:p>
    <w:p w14:paraId="1569DFC7" w14:textId="77777777" w:rsidR="009103CC" w:rsidRPr="001814D2" w:rsidRDefault="009103CC" w:rsidP="009103CC">
      <w:pPr>
        <w:pStyle w:val="ARbody"/>
      </w:pPr>
      <w:r w:rsidRPr="001814D2">
        <w:t xml:space="preserve">We have appreciated the support of our cluster, Department of Premier and Cabinet, and I thank the outgoing secretary, Tim Reardon, and our deputy secretary, community engagement, Kate Foy, for their highly collegial approach and their understanding of the value of the arts and culture sector. </w:t>
      </w:r>
    </w:p>
    <w:p w14:paraId="19BA846D" w14:textId="77777777" w:rsidR="009103CC" w:rsidRPr="001814D2" w:rsidRDefault="009103CC" w:rsidP="009103CC">
      <w:pPr>
        <w:pStyle w:val="ARbody"/>
      </w:pPr>
      <w:r w:rsidRPr="001814D2">
        <w:t>In a year which has presented so many challenges, I acknowledge the professionalism and thoughtful leadership of the Art Gallery’s director, Michael Brand. From the continued steady oversight of our new building’s construction and planning, to the successful reopening of the Art Gallery post-COVID-19 and then the steering of his staff through another period of uncertainty, at all times he has been dedicated to the Art Gallery’s wider mission and its successful future. He and his Executive team have operated magnificently during this time and the trustees and I are very grateful to each of them.</w:t>
      </w:r>
    </w:p>
    <w:p w14:paraId="237706BE" w14:textId="77777777" w:rsidR="009103CC" w:rsidRPr="001814D2" w:rsidRDefault="009103CC" w:rsidP="009103CC">
      <w:pPr>
        <w:pStyle w:val="ARbody"/>
      </w:pPr>
      <w:r w:rsidRPr="001814D2">
        <w:t xml:space="preserve">Indeed, the entire Art Gallery staff have shown enormous resilience, flexibility and compassion this year as they have rebuilt and reimagined ways to reach their audiences, and at all times considered opportunities to build on their important work – the trustees and I </w:t>
      </w:r>
      <w:r w:rsidRPr="001814D2">
        <w:lastRenderedPageBreak/>
        <w:t xml:space="preserve">send thanks to all of them. </w:t>
      </w:r>
    </w:p>
    <w:p w14:paraId="284A62E5" w14:textId="77777777" w:rsidR="009103CC" w:rsidRPr="001814D2" w:rsidRDefault="009103CC" w:rsidP="009103CC">
      <w:pPr>
        <w:pStyle w:val="ARbody"/>
      </w:pPr>
      <w:r w:rsidRPr="001814D2">
        <w:t>Finally, I wish to acknowledge my fellow trustees. Each member of our board brings tremendous skill and distinct, diverse perspectives, and I appreciate their immense contributions. I particularly note the leadership, generosity and dedication of our vice-president Gretel Packer AM. Sub-committee chairs Sally Herman, John Borghetti AO, Andrew Cameron AM and Samantha Meers AO have all diligently, energetically and effectively led their committees during what was not an easy year.</w:t>
      </w:r>
    </w:p>
    <w:p w14:paraId="48C0A3B0" w14:textId="77777777" w:rsidR="009103CC" w:rsidRPr="001814D2" w:rsidRDefault="009103CC" w:rsidP="009103CC">
      <w:pPr>
        <w:pStyle w:val="ARbody"/>
      </w:pPr>
      <w:r w:rsidRPr="001814D2">
        <w:t xml:space="preserve">In January 2021, Professor S Bruce Dowton was reappointed for a third term with the Art Gallery, and I thank him for his ongoing contribution; we are very pleased that he can continue to share his significant expertise, particularly in organisational leadership and risk management. We congratulated Lucy Turnbull AO as she stepped down from the board in December 2020 to take up a role as chair of the Sydney Opera House Trust. I am very grateful for her significant contribution to the Art Gallery in her time as a trustee. </w:t>
      </w:r>
    </w:p>
    <w:p w14:paraId="21546F21" w14:textId="77777777" w:rsidR="009103CC" w:rsidRPr="001814D2" w:rsidRDefault="009103CC" w:rsidP="009103CC">
      <w:pPr>
        <w:pStyle w:val="ARbody"/>
      </w:pPr>
      <w:r w:rsidRPr="001814D2">
        <w:t>There is enormous optimism at the Art Gallery as we watch our new building emerge, our old building start to be improved in so many exciting ways, and the garden between the two buildings due to commence construction shortly. The future is uncertain, but there is a lot for us to base our optimism on, not least of which is the Art Gallery’s capacity to rise to the challenge due to the excellence of staff and the support we receive from government, sponsors, benefactors and the community generally.</w:t>
      </w:r>
    </w:p>
    <w:p w14:paraId="3F3816CF" w14:textId="77777777" w:rsidR="009103CC" w:rsidRPr="001814D2" w:rsidRDefault="009103CC" w:rsidP="009103CC">
      <w:pPr>
        <w:pStyle w:val="ARbody"/>
      </w:pPr>
      <w:r w:rsidRPr="001814D2">
        <w:t xml:space="preserve">David Gonski AC </w:t>
      </w:r>
      <w:r w:rsidRPr="001814D2">
        <w:br/>
        <w:t xml:space="preserve">President </w:t>
      </w:r>
      <w:r w:rsidRPr="001814D2">
        <w:br/>
        <w:t xml:space="preserve">Art Gallery of New South Wales Trust </w:t>
      </w:r>
      <w:r w:rsidRPr="001814D2">
        <w:br/>
        <w:t>15 October 2021</w:t>
      </w:r>
    </w:p>
    <w:p w14:paraId="65CFEA86" w14:textId="77777777" w:rsidR="009103CC" w:rsidRPr="001814D2" w:rsidRDefault="009103CC" w:rsidP="009103CC">
      <w:pPr>
        <w:pStyle w:val="ARheading2"/>
        <w:rPr>
          <w:lang w:val="en-AU"/>
        </w:rPr>
      </w:pPr>
      <w:bookmarkStart w:id="7" w:name="_Toc90982531"/>
      <w:bookmarkStart w:id="8" w:name="_Toc92897860"/>
      <w:r w:rsidRPr="001814D2">
        <w:rPr>
          <w:lang w:val="en-AU"/>
        </w:rPr>
        <w:t>Director’s statement</w:t>
      </w:r>
      <w:bookmarkEnd w:id="7"/>
      <w:bookmarkEnd w:id="8"/>
    </w:p>
    <w:p w14:paraId="74650306" w14:textId="77777777" w:rsidR="009103CC" w:rsidRPr="001814D2" w:rsidRDefault="009103CC" w:rsidP="009103CC">
      <w:pPr>
        <w:pStyle w:val="ARbody"/>
      </w:pPr>
      <w:r w:rsidRPr="001814D2">
        <w:t>It was with a very heavy heart that I closed the doors of the Art Gallery of New South Wales in March 2020 due to the COVID-19 pandemic. To do it for a second time in June 2021 was even more heartbreaking, especially knowing the continued impact of the pandemic on working artists as well as our wider community.</w:t>
      </w:r>
    </w:p>
    <w:p w14:paraId="6231F00B" w14:textId="77777777" w:rsidR="009103CC" w:rsidRPr="001814D2" w:rsidRDefault="009103CC" w:rsidP="009103CC">
      <w:pPr>
        <w:pStyle w:val="ARbody"/>
      </w:pPr>
      <w:r w:rsidRPr="001814D2">
        <w:t>Throughout 2020–21, though, the importance and impact of the Art Gallery has never been more evident. The nourishment provided by art and creativity at this time is desperately needed, and explicitly acknowledged by our community and leaders. And as we have considered how our city, state and country will move forward from this time of crisis, the power of our cultural life to drive innovation, inspiration and activity has become overwhelmingly clear.</w:t>
      </w:r>
    </w:p>
    <w:p w14:paraId="30D2C15F" w14:textId="77777777" w:rsidR="009103CC" w:rsidRPr="001814D2" w:rsidRDefault="009103CC" w:rsidP="009103CC">
      <w:pPr>
        <w:pStyle w:val="ARheading3"/>
      </w:pPr>
      <w:r w:rsidRPr="001814D2">
        <w:lastRenderedPageBreak/>
        <w:t>150th anniversary</w:t>
      </w:r>
    </w:p>
    <w:p w14:paraId="20511827" w14:textId="77777777" w:rsidR="009103CC" w:rsidRPr="001814D2" w:rsidRDefault="009103CC" w:rsidP="009103CC">
      <w:pPr>
        <w:pStyle w:val="ARbody"/>
      </w:pPr>
      <w:r w:rsidRPr="001814D2">
        <w:t xml:space="preserve">Despite the challenges with which it commenced and came to a close, the year had many highlights. On 24 April we celebrated 150 years since the Art Gallery was established at a public meeting in 1871, where thirty like-minded people came together with a shared goal for public engagement with art. </w:t>
      </w:r>
    </w:p>
    <w:p w14:paraId="62186450" w14:textId="77777777" w:rsidR="009103CC" w:rsidRPr="001814D2" w:rsidRDefault="009103CC" w:rsidP="009103CC">
      <w:pPr>
        <w:pStyle w:val="ARbody"/>
      </w:pPr>
      <w:r w:rsidRPr="001814D2">
        <w:t>When our institution was conceived a century and a half ago, there was no collection and no building, but a commitment to support artists and foster a love of art within the community. Within three years, this small group of people with their shared vision had secured an annual state government grant to buy our first works of art. The first acquisitions were works by living artists in Australia, which led to the creation of one of the finest and most representative collections of Australian art. Our first major acquisition by an international artist followed soon thereafter.</w:t>
      </w:r>
    </w:p>
    <w:p w14:paraId="5CCD2A3A" w14:textId="77777777" w:rsidR="009103CC" w:rsidRPr="001814D2" w:rsidRDefault="009103CC" w:rsidP="009103CC">
      <w:pPr>
        <w:pStyle w:val="ARbody"/>
      </w:pPr>
      <w:r w:rsidRPr="001814D2">
        <w:t>While much has changed in the ensuing decades and the vision for our state art museum evolved, I am confident that our founders would be deeply gratified to see how we have stayed true to our original mission to support artists and foster a love of art in the community.</w:t>
      </w:r>
    </w:p>
    <w:p w14:paraId="45D9D2C1" w14:textId="77777777" w:rsidR="009103CC" w:rsidRPr="001814D2" w:rsidRDefault="009103CC" w:rsidP="009103CC">
      <w:pPr>
        <w:pStyle w:val="ARbody"/>
      </w:pPr>
      <w:r w:rsidRPr="001814D2">
        <w:t xml:space="preserve">Today, the Art Gallery’s contribution to public life is embodied in our new guiding principle, ‘From here. For all.’ The Art Gallery has always been deeply committed to representing the diversity of our community from our position on Gadigal Country in Sydney. As a leading contributor to the cultural life of Sydney, NSW and Australia, we have reflected on our vision, purpose and global ambitions, and this year committed to being openly engaging, authentically inspiring, fearlessly curious and consistently extraordinary in the work that we do. As we celebrated our 150-year history we were also proud to unveil our new visual identity, incorporating a new logo, signature colour and typeface that reflect our past, present and future, as well as our unique harbourside location. We are thrilled by the public response to our new visual expression. </w:t>
      </w:r>
    </w:p>
    <w:p w14:paraId="50770E3A" w14:textId="77777777" w:rsidR="009103CC" w:rsidRPr="001814D2" w:rsidRDefault="009103CC" w:rsidP="009103CC">
      <w:pPr>
        <w:pStyle w:val="ARheading3"/>
      </w:pPr>
      <w:r w:rsidRPr="001814D2">
        <w:t>Campus</w:t>
      </w:r>
    </w:p>
    <w:p w14:paraId="0269B84B" w14:textId="77777777" w:rsidR="009103CC" w:rsidRPr="001814D2" w:rsidRDefault="009103CC" w:rsidP="009103CC">
      <w:pPr>
        <w:pStyle w:val="ARbody"/>
      </w:pPr>
      <w:r w:rsidRPr="001814D2">
        <w:t xml:space="preserve">We have all been enthused to watch our new SANAA-designed building emerge from the ground over the past year. Pleasingly, the careful management by our builder Richard Crookes Constructions and delivery authority Infrastructure NSW has ensured construction progresses steadily despite the challenges of the pandemic. </w:t>
      </w:r>
    </w:p>
    <w:p w14:paraId="2CCFB3F8" w14:textId="77777777" w:rsidR="009103CC" w:rsidRPr="001814D2" w:rsidRDefault="009103CC" w:rsidP="009103CC">
      <w:pPr>
        <w:pStyle w:val="ARbody"/>
      </w:pPr>
      <w:r w:rsidRPr="001814D2">
        <w:t>Working with leading Australian architects Tonkin Zulaikha Greer, 2020–21 also saw us commence a series of works to revitalise our much-loved existing building, to ensure our whole campus can deliver an exceptional experience for visitors. The program will restore original architectural features, create more space for art display and research, and provide new facilities for everyone to enjoy.</w:t>
      </w:r>
    </w:p>
    <w:p w14:paraId="3737F6B5" w14:textId="77777777" w:rsidR="009103CC" w:rsidRPr="001814D2" w:rsidRDefault="009103CC" w:rsidP="009103CC">
      <w:pPr>
        <w:pStyle w:val="ARbody"/>
      </w:pPr>
      <w:r w:rsidRPr="001814D2">
        <w:lastRenderedPageBreak/>
        <w:t xml:space="preserve">Our campus will provide Sydney with not only an expanded twenty-first-century art museum but a unified, revitalised public space to gather and connect. We look forward to further collaboration with our colleagues at the Royal Botanic Garden and Domain Trust as our unique precinct becomes even more vibrant and accessible. </w:t>
      </w:r>
    </w:p>
    <w:p w14:paraId="79003E6A" w14:textId="77777777" w:rsidR="009103CC" w:rsidRPr="001814D2" w:rsidRDefault="009103CC" w:rsidP="009103CC">
      <w:pPr>
        <w:pStyle w:val="ARbody"/>
      </w:pPr>
      <w:r w:rsidRPr="001814D2">
        <w:t>The forward exhibition, curatorial, programming and organisational plans that underpin the Sydney Modern Project transformation have also continued, and we are enlivened by the opportunity that lies before us. In turn, our capital campaign has moved into a new phase focused on art commissions and acquisitions, and public programming across our expanded campus. We appreciate our benefactors’ deep commitment to our vision. Together with over $103.5 million in private donations and $244 million in NSW Government capital investment, their ongoing support will allow us to realise the full ambition of our project.</w:t>
      </w:r>
    </w:p>
    <w:p w14:paraId="19675F59" w14:textId="77777777" w:rsidR="009103CC" w:rsidRPr="001814D2" w:rsidRDefault="009103CC" w:rsidP="009103CC">
      <w:pPr>
        <w:pStyle w:val="ARheading3"/>
      </w:pPr>
      <w:r w:rsidRPr="001814D2">
        <w:t>Art</w:t>
      </w:r>
    </w:p>
    <w:p w14:paraId="2DC1901B" w14:textId="77777777" w:rsidR="009103CC" w:rsidRPr="001814D2" w:rsidRDefault="009103CC" w:rsidP="009103CC">
      <w:pPr>
        <w:pStyle w:val="ARbody"/>
      </w:pPr>
      <w:r w:rsidRPr="001814D2">
        <w:t>As our campus grows, so too does our art collection of 35,793 individual works, worth a combined $1.791 billion. In 2020–21 we acquired 323 artworks, valued at $12.7 million, through generous bequests and gifts of cash and artworks.</w:t>
      </w:r>
    </w:p>
    <w:p w14:paraId="75C22D2E" w14:textId="77777777" w:rsidR="009103CC" w:rsidRPr="001814D2" w:rsidRDefault="009103CC" w:rsidP="009103CC">
      <w:pPr>
        <w:pStyle w:val="ARbody"/>
      </w:pPr>
      <w:r w:rsidRPr="001814D2">
        <w:t xml:space="preserve">Among our most important acquisitions were Khadim Ali’s </w:t>
      </w:r>
      <w:r w:rsidRPr="001814D2">
        <w:rPr>
          <w:i/>
          <w:iCs/>
        </w:rPr>
        <w:t xml:space="preserve">Untitled </w:t>
      </w:r>
      <w:r w:rsidRPr="001814D2">
        <w:t>from the series</w:t>
      </w:r>
      <w:r w:rsidRPr="001814D2">
        <w:rPr>
          <w:i/>
          <w:iCs/>
        </w:rPr>
        <w:t xml:space="preserve"> Flowers of evil </w:t>
      </w:r>
      <w:r w:rsidRPr="001814D2">
        <w:t xml:space="preserve">2019, with funds provided by Contemporary Collection Benefactors 2020; Tempe Manning </w:t>
      </w:r>
      <w:r w:rsidRPr="001814D2">
        <w:rPr>
          <w:i/>
          <w:iCs/>
        </w:rPr>
        <w:t xml:space="preserve">Self-portrait </w:t>
      </w:r>
      <w:r w:rsidRPr="001814D2">
        <w:t xml:space="preserve">1939, acquired with the support of the Art Gallery Society of NSW through the Dagmar Halas Bequest 2021; John Muafangejo’s </w:t>
      </w:r>
      <w:r w:rsidRPr="001814D2">
        <w:rPr>
          <w:i/>
          <w:iCs/>
        </w:rPr>
        <w:t xml:space="preserve">Zulu Land </w:t>
      </w:r>
      <w:r w:rsidRPr="001814D2">
        <w:t xml:space="preserve">1974; Hilda Rix Nicholas’ </w:t>
      </w:r>
      <w:r w:rsidRPr="001814D2">
        <w:rPr>
          <w:i/>
          <w:iCs/>
        </w:rPr>
        <w:t xml:space="preserve">The Arab sheep market, Tangier </w:t>
      </w:r>
      <w:r w:rsidRPr="001814D2">
        <w:t xml:space="preserve">1914, with funds provided by the Australian Art Collection Benefactors and Edward Hamilton Stinson Fund 2020; Carrie Mae Weems’ </w:t>
      </w:r>
      <w:r w:rsidRPr="001814D2">
        <w:rPr>
          <w:i/>
          <w:iCs/>
        </w:rPr>
        <w:t xml:space="preserve">Untitled (playing harmonica) </w:t>
      </w:r>
      <w:r w:rsidRPr="001814D2">
        <w:t>from the series</w:t>
      </w:r>
      <w:r w:rsidRPr="001814D2">
        <w:rPr>
          <w:i/>
          <w:iCs/>
        </w:rPr>
        <w:t xml:space="preserve"> Kitchen Table </w:t>
      </w:r>
      <w:r w:rsidRPr="001814D2">
        <w:t xml:space="preserve">1990–99, with funds provided by The Russell Mills Foundation 2021; and Kaylene Whiskey’s </w:t>
      </w:r>
      <w:r w:rsidRPr="001814D2">
        <w:rPr>
          <w:i/>
          <w:iCs/>
        </w:rPr>
        <w:t xml:space="preserve">Dolly visits Indulkana </w:t>
      </w:r>
      <w:r w:rsidRPr="001814D2">
        <w:t>2020, with funds provided by the Aboriginal Art Collection Benefactors 2020. A full list of acquisitions is provided in the ‘Art’ section of this report.</w:t>
      </w:r>
    </w:p>
    <w:p w14:paraId="354C2197" w14:textId="77777777" w:rsidR="009103CC" w:rsidRPr="001814D2" w:rsidRDefault="009103CC" w:rsidP="009103CC">
      <w:pPr>
        <w:pStyle w:val="ARbody"/>
      </w:pPr>
      <w:r w:rsidRPr="001814D2">
        <w:t xml:space="preserve">Despite significant reconfiguration of our exhibition program in response to COVID-19, we staged four major ticketed exhibitions, visited by 179,795 people. Although delayed by the 2020 lockdown, we were proud to stage </w:t>
      </w:r>
      <w:r w:rsidRPr="001814D2">
        <w:rPr>
          <w:i/>
          <w:iCs/>
        </w:rPr>
        <w:t>Archibald, Wynne and Sulman Prizes 2020</w:t>
      </w:r>
      <w:r w:rsidRPr="001814D2">
        <w:t xml:space="preserve">, which brought many ‘firsts’: our first virtual opening event, our first live-streamed announcement of winners, and the first time an Aboriginal artist, Vincent Namatjira, was awarded the Archibald Prize in its history. The exhibition was complemented by the vibrant </w:t>
      </w:r>
      <w:r w:rsidRPr="001814D2">
        <w:rPr>
          <w:i/>
          <w:iCs/>
        </w:rPr>
        <w:t>Archie Plus</w:t>
      </w:r>
      <w:r w:rsidRPr="001814D2">
        <w:t>,</w:t>
      </w:r>
      <w:r w:rsidRPr="001814D2">
        <w:rPr>
          <w:i/>
          <w:iCs/>
        </w:rPr>
        <w:t xml:space="preserve"> </w:t>
      </w:r>
      <w:r w:rsidRPr="001814D2">
        <w:t>which celebrated people and portraiture – a refreshing community experience in a year of change and challenge.</w:t>
      </w:r>
    </w:p>
    <w:p w14:paraId="44B17CA4" w14:textId="77777777" w:rsidR="009103CC" w:rsidRPr="001814D2" w:rsidRDefault="009103CC" w:rsidP="009103CC">
      <w:pPr>
        <w:pStyle w:val="ARbody"/>
      </w:pPr>
      <w:r w:rsidRPr="001814D2">
        <w:rPr>
          <w:i/>
          <w:iCs/>
        </w:rPr>
        <w:t>Streeton</w:t>
      </w:r>
      <w:r w:rsidRPr="001814D2">
        <w:t xml:space="preserve"> was a highlight of the Sydney summer, with attendance exceeding expectations and timed sessions regularly selling out. The feedback we received was as glowing as the </w:t>
      </w:r>
      <w:r w:rsidRPr="001814D2">
        <w:lastRenderedPageBreak/>
        <w:t>gorgeous Australian landscapes themselves, which lifted the spirits of our visitors.</w:t>
      </w:r>
    </w:p>
    <w:p w14:paraId="680770CC" w14:textId="77777777" w:rsidR="009103CC" w:rsidRPr="001814D2" w:rsidRDefault="009103CC" w:rsidP="009103CC">
      <w:pPr>
        <w:pStyle w:val="ARbody"/>
      </w:pPr>
      <w:r w:rsidRPr="001814D2">
        <w:t xml:space="preserve">In June 2021, we celebrated the 100th birthday of the Archibald Prize with the paired exhibitions </w:t>
      </w:r>
      <w:r w:rsidRPr="001814D2">
        <w:rPr>
          <w:i/>
          <w:iCs/>
        </w:rPr>
        <w:t>Archibald, Wynne and Sulman Prizes 2021</w:t>
      </w:r>
      <w:r w:rsidRPr="001814D2">
        <w:t xml:space="preserve"> and </w:t>
      </w:r>
      <w:r w:rsidRPr="001814D2">
        <w:rPr>
          <w:i/>
          <w:iCs/>
        </w:rPr>
        <w:t>Archie 100: A Century of the Archibald Prize</w:t>
      </w:r>
      <w:r w:rsidRPr="001814D2">
        <w:t>, an extensively researched history of our nation’s favourite art prize, which looked at how the art of portraiture and the ‘face of Australia’ have evolved over the century.</w:t>
      </w:r>
    </w:p>
    <w:p w14:paraId="007F3E6B" w14:textId="77777777" w:rsidR="009103CC" w:rsidRPr="001814D2" w:rsidRDefault="009103CC" w:rsidP="009103CC">
      <w:pPr>
        <w:pStyle w:val="ARbody"/>
      </w:pPr>
      <w:r w:rsidRPr="001814D2">
        <w:t xml:space="preserve">The following week we opened </w:t>
      </w:r>
      <w:r w:rsidRPr="001814D2">
        <w:rPr>
          <w:i/>
          <w:iCs/>
        </w:rPr>
        <w:t>Hilma af Klint: The Secret Paintings</w:t>
      </w:r>
      <w:r w:rsidRPr="001814D2">
        <w:t xml:space="preserve">, a major opportunity to bring af Klint’s monumental and magnificent works to the Asia-Pacific region for the first time. Described in reviews as ‘a cosmic ray of light’ and ‘impeccable’, the exhibition drew strong audiences and critical response, and sparked much excitement on social media. </w:t>
      </w:r>
    </w:p>
    <w:p w14:paraId="2C8A4F76" w14:textId="77777777" w:rsidR="009103CC" w:rsidRPr="001814D2" w:rsidRDefault="009103CC" w:rsidP="009103CC">
      <w:pPr>
        <w:pStyle w:val="ARbody"/>
      </w:pPr>
      <w:r w:rsidRPr="001814D2">
        <w:t xml:space="preserve">It was deeply disappointing that the resurgence of COVID-19 meant we closed our doors again to the public from 25 June 2021; as a result, these exhibitions were not able to be reopened in Sydney. I commend our dedicated staff for doing their utmost to ensure the community can still access the art and ideas in these exhibitions through a generous offering of virtual tours, digital encounters and publications, and my thanks to The Hilda af Klint Foundation for all their support. I am further heartened that each exhibition will find new audiences as they tour to new venues in NSW, across Australia and in New Zealand. </w:t>
      </w:r>
    </w:p>
    <w:p w14:paraId="51172B5F" w14:textId="77777777" w:rsidR="009103CC" w:rsidRPr="001814D2" w:rsidRDefault="009103CC" w:rsidP="009103CC">
      <w:pPr>
        <w:pStyle w:val="ARbody"/>
      </w:pPr>
      <w:r w:rsidRPr="001814D2">
        <w:t xml:space="preserve">During the year we were also proud to partner with other Sydney art institutions to present some of the best contemporary art from Australia and abroad in the </w:t>
      </w:r>
      <w:r w:rsidRPr="001814D2">
        <w:rPr>
          <w:i/>
          <w:iCs/>
        </w:rPr>
        <w:t>22nd Biennale of Sydney: NIRIN</w:t>
      </w:r>
      <w:r w:rsidRPr="001814D2">
        <w:t>,</w:t>
      </w:r>
      <w:r w:rsidRPr="001814D2">
        <w:rPr>
          <w:i/>
          <w:iCs/>
        </w:rPr>
        <w:t xml:space="preserve"> Real Worlds: Dobell Australian Drawing Biennial 2020</w:t>
      </w:r>
      <w:r w:rsidRPr="001814D2">
        <w:t xml:space="preserve"> and </w:t>
      </w:r>
      <w:r w:rsidRPr="001814D2">
        <w:rPr>
          <w:i/>
          <w:iCs/>
        </w:rPr>
        <w:t>The National 2021: New Australian Art</w:t>
      </w:r>
      <w:r w:rsidRPr="001814D2">
        <w:t xml:space="preserve">. </w:t>
      </w:r>
    </w:p>
    <w:p w14:paraId="00E7C820" w14:textId="77777777" w:rsidR="009103CC" w:rsidRPr="001814D2" w:rsidRDefault="009103CC" w:rsidP="009103CC">
      <w:pPr>
        <w:pStyle w:val="ARbody"/>
      </w:pPr>
      <w:r w:rsidRPr="001814D2">
        <w:t xml:space="preserve">Drawing on our superb Asian art collection, </w:t>
      </w:r>
      <w:r w:rsidRPr="001814D2">
        <w:rPr>
          <w:i/>
          <w:iCs/>
        </w:rPr>
        <w:t>The Way We Eat</w:t>
      </w:r>
      <w:r w:rsidRPr="001814D2">
        <w:t xml:space="preserve"> explored one of the most elemental aspects of life – food – in works spanning hundreds of years of cultural and art history, linked thematically but presenting unexpected perspectives. </w:t>
      </w:r>
    </w:p>
    <w:p w14:paraId="56F51EEF" w14:textId="77777777" w:rsidR="009103CC" w:rsidRPr="001814D2" w:rsidRDefault="009103CC" w:rsidP="009103CC">
      <w:pPr>
        <w:pStyle w:val="ARbody"/>
      </w:pPr>
      <w:r w:rsidRPr="001814D2">
        <w:rPr>
          <w:i/>
          <w:iCs/>
        </w:rPr>
        <w:t xml:space="preserve">Longing for Home </w:t>
      </w:r>
      <w:r w:rsidRPr="001814D2">
        <w:t xml:space="preserve">was an emotionally rich presentation of Aboriginal artists’ connection to Country; </w:t>
      </w:r>
      <w:r w:rsidRPr="001814D2">
        <w:rPr>
          <w:i/>
          <w:iCs/>
        </w:rPr>
        <w:t>Joy</w:t>
      </w:r>
      <w:r w:rsidRPr="001814D2">
        <w:t xml:space="preserve"> celebrated making and sharing culture and life together; and </w:t>
      </w:r>
      <w:r w:rsidRPr="001814D2">
        <w:rPr>
          <w:i/>
          <w:iCs/>
        </w:rPr>
        <w:t>Margel Hinder: Modern in Motion</w:t>
      </w:r>
      <w:r w:rsidRPr="001814D2">
        <w:t>, co-curated with Heide Museum of Modern Art, was an important retrospective of one of Australia’s first abstract artists who played a vital role in Sydney modernism.</w:t>
      </w:r>
    </w:p>
    <w:p w14:paraId="14B09038" w14:textId="77777777" w:rsidR="009103CC" w:rsidRPr="001814D2" w:rsidRDefault="009103CC" w:rsidP="009103CC">
      <w:pPr>
        <w:pStyle w:val="ARbody"/>
      </w:pPr>
      <w:r w:rsidRPr="001814D2">
        <w:t xml:space="preserve">The National Art Archive is one of the Art Gallery’s great treasures, and it provided a trove of works featured for the first time in the playful and witty </w:t>
      </w:r>
      <w:r w:rsidRPr="001814D2">
        <w:rPr>
          <w:i/>
          <w:iCs/>
        </w:rPr>
        <w:t>Pat Larter: Get Arted</w:t>
      </w:r>
      <w:r w:rsidRPr="001814D2">
        <w:t>.</w:t>
      </w:r>
    </w:p>
    <w:p w14:paraId="549967AB" w14:textId="77777777" w:rsidR="009103CC" w:rsidRPr="001814D2" w:rsidRDefault="009103CC" w:rsidP="009103CC">
      <w:pPr>
        <w:pStyle w:val="ARbody"/>
      </w:pPr>
      <w:r w:rsidRPr="001814D2">
        <w:t xml:space="preserve">At the Brett Whiteley Studio, </w:t>
      </w:r>
      <w:r w:rsidRPr="001814D2">
        <w:rPr>
          <w:i/>
          <w:iCs/>
        </w:rPr>
        <w:t>Feathers and Flight</w:t>
      </w:r>
      <w:r w:rsidRPr="001814D2">
        <w:t xml:space="preserve"> showcased Whiteley’s lifelong fascination with the beauty and character of birds; </w:t>
      </w:r>
      <w:r w:rsidRPr="001814D2">
        <w:rPr>
          <w:i/>
          <w:iCs/>
        </w:rPr>
        <w:t>Printmaker</w:t>
      </w:r>
      <w:r w:rsidRPr="001814D2">
        <w:t xml:space="preserve"> featured an array of lithographs, etchings, linocuts and silkscreen prints; and the Brett Whiteley Travelling Art Scholarship exhibition showcased some of Australia’s best emerging artists.</w:t>
      </w:r>
    </w:p>
    <w:p w14:paraId="1C2AF539" w14:textId="77777777" w:rsidR="009103CC" w:rsidRPr="001814D2" w:rsidRDefault="009103CC" w:rsidP="009103CC">
      <w:pPr>
        <w:pStyle w:val="ARbody"/>
      </w:pPr>
      <w:r w:rsidRPr="001814D2">
        <w:lastRenderedPageBreak/>
        <w:t>Although COVID-19 continues to complicate our exhibition planning – with uncertainty affecting every aspect of preparations, and state and international border closures making transport of loans, and collaboration with colleagues, more challenging – I am very proud of the Art Gallery’s groundbreaking efforts and constant innovation and responsiveness to realise an exciting and diverse exhibition program for 2020–21, and for the year to come.</w:t>
      </w:r>
    </w:p>
    <w:p w14:paraId="370E46FA" w14:textId="77777777" w:rsidR="009103CC" w:rsidRPr="001814D2" w:rsidRDefault="009103CC" w:rsidP="009103CC">
      <w:pPr>
        <w:pStyle w:val="ARheading3"/>
      </w:pPr>
      <w:r w:rsidRPr="001814D2">
        <w:t>Audience</w:t>
      </w:r>
    </w:p>
    <w:p w14:paraId="39C5B24C" w14:textId="77777777" w:rsidR="009103CC" w:rsidRPr="001814D2" w:rsidRDefault="009103CC" w:rsidP="009103CC">
      <w:pPr>
        <w:pStyle w:val="ARbody"/>
      </w:pPr>
      <w:r w:rsidRPr="001814D2">
        <w:t>The uncertainty and limitations faced by the community this year had direct impacts on the Art Gallery’s attendance levels. In a significant drop on previous years, approximately 666,000 people visited the Art Gallery’s main Domain site, Brett Whiteley Studio and regional touring exhibitions.</w:t>
      </w:r>
    </w:p>
    <w:p w14:paraId="7055E067" w14:textId="77777777" w:rsidR="009103CC" w:rsidRPr="001814D2" w:rsidRDefault="009103CC" w:rsidP="009103CC">
      <w:pPr>
        <w:pStyle w:val="ARbody"/>
      </w:pPr>
      <w:r w:rsidRPr="001814D2">
        <w:t>While the combined impact of international and state border closures, capacity restrictions and other public health requirements provided very challenging conditions, we were able to ensure a safe environment for our staff, volunteers and visitors. Delivering major exhibitions and special events during a pandemic is no small feat. Our Return to Work team carefully planned our COVID-19 capacity restrictions, timed ticketing and other public health measures, and we received very positive feedback from audiences on the steps taken to ensure seamless and safe experiences.</w:t>
      </w:r>
    </w:p>
    <w:p w14:paraId="298EC49C" w14:textId="77777777" w:rsidR="009103CC" w:rsidRPr="001814D2" w:rsidRDefault="009103CC" w:rsidP="009103CC">
      <w:pPr>
        <w:pStyle w:val="ARbody"/>
      </w:pPr>
      <w:r w:rsidRPr="001814D2">
        <w:t xml:space="preserve">Our digital presence continued to grow, with highlights including 360-degree virtual exhibition tours, an expanded virtual school excursion program and a new series of online talks, In the Frame. The Art Gallery’s online social media presence also remained a very important way for us to connect with our community and it with us – and to share inspiring and delightful encounters with art. We drew 65 million impressions across Instagram, Facebook, Twitter and LinkedIn, with 2.1 million engagements – up from 1.5 million the previous year. Feature television programming, including the ABC’s three-part series </w:t>
      </w:r>
      <w:r w:rsidRPr="001814D2">
        <w:rPr>
          <w:i/>
          <w:iCs/>
        </w:rPr>
        <w:t>Finding the Archibald</w:t>
      </w:r>
      <w:r w:rsidRPr="001814D2">
        <w:t xml:space="preserve"> co-produced and presented by actor Rachel Griffiths, provided additional insights to our exhibitions.</w:t>
      </w:r>
    </w:p>
    <w:p w14:paraId="65194B71" w14:textId="77777777" w:rsidR="009103CC" w:rsidRPr="001814D2" w:rsidRDefault="009103CC" w:rsidP="009103CC">
      <w:pPr>
        <w:pStyle w:val="ARbody"/>
      </w:pPr>
      <w:r w:rsidRPr="001814D2">
        <w:t xml:space="preserve">We also used other platforms to help our audiences everywhere to access art. From the delivery of over 10,000 art packs to lockdown-affected children and families across NSW and beyond to developing a pilot program with Health Infrastructure NSW and Murrumbidgee Local Health District to enable aged care residents to access unique, tailored art experiences in their care settings, access and accessibility is a key priority for the Art Gallery. </w:t>
      </w:r>
    </w:p>
    <w:p w14:paraId="167025CA" w14:textId="77777777" w:rsidR="009103CC" w:rsidRPr="001814D2" w:rsidRDefault="009103CC" w:rsidP="009103CC">
      <w:pPr>
        <w:pStyle w:val="ARbody"/>
      </w:pPr>
      <w:r w:rsidRPr="001814D2">
        <w:t xml:space="preserve">We have also shared our collection through touring exhibitions, and our touring program was happily able to proceed despite COVID-19. The Art Gallery’s six superb touring exhibitions featured at thirteen galleries and museums in NSW, Queensland and the Australian Capital Territory. We are proud of the outreach we continue to build across our country, and in </w:t>
      </w:r>
      <w:r w:rsidRPr="001814D2">
        <w:lastRenderedPageBreak/>
        <w:t xml:space="preserve">particular of our important partnerships across our state’s rich network of regional galleries. </w:t>
      </w:r>
    </w:p>
    <w:p w14:paraId="676673E6" w14:textId="77777777" w:rsidR="009103CC" w:rsidRPr="001814D2" w:rsidRDefault="009103CC" w:rsidP="009103CC">
      <w:pPr>
        <w:pStyle w:val="ARheading3"/>
      </w:pPr>
      <w:r w:rsidRPr="001814D2">
        <w:t>Strength</w:t>
      </w:r>
    </w:p>
    <w:p w14:paraId="60791D43" w14:textId="77777777" w:rsidR="009103CC" w:rsidRPr="001814D2" w:rsidRDefault="009103CC" w:rsidP="009103CC">
      <w:pPr>
        <w:pStyle w:val="ARbody"/>
      </w:pPr>
      <w:r w:rsidRPr="001814D2">
        <w:t>At such a critical time for the Art Gallery, we were appreciative of the operational and capital investment in this year’s state budget to support our delivery of the Sydney Modern Project.</w:t>
      </w:r>
    </w:p>
    <w:p w14:paraId="216483F6" w14:textId="77777777" w:rsidR="009103CC" w:rsidRPr="001814D2" w:rsidRDefault="009103CC" w:rsidP="009103CC">
      <w:pPr>
        <w:pStyle w:val="ARbody"/>
      </w:pPr>
      <w:r w:rsidRPr="001814D2">
        <w:t xml:space="preserve">We have also made strong progress on self-generated revenue plans for our expanded Art Gallery, in particular our preparation for the campus-wide catering tender process, developing our retail space for the new building, and enhancing our online shop, which has already resulted in strong web-based sales. However, COVID-19 had significant impacts on revenues from exhibition ticket sales, venues, food and beverage, and retail. We are fortunate as the state art museum that the Treasury Managed Fund provides support in managing these losses. This, teamed with the strong support of our benefactors and corporate partners, means the Art Gallery is in a comparatively stable position at this difficult time. </w:t>
      </w:r>
    </w:p>
    <w:p w14:paraId="28272812" w14:textId="77777777" w:rsidR="009103CC" w:rsidRPr="001814D2" w:rsidRDefault="009103CC" w:rsidP="009103CC">
      <w:pPr>
        <w:pStyle w:val="ARbody"/>
      </w:pPr>
      <w:r w:rsidRPr="001814D2">
        <w:t xml:space="preserve">Investment in the state’s cultural institutions means that we can provide free access to art, to every individual in NSW – and beyond. This is of benefit not only to the state’s economy and our ability to recover from COVID-19 through tourism and productivity in Sydney but to public wellbeing. </w:t>
      </w:r>
    </w:p>
    <w:p w14:paraId="0138FAC2" w14:textId="77777777" w:rsidR="009103CC" w:rsidRPr="001814D2" w:rsidRDefault="009103CC" w:rsidP="009103CC">
      <w:pPr>
        <w:pStyle w:val="ARheading3"/>
      </w:pPr>
      <w:r w:rsidRPr="001814D2">
        <w:t>People</w:t>
      </w:r>
    </w:p>
    <w:p w14:paraId="01F88B25" w14:textId="77777777" w:rsidR="009103CC" w:rsidRPr="001814D2" w:rsidRDefault="009103CC" w:rsidP="009103CC">
      <w:pPr>
        <w:pStyle w:val="ARbody"/>
      </w:pPr>
      <w:r w:rsidRPr="001814D2">
        <w:t>As the proud caretakers of our state’s art collection, our institution is as much about the people who care for the art and bring it to life for our audiences as it is about the art.</w:t>
      </w:r>
    </w:p>
    <w:p w14:paraId="36FEB36E" w14:textId="77777777" w:rsidR="009103CC" w:rsidRPr="001814D2" w:rsidRDefault="009103CC" w:rsidP="009103CC">
      <w:pPr>
        <w:pStyle w:val="ARbody"/>
      </w:pPr>
      <w:r w:rsidRPr="001814D2">
        <w:t>The Art Gallery’s Executive team has provided unsurpassed professional support and leadership this year. I thank Maud Page, deputy director and director of collections; Hakan Harman, chief operating officer; John Richardson, director of development; and Miranda Carroll, director of public engagement for their extraordinary efforts.</w:t>
      </w:r>
    </w:p>
    <w:p w14:paraId="64364FA5" w14:textId="77777777" w:rsidR="009103CC" w:rsidRPr="001814D2" w:rsidRDefault="009103CC" w:rsidP="009103CC">
      <w:pPr>
        <w:pStyle w:val="ARbody"/>
      </w:pPr>
      <w:r w:rsidRPr="001814D2">
        <w:t>Our highly skilled and dedicated staff have continued to show incredible resilience, moving readily between planning for our expansion – and making the most of every opportunity to inspire our audiences – while responding to continually changing operating conditions. They have been truly devoted to caring for our collection and our communities, and I applaud their grace under pressure, their ingenuity and their total dedication to our mission.</w:t>
      </w:r>
    </w:p>
    <w:p w14:paraId="129A65E1" w14:textId="77777777" w:rsidR="009103CC" w:rsidRPr="001814D2" w:rsidRDefault="009103CC" w:rsidP="009103CC">
      <w:pPr>
        <w:pStyle w:val="ARbody"/>
      </w:pPr>
      <w:r w:rsidRPr="001814D2">
        <w:t xml:space="preserve">While their activity was limited this year by COVID-19 restrictions, the contribution of our 150 volunteer guides and 100 volunteers is as valued as ever. I pay tribute to the loyalty and support of our members, and I congratulate and thank outgoing executive director Ron Ramsey for his strong leadership of the Art Gallery Society through a difficult period. We look </w:t>
      </w:r>
      <w:r w:rsidRPr="001814D2">
        <w:lastRenderedPageBreak/>
        <w:t>forward to a fruitful relationship with Robert Heather, who joined us in June.</w:t>
      </w:r>
    </w:p>
    <w:p w14:paraId="484322A8" w14:textId="77777777" w:rsidR="009103CC" w:rsidRPr="001814D2" w:rsidRDefault="009103CC" w:rsidP="009103CC">
      <w:pPr>
        <w:pStyle w:val="ARbody"/>
      </w:pPr>
      <w:r w:rsidRPr="001814D2">
        <w:t xml:space="preserve">I have been proud to work with colleagues in the NSW Department of Premier and Cabinet, Create NSW and many other state and federal government agencies, as well as other NSW cultural institutions. As the current chair of the Council of Australian Art Museum Directors, I appreciate the collaboration of my counterparts in Australia’s other national, state and territory art museums as we all work to bring significant experiences to our audiences. </w:t>
      </w:r>
    </w:p>
    <w:p w14:paraId="52957088" w14:textId="77777777" w:rsidR="009103CC" w:rsidRPr="001814D2" w:rsidRDefault="009103CC" w:rsidP="009103CC">
      <w:pPr>
        <w:pStyle w:val="ARbody"/>
      </w:pPr>
      <w:r w:rsidRPr="001814D2">
        <w:t>Thank you to the Art Gallery Board of Trustees, led by president David Gonski AC, who have collectively steered us with insight and devotion to our purpose. Their skills and advice are especially valuable while we face the multiple challenges of the COVID-19 pandemic, and I appreciate their shared commitment to our strategic vision.</w:t>
      </w:r>
    </w:p>
    <w:p w14:paraId="4A0AE1A7" w14:textId="77777777" w:rsidR="009103CC" w:rsidRPr="001814D2" w:rsidRDefault="009103CC" w:rsidP="009103CC">
      <w:pPr>
        <w:pStyle w:val="ARbody"/>
      </w:pPr>
      <w:r w:rsidRPr="001814D2">
        <w:t xml:space="preserve">While the path is uneven at times, we are full of anticipation for the future as we approach the completion of the Sydney Modern Project, which will provide Sydney and NSW with a spectacular art museum campus, an energised precinct, and a destination that cements our position as a global cultural destination. We look forward eagerly to the year ahead, and most especially to the return of artists and visitors to the Art Gallery, as we continue to connect our community through art. </w:t>
      </w:r>
    </w:p>
    <w:p w14:paraId="1E7FB21D" w14:textId="77777777" w:rsidR="009103CC" w:rsidRDefault="009103CC" w:rsidP="009103CC">
      <w:pPr>
        <w:pStyle w:val="ARbody"/>
      </w:pPr>
      <w:r w:rsidRPr="001814D2">
        <w:t>Dr Michael Brand</w:t>
      </w:r>
      <w:r w:rsidRPr="001814D2">
        <w:br/>
        <w:t>Director</w:t>
      </w:r>
      <w:r>
        <w:br/>
      </w:r>
      <w:r w:rsidRPr="001814D2">
        <w:t>Art Gallery of New South Wales</w:t>
      </w:r>
    </w:p>
    <w:p w14:paraId="23E0D256" w14:textId="77777777" w:rsidR="009103CC" w:rsidRPr="001814D2" w:rsidRDefault="009103CC" w:rsidP="009103CC">
      <w:pPr>
        <w:pStyle w:val="ARbody"/>
      </w:pPr>
      <w:r w:rsidRPr="001814D2">
        <w:t>15 October 2021</w:t>
      </w:r>
    </w:p>
    <w:p w14:paraId="02F1F1E1" w14:textId="77777777" w:rsidR="009103CC" w:rsidRPr="001814D2" w:rsidRDefault="009103CC" w:rsidP="009103CC">
      <w:pPr>
        <w:pStyle w:val="Tabletext"/>
      </w:pPr>
      <w:r w:rsidRPr="001814D2">
        <w:br w:type="page"/>
      </w:r>
    </w:p>
    <w:p w14:paraId="16D906E7" w14:textId="77777777" w:rsidR="009103CC" w:rsidRPr="001814D2" w:rsidRDefault="009103CC" w:rsidP="009103CC">
      <w:pPr>
        <w:pStyle w:val="ARheading2"/>
        <w:rPr>
          <w:lang w:val="en-AU"/>
        </w:rPr>
      </w:pPr>
      <w:bookmarkStart w:id="9" w:name="_Toc90982532"/>
      <w:bookmarkStart w:id="10" w:name="_Toc92897861"/>
      <w:r w:rsidRPr="001814D2">
        <w:rPr>
          <w:lang w:val="en-AU"/>
        </w:rPr>
        <w:lastRenderedPageBreak/>
        <w:t>1 Strategic goal: Campus</w:t>
      </w:r>
      <w:bookmarkEnd w:id="9"/>
      <w:bookmarkEnd w:id="10"/>
    </w:p>
    <w:p w14:paraId="1EEA8E4F" w14:textId="77777777" w:rsidR="009103CC" w:rsidRPr="001814D2" w:rsidRDefault="009103CC" w:rsidP="009103CC">
      <w:pPr>
        <w:pStyle w:val="ARbody"/>
      </w:pPr>
      <w:r w:rsidRPr="001814D2">
        <w:t>Creating an indoor–outdoor cultural experience across a campus featuring two art museum buildings and an art garden</w:t>
      </w:r>
    </w:p>
    <w:p w14:paraId="276234A2" w14:textId="77777777" w:rsidR="009103CC" w:rsidRPr="001814D2" w:rsidRDefault="009103CC" w:rsidP="009103CC">
      <w:pPr>
        <w:pStyle w:val="ARlistparagraph"/>
      </w:pPr>
      <w:r w:rsidRPr="001814D2">
        <w:t>Construction of the Art Gallery of New South Wales' expansion, the Sydney Modern Project, continued on budget and program in 2020–21 despite the pandemic, with November 2020 marking one year of construction by Richard Crookes Constructions. The project is being delivered by Infrastructure NSW on behalf of the Art Gallery and the NSW Government.</w:t>
      </w:r>
    </w:p>
    <w:p w14:paraId="7D89ECB6" w14:textId="77777777" w:rsidR="009103CC" w:rsidRPr="001814D2" w:rsidRDefault="009103CC" w:rsidP="009103CC">
      <w:pPr>
        <w:pStyle w:val="ARlistparagraph"/>
      </w:pPr>
      <w:r w:rsidRPr="001814D2">
        <w:t>The full form of the new building started to take shape with progression of the building’s structural elements across all levels, including structural steel installation, formwork and pouring of concrete slabs and walls. The first concrete slabs on lower level 1 and the entry level (Art Gallery Road level) were poured, paving the way for construction of spaces on these levels, including Gallery 1 (the Aboriginal and Torres Strait Islander art gallery). Inside the building, installation of internal walls, services and finishes commenced for gallery spaces located on lower level 2 as well as back-of-house areas on lower levels 3 and 4.</w:t>
      </w:r>
    </w:p>
    <w:p w14:paraId="2F4AF55C" w14:textId="77777777" w:rsidR="009103CC" w:rsidRPr="001814D2" w:rsidRDefault="009103CC" w:rsidP="009103CC">
      <w:pPr>
        <w:pStyle w:val="ARlistparagraph"/>
      </w:pPr>
      <w:r w:rsidRPr="001814D2">
        <w:t xml:space="preserve">Construction commenced on the 140-metre-long curved rammed earth wall on lower level 2. This is one of two rammed earth walls in the new building that follow the natural topography of the site extending both internally and externally. </w:t>
      </w:r>
    </w:p>
    <w:p w14:paraId="69B38BFB" w14:textId="77777777" w:rsidR="009103CC" w:rsidRPr="001814D2" w:rsidRDefault="009103CC" w:rsidP="009103CC">
      <w:pPr>
        <w:pStyle w:val="ARlistparagraph"/>
      </w:pPr>
      <w:r w:rsidRPr="001814D2">
        <w:t>Richard Crookes Construction will begin installation of limestone facades to spaces on lower level 2, including Gallery 3 (a 1300-square-metre major exhibition gallery) and the multipurpose space shortly. Limestone facades encase the three major art pavilions that are part of the new building, complementing the sandstone facade of the existing building.</w:t>
      </w:r>
    </w:p>
    <w:p w14:paraId="280E19EA" w14:textId="77777777" w:rsidR="009103CC" w:rsidRPr="001814D2" w:rsidRDefault="009103CC" w:rsidP="009103CC">
      <w:pPr>
        <w:pStyle w:val="ARlistparagraph"/>
      </w:pPr>
      <w:r w:rsidRPr="001814D2">
        <w:t xml:space="preserve">In November 2020, the Art Gallery announced that internationally acclaimed landscape architect Kathryn Gustafson and Seattle firm Gustafson Guthrie Nichol were working with architects SANAA and landscape architects McGregor Coxall to design feature landscape elements for the expansion, including the new public art garden, which incorporates the entry plaza of the new building, and the revitalisation of the grand forecourt of the existing building. The landscape design will create a unified art museum campus connecting the existing and new buildings, unfolding as a sequence of experiences for visitors across open spaces and gardens that are free and accessible to all, twenty-four hours a day. The modification to the State Significant Development Application for these landscape refinements was approved by the NSW Department of Planning, Industry and Environment in May 2021. </w:t>
      </w:r>
    </w:p>
    <w:p w14:paraId="4004F7E8" w14:textId="77777777" w:rsidR="009103CC" w:rsidRPr="001814D2" w:rsidRDefault="009103CC" w:rsidP="009103CC">
      <w:pPr>
        <w:pStyle w:val="ARlistparagraph"/>
      </w:pPr>
      <w:r w:rsidRPr="001814D2">
        <w:lastRenderedPageBreak/>
        <w:t>A spectacular site has been set aside within the art garden for a future major art</w:t>
      </w:r>
      <w:r w:rsidRPr="00933FC4">
        <w:t> </w:t>
      </w:r>
      <w:r w:rsidRPr="001814D2">
        <w:t>commission that will draw upon its landscape forms to create a unique work of art at the heart of the campus. The garden will occupy the area between the existing and new buildings, located between Art Gallery Road at the west and the land bridge at the east. The key goal of the art garden is to create a vibrant and deeply nuanced new civic space for Sydney.</w:t>
      </w:r>
    </w:p>
    <w:p w14:paraId="19A74737" w14:textId="77777777" w:rsidR="009103CC" w:rsidRPr="001814D2" w:rsidRDefault="009103CC" w:rsidP="009103CC">
      <w:pPr>
        <w:pStyle w:val="ARlistparagraph"/>
      </w:pPr>
      <w:r w:rsidRPr="001814D2">
        <w:t>While construction has continued apace, the Art Gallery progressed detailed research, analysis and planning for the transition to the public opening of the new building in late 2022. This forms part of the broader Sydney Modern Project transformation planning to provide inspiring cultural spaces and exemplary visitor services across an expanded art museum campus.</w:t>
      </w:r>
    </w:p>
    <w:p w14:paraId="4163CAD8" w14:textId="77777777" w:rsidR="009103CC" w:rsidRPr="001814D2" w:rsidRDefault="009103CC" w:rsidP="009103CC">
      <w:pPr>
        <w:pStyle w:val="ARlistparagraph"/>
      </w:pPr>
      <w:r w:rsidRPr="001814D2">
        <w:t xml:space="preserve">The Sydney Modern Project was featured as part of the </w:t>
      </w:r>
      <w:r w:rsidRPr="001814D2">
        <w:rPr>
          <w:i/>
          <w:iCs/>
        </w:rPr>
        <w:t>Building a better future</w:t>
      </w:r>
      <w:r w:rsidRPr="001814D2">
        <w:t xml:space="preserve"> series produced for the World Green Building Council by BBC StoryWorks commercial productions, which explored leading sustainable developments from around the world and the way in which architecture can have a profound effect on the quality of people’s lives. The Art Gallery was showcased as the first art museum to achieve a 6-star Green Star design rating from the Green Building Council of Australia, setting both a national and international benchmark for cultural sustainability. The Art Gallery’s video featured interviews with director Michael Brand, artist and Art Gallery trustee Tony Albert, who also chairs the Art Gallery’s Indigenous Advisory Group, and architects Kazuyo Sejima and Ryue Nishizawa, founders of SANAA.</w:t>
      </w:r>
    </w:p>
    <w:p w14:paraId="2C698D59" w14:textId="77777777" w:rsidR="009103CC" w:rsidRPr="001814D2" w:rsidRDefault="009103CC" w:rsidP="009103CC">
      <w:pPr>
        <w:pStyle w:val="ARlistparagraph"/>
      </w:pPr>
      <w:r w:rsidRPr="001814D2">
        <w:t xml:space="preserve">Coinciding with the premiere of </w:t>
      </w:r>
      <w:r w:rsidRPr="001814D2">
        <w:rPr>
          <w:i/>
          <w:iCs/>
        </w:rPr>
        <w:t>Badu Gili: Wonder Women</w:t>
      </w:r>
      <w:r w:rsidRPr="001814D2">
        <w:t>, a monumental art projection on the sails of the Sydney Opera House and a groundbreaking collaboration to celebrate the launch of the Art Gallery’s 150th anniversary, the Art Gallery held an international media briefing on the Sydney Modern Project. The 150th-anniversary celebrations will culminate with the public opening of the expanded and revitalised art museum campus in late 2022.</w:t>
      </w:r>
    </w:p>
    <w:p w14:paraId="686050BE" w14:textId="77777777" w:rsidR="009103CC" w:rsidRPr="001814D2" w:rsidRDefault="009103CC" w:rsidP="009103CC">
      <w:pPr>
        <w:pStyle w:val="ARlistparagraph"/>
      </w:pPr>
      <w:r w:rsidRPr="001814D2">
        <w:t xml:space="preserve">Working with leading Australian architects Tonkin Zulaikha Greer, the Art Gallery commenced a program of revitalisation works in the existing building as part of the Sydney Modern Project transformation. This included restoring the original entrance vestibule to its full grandeur with a relocation and upgrade of the cloaking facilities; relocation of the major temporary exhibition space from lower level 1 to lower level 2 with improved public amenities; and refurbishment works to the original Grand Courts galleries, including restoration of the heritage fabric, new energy-saving LED lighting, and removal of a staff-only staircase added in the late 1970s. The revitalisation program will be completed in 2022 in time for the opening of the new building and is aimed at restoring </w:t>
      </w:r>
      <w:r w:rsidRPr="001814D2">
        <w:lastRenderedPageBreak/>
        <w:t>original architectural features of the building, providing more space for art and research, enhancing the visitor experience, and supporting sustainable operations. The Art Gallery continues to work with the NSW Government and philanthropic community to seek support for its transformation and ongoing operations.</w:t>
      </w:r>
    </w:p>
    <w:p w14:paraId="520678D1" w14:textId="77777777" w:rsidR="009103CC" w:rsidRPr="001814D2" w:rsidRDefault="009103CC" w:rsidP="009103CC">
      <w:pPr>
        <w:pStyle w:val="ARlistparagraph"/>
      </w:pPr>
      <w:r w:rsidRPr="001814D2">
        <w:t>The Sustainability Working Group, created to develop practical solutions for embedding sustainable practices across the institution, continued to progress planning for the Art Gallery’s campus sustainability strategy. The aim of the strategy is to complement the 6-star Green Star design rating of the new building.</w:t>
      </w:r>
    </w:p>
    <w:p w14:paraId="5D55C410" w14:textId="77777777" w:rsidR="009103CC" w:rsidRPr="001814D2" w:rsidRDefault="009103CC" w:rsidP="009103CC">
      <w:pPr>
        <w:pStyle w:val="ARlistparagraph"/>
      </w:pPr>
      <w:r w:rsidRPr="001814D2">
        <w:t>Aligned to the Art Gallery’s new visual identity launched in April 2021, the Visitor Experience Plan will consider visitor service standards, implementation of a new ticketing management system, accessibility, digital engagement and wayfinding. Consultation undertaken for the development of the plan over the course of the year outlined the main themes and objectives in improving and unifying the visitor experience across the expanded campus. Further consultation and baseline surveys will be undertaken in the lead-up to finalisation of the plan prior to the public opening of the new building.</w:t>
      </w:r>
    </w:p>
    <w:p w14:paraId="3E4F875C" w14:textId="77777777" w:rsidR="009103CC" w:rsidRPr="001814D2" w:rsidRDefault="009103CC" w:rsidP="009103CC">
      <w:pPr>
        <w:pStyle w:val="ARlistparagraph"/>
      </w:pPr>
      <w:r w:rsidRPr="001814D2">
        <w:t>The Art Gallery has expanded its fundraising campaign to seek philanthropic support to activate key features of the new building, the revitalisation of the existing building, site-specific art commissions and art acquisitions, and learning and participation programs across the expanded campus.</w:t>
      </w:r>
    </w:p>
    <w:p w14:paraId="0C089D55" w14:textId="77777777" w:rsidR="009103CC" w:rsidRPr="001814D2" w:rsidRDefault="009103CC" w:rsidP="009103CC">
      <w:pPr>
        <w:pStyle w:val="Tabletext"/>
      </w:pPr>
      <w:r w:rsidRPr="001814D2">
        <w:br w:type="page"/>
      </w:r>
    </w:p>
    <w:p w14:paraId="41886F3D" w14:textId="77777777" w:rsidR="009103CC" w:rsidRPr="001814D2" w:rsidRDefault="009103CC" w:rsidP="009103CC">
      <w:pPr>
        <w:pStyle w:val="ARheading2"/>
        <w:rPr>
          <w:lang w:val="en-AU"/>
        </w:rPr>
      </w:pPr>
      <w:bookmarkStart w:id="11" w:name="_Toc90982533"/>
      <w:bookmarkStart w:id="12" w:name="_Toc92897862"/>
      <w:r w:rsidRPr="001814D2">
        <w:rPr>
          <w:lang w:val="en-AU"/>
        </w:rPr>
        <w:lastRenderedPageBreak/>
        <w:t>2 Strategic goal: Art</w:t>
      </w:r>
      <w:bookmarkEnd w:id="11"/>
      <w:bookmarkEnd w:id="12"/>
    </w:p>
    <w:p w14:paraId="2A205B31" w14:textId="77777777" w:rsidR="009103CC" w:rsidRPr="001814D2" w:rsidRDefault="009103CC" w:rsidP="009103CC">
      <w:pPr>
        <w:pStyle w:val="ARbody"/>
      </w:pPr>
      <w:r w:rsidRPr="001814D2">
        <w:t>Enriching the understanding and enjoyment of art through the development, conservation and interpretation of our collections and staging of exhibitions</w:t>
      </w:r>
    </w:p>
    <w:p w14:paraId="36572D16" w14:textId="77777777" w:rsidR="009103CC" w:rsidRPr="001814D2" w:rsidRDefault="009103CC" w:rsidP="009103CC">
      <w:pPr>
        <w:pStyle w:val="ARlistparagraph"/>
      </w:pPr>
      <w:r w:rsidRPr="001814D2">
        <w:t xml:space="preserve">In a challenging year for the community, the Art Gallery continued to provide inspiration and connection through its exhibitions program. Supported by Destination NSW, the magnificent and comprehensive survey exhibition </w:t>
      </w:r>
      <w:r w:rsidRPr="001814D2">
        <w:rPr>
          <w:i/>
          <w:iCs/>
        </w:rPr>
        <w:t>Streeton</w:t>
      </w:r>
      <w:r w:rsidRPr="001814D2">
        <w:t xml:space="preserve"> explored the life and work of the Australian impressionist artist Arthur Streeton, with visitors’ experiences enriched by a spectacular, sold-out catalogue publication, an accessible audio guide, and the commissioned film </w:t>
      </w:r>
      <w:r w:rsidRPr="001814D2">
        <w:rPr>
          <w:i/>
          <w:iCs/>
        </w:rPr>
        <w:t>Streeton: a life</w:t>
      </w:r>
      <w:r w:rsidRPr="001814D2">
        <w:t>, which screened at the exhibition entrance and on ABC TV.</w:t>
      </w:r>
    </w:p>
    <w:p w14:paraId="49696701" w14:textId="77777777" w:rsidR="009103CC" w:rsidRPr="001814D2" w:rsidRDefault="009103CC" w:rsidP="009103CC">
      <w:pPr>
        <w:pStyle w:val="ARlistparagraph"/>
      </w:pPr>
      <w:r w:rsidRPr="001814D2">
        <w:t xml:space="preserve">Record numbers of entries were received for the 2020 and 2021 Archibald, Wynne and Sulman Prizes, and in 2021 the 100th anniversary of the Archibald Prize was celebrated with the ambitious interstate touring exhibition </w:t>
      </w:r>
      <w:r w:rsidRPr="001814D2">
        <w:rPr>
          <w:i/>
          <w:iCs/>
        </w:rPr>
        <w:t>Archie 100: A Century of the Archibald Prize</w:t>
      </w:r>
      <w:r w:rsidRPr="001814D2">
        <w:t xml:space="preserve">, unearthing the stories behind more than a hundred artworks carefully selected from each decade – some not seen since they were first exhibited. Drawn from years of research, </w:t>
      </w:r>
      <w:r w:rsidRPr="001814D2">
        <w:rPr>
          <w:i/>
          <w:iCs/>
        </w:rPr>
        <w:t>Archie 100</w:t>
      </w:r>
      <w:r w:rsidRPr="001814D2">
        <w:t xml:space="preserve"> reflects how artistic styles and approaches to portraiture have changed over time and, importantly, the always-changing face of our nation. This celebratory exhibition will tour to eight venues across Australia from November 2021.</w:t>
      </w:r>
    </w:p>
    <w:p w14:paraId="6BA16C2D" w14:textId="77777777" w:rsidR="009103CC" w:rsidRPr="001814D2" w:rsidRDefault="009103CC" w:rsidP="009103CC">
      <w:pPr>
        <w:pStyle w:val="ARlistparagraph"/>
      </w:pPr>
      <w:r w:rsidRPr="001814D2">
        <w:t xml:space="preserve">Swedish artist Hilma af Klint’s work was brought to the Asia-Pacific region for the first time in </w:t>
      </w:r>
      <w:r w:rsidRPr="001814D2">
        <w:rPr>
          <w:i/>
          <w:iCs/>
        </w:rPr>
        <w:t>Hilma af Klint: The Secret Paintings</w:t>
      </w:r>
      <w:r w:rsidRPr="001814D2">
        <w:t>. Also supported by Destination NSW, this was Sydney’s first post-COVID-19 international exhibition and a landmark survey of the artist’s remarkable mystical paintings. With a richly illustrated publication, access programs and lively public programming, the exhibition attracted critical acclaim and inspired a positive response from visitors.</w:t>
      </w:r>
    </w:p>
    <w:p w14:paraId="2ABFD9E2" w14:textId="77777777" w:rsidR="009103CC" w:rsidRPr="001814D2" w:rsidRDefault="009103CC" w:rsidP="009103CC">
      <w:pPr>
        <w:pStyle w:val="ARlistparagraph"/>
      </w:pPr>
      <w:r w:rsidRPr="001814D2">
        <w:t xml:space="preserve">Contemporary art practice was showcased in </w:t>
      </w:r>
      <w:r w:rsidRPr="001814D2">
        <w:rPr>
          <w:i/>
          <w:iCs/>
        </w:rPr>
        <w:t>The National 2021: New Australian Art</w:t>
      </w:r>
      <w:r w:rsidRPr="001814D2">
        <w:t xml:space="preserve">, in partnership with Carriageworks and Museum of Contemporary Art Australia. Drawing on Indigenous ways of knowing, seeing and being, the Art Gallery presented fourteen artist projects exploring art’s potential to heal and care for fragile natural and social ecosystems. </w:t>
      </w:r>
      <w:r w:rsidRPr="001814D2">
        <w:rPr>
          <w:i/>
          <w:iCs/>
        </w:rPr>
        <w:t>Real Worlds: Dobell Australian Drawing Biennial 2020</w:t>
      </w:r>
      <w:r w:rsidRPr="001814D2">
        <w:t xml:space="preserve"> presented the work of eight contemporary artists who create extraordinary new worlds in drawings of great complexity and invention.</w:t>
      </w:r>
    </w:p>
    <w:p w14:paraId="1D167D5C" w14:textId="77777777" w:rsidR="009103CC" w:rsidRPr="001814D2" w:rsidRDefault="009103CC" w:rsidP="009103CC">
      <w:pPr>
        <w:pStyle w:val="ARlistparagraph"/>
      </w:pPr>
      <w:r w:rsidRPr="001814D2">
        <w:t xml:space="preserve">A spotlight was shone on pioneering Australian women artists Margel Hinder and Pat Larter with two exhibitions: </w:t>
      </w:r>
      <w:r w:rsidRPr="001814D2">
        <w:rPr>
          <w:i/>
          <w:iCs/>
        </w:rPr>
        <w:t xml:space="preserve">Margel Hinder: Modern in Motion, </w:t>
      </w:r>
      <w:r w:rsidRPr="001814D2">
        <w:t xml:space="preserve">a major solo perspective on the dynamic sculptor’s practice in Australia, which then toured to the Heide Museum of Modern Art; and </w:t>
      </w:r>
      <w:r w:rsidRPr="001814D2">
        <w:rPr>
          <w:i/>
          <w:iCs/>
        </w:rPr>
        <w:t>Pat Larter: Get Arted</w:t>
      </w:r>
      <w:r w:rsidRPr="001814D2">
        <w:t xml:space="preserve">, which drew on rich archival material for a witty and </w:t>
      </w:r>
      <w:r w:rsidRPr="001814D2">
        <w:lastRenderedPageBreak/>
        <w:t>provocative journey through the artist’s body of work.</w:t>
      </w:r>
    </w:p>
    <w:p w14:paraId="02D3E620" w14:textId="77777777" w:rsidR="009103CC" w:rsidRPr="001814D2" w:rsidRDefault="009103CC" w:rsidP="009103CC">
      <w:pPr>
        <w:pStyle w:val="ARlistparagraph"/>
      </w:pPr>
      <w:r w:rsidRPr="001814D2">
        <w:t xml:space="preserve">Drawing on the Art Gallery’s rich collection, the </w:t>
      </w:r>
      <w:r w:rsidRPr="001814D2">
        <w:rPr>
          <w:i/>
          <w:iCs/>
        </w:rPr>
        <w:t>Joy</w:t>
      </w:r>
      <w:r w:rsidRPr="001814D2">
        <w:t xml:space="preserve"> exhibition displayed works by Central Desert artists who celebrate the joy of making and sharing culture and life together, and the emotionally rich </w:t>
      </w:r>
      <w:r w:rsidRPr="001814D2">
        <w:rPr>
          <w:i/>
          <w:iCs/>
        </w:rPr>
        <w:t xml:space="preserve">Longing for Home </w:t>
      </w:r>
      <w:r w:rsidRPr="001814D2">
        <w:t>exhibition documented six Aboriginal artists’ melancholic longing for Country across distance, time and space.</w:t>
      </w:r>
    </w:p>
    <w:p w14:paraId="163019D7" w14:textId="77777777" w:rsidR="009103CC" w:rsidRPr="001814D2" w:rsidRDefault="009103CC" w:rsidP="009103CC">
      <w:pPr>
        <w:pStyle w:val="ARlistparagraph"/>
      </w:pPr>
      <w:r w:rsidRPr="001814D2">
        <w:t xml:space="preserve">The exhibition </w:t>
      </w:r>
      <w:r w:rsidRPr="001814D2">
        <w:rPr>
          <w:i/>
          <w:iCs/>
        </w:rPr>
        <w:t>The Way We Eat</w:t>
      </w:r>
      <w:r w:rsidRPr="001814D2">
        <w:t xml:space="preserve"> explored the inspiration, pleasure and ceremony provided by food. Drawing on the Art Gallery’s extensive holdings of Asian art, as well as loans from private collections including the White Rabbit Collection in Sydney, the exhibition presented over one hundred Chinese artworks, ranging from 4000-year-old historical objects to dynamic contemporary artworks.</w:t>
      </w:r>
    </w:p>
    <w:p w14:paraId="4E5C1A22" w14:textId="77777777" w:rsidR="009103CC" w:rsidRPr="001814D2" w:rsidRDefault="009103CC" w:rsidP="009103CC">
      <w:pPr>
        <w:pStyle w:val="ARlistparagraph"/>
      </w:pPr>
      <w:r w:rsidRPr="001814D2">
        <w:t xml:space="preserve">Highlights of the Art Gallery’s respected touring exhibition program included the Archibald Prize 2019 and 2020; </w:t>
      </w:r>
      <w:r w:rsidRPr="001814D2">
        <w:rPr>
          <w:i/>
          <w:iCs/>
        </w:rPr>
        <w:t xml:space="preserve">Mervyn Bishop, </w:t>
      </w:r>
      <w:r w:rsidRPr="001814D2">
        <w:t xml:space="preserve">celebrating the six-decade career of the Aboriginal photographer; and </w:t>
      </w:r>
      <w:r w:rsidRPr="001814D2">
        <w:rPr>
          <w:i/>
          <w:iCs/>
        </w:rPr>
        <w:t xml:space="preserve">Fieldwork, </w:t>
      </w:r>
      <w:r w:rsidRPr="001814D2">
        <w:t>which</w:t>
      </w:r>
      <w:r w:rsidRPr="001814D2">
        <w:rPr>
          <w:i/>
          <w:iCs/>
        </w:rPr>
        <w:t xml:space="preserve"> </w:t>
      </w:r>
      <w:r w:rsidRPr="001814D2">
        <w:t xml:space="preserve">surveyed outdoor landscape painting west of Sydney between the late-nineteenth and mid-twentieth centuries. Specifically designed to tour to select venues within Greater Western Sydney and regional NSW, </w:t>
      </w:r>
      <w:r w:rsidRPr="001814D2">
        <w:rPr>
          <w:i/>
          <w:iCs/>
        </w:rPr>
        <w:t>Fieldwork</w:t>
      </w:r>
      <w:r w:rsidRPr="001814D2">
        <w:t xml:space="preserve"> celebrated the relationship between the icons of Australian art from the Art Gallery’s collection and the people and places of the region.</w:t>
      </w:r>
    </w:p>
    <w:p w14:paraId="3E6370B4" w14:textId="77777777" w:rsidR="009103CC" w:rsidRPr="001814D2" w:rsidRDefault="009103CC" w:rsidP="009103CC">
      <w:pPr>
        <w:pStyle w:val="ARlistparagraph"/>
      </w:pPr>
      <w:r w:rsidRPr="001814D2">
        <w:t xml:space="preserve">To mark the reopening after a ten-week temporary closure in 2020, and acknowledge the challenges and achievements of the year, the Art Gallery staged </w:t>
      </w:r>
      <w:r w:rsidRPr="001814D2">
        <w:rPr>
          <w:i/>
          <w:iCs/>
        </w:rPr>
        <w:t>Archie Plus</w:t>
      </w:r>
      <w:r w:rsidRPr="001814D2">
        <w:t xml:space="preserve">, an ambitious, institution-wide celebration of people, portraiture and the power of community. Coinciding with the opening of </w:t>
      </w:r>
      <w:r w:rsidRPr="001814D2">
        <w:rPr>
          <w:i/>
          <w:iCs/>
        </w:rPr>
        <w:t>Archibald, Wynne and Sulman Prizes 2020</w:t>
      </w:r>
      <w:r w:rsidRPr="001814D2">
        <w:t xml:space="preserve">, </w:t>
      </w:r>
      <w:r w:rsidRPr="001814D2">
        <w:rPr>
          <w:i/>
          <w:iCs/>
        </w:rPr>
        <w:t>Archie Plus</w:t>
      </w:r>
      <w:r w:rsidRPr="001814D2">
        <w:t xml:space="preserve"> extended the cross-departmental energy and dynamism of the Together In Art online project into the Art Gallery’s physical spaces, with ‘pocket exhibitions’, performances, a night-time light projection, new work projects, timely and topical collection displays, and fresh interpretation located throughout the Art Gallery’s entry floor. </w:t>
      </w:r>
    </w:p>
    <w:p w14:paraId="07E787E1" w14:textId="77777777" w:rsidR="009103CC" w:rsidRPr="001814D2" w:rsidRDefault="009103CC" w:rsidP="009103CC">
      <w:pPr>
        <w:pStyle w:val="ARlistparagraph"/>
      </w:pPr>
      <w:r w:rsidRPr="001814D2">
        <w:t xml:space="preserve">Highlights of the </w:t>
      </w:r>
      <w:r w:rsidRPr="001814D2">
        <w:rPr>
          <w:i/>
          <w:iCs/>
        </w:rPr>
        <w:t>Archie Plus</w:t>
      </w:r>
      <w:r w:rsidRPr="001814D2">
        <w:t xml:space="preserve"> project included Ramesh Mario Nithiyendran’s Avatar Towers, an exuberant installation of ceramic sculptures, which welcomed visitors back to the Art Gallery; </w:t>
      </w:r>
      <w:r w:rsidRPr="001814D2">
        <w:rPr>
          <w:i/>
          <w:iCs/>
        </w:rPr>
        <w:t>Gold frames, gold chains</w:t>
      </w:r>
      <w:r w:rsidRPr="001814D2">
        <w:t xml:space="preserve">, a spoken-word video installation created by L-FRESH The Lion and Nardean; and new photographic works by Angela Tiatia, William Yang, Amanda Williams and Cherine Fahd. The </w:t>
      </w:r>
      <w:r w:rsidRPr="001814D2">
        <w:rPr>
          <w:i/>
          <w:iCs/>
        </w:rPr>
        <w:t>Sentient portraits</w:t>
      </w:r>
      <w:r w:rsidRPr="001814D2">
        <w:t xml:space="preserve"> audio recordings and </w:t>
      </w:r>
      <w:r w:rsidRPr="001814D2">
        <w:rPr>
          <w:i/>
          <w:iCs/>
        </w:rPr>
        <w:t>Perspectives on portraits</w:t>
      </w:r>
      <w:r w:rsidRPr="001814D2">
        <w:t xml:space="preserve"> alternative labels offered new approaches to interpretation, using collection works as springboards for reflection during the COVID-19 temporary closure in 2020.</w:t>
      </w:r>
    </w:p>
    <w:p w14:paraId="58547816" w14:textId="77777777" w:rsidR="009103CC" w:rsidRPr="001814D2" w:rsidRDefault="009103CC" w:rsidP="009103CC">
      <w:pPr>
        <w:pStyle w:val="ARlistparagraph"/>
      </w:pPr>
      <w:r w:rsidRPr="001814D2">
        <w:t xml:space="preserve">At the heart of </w:t>
      </w:r>
      <w:r w:rsidRPr="001814D2">
        <w:rPr>
          <w:i/>
          <w:iCs/>
        </w:rPr>
        <w:t>Archie Plus</w:t>
      </w:r>
      <w:r w:rsidRPr="001814D2">
        <w:t xml:space="preserve"> was </w:t>
      </w:r>
      <w:r w:rsidRPr="001814D2">
        <w:rPr>
          <w:i/>
          <w:iCs/>
        </w:rPr>
        <w:t>Love owls and mermaids singing in the rainbow pop</w:t>
      </w:r>
      <w:r w:rsidRPr="001814D2">
        <w:t xml:space="preserve">, an immense mural created live in the Art Gallery entrance court by Mathew Calandra, Emily </w:t>
      </w:r>
      <w:r w:rsidRPr="001814D2">
        <w:lastRenderedPageBreak/>
        <w:t>Crockford, Annette Galstaun, Lauren Kerjan, Jaycee Kim, Catherine McGuiness and Meagan Pelham of Studio A – a project that captured the imagination of returning visitors and garnered significant media attention.</w:t>
      </w:r>
    </w:p>
    <w:p w14:paraId="3B8FCA6B" w14:textId="77777777" w:rsidR="009103CC" w:rsidRPr="001814D2" w:rsidRDefault="009103CC" w:rsidP="009103CC">
      <w:pPr>
        <w:pStyle w:val="ARlistparagraph"/>
      </w:pPr>
      <w:r w:rsidRPr="001814D2">
        <w:t xml:space="preserve">Following its establishment in 2019–20, the Neville Holmes Grace Endowment supported major exhibitions including </w:t>
      </w:r>
      <w:r w:rsidRPr="001814D2">
        <w:rPr>
          <w:i/>
          <w:iCs/>
        </w:rPr>
        <w:t>Streeton</w:t>
      </w:r>
      <w:r w:rsidRPr="001814D2">
        <w:t xml:space="preserve"> and </w:t>
      </w:r>
      <w:r w:rsidRPr="001814D2">
        <w:rPr>
          <w:i/>
          <w:iCs/>
        </w:rPr>
        <w:t>Hilma af Klint: The Secret Paintings</w:t>
      </w:r>
      <w:r w:rsidRPr="001814D2">
        <w:t>.</w:t>
      </w:r>
    </w:p>
    <w:p w14:paraId="16555054" w14:textId="77777777" w:rsidR="009103CC" w:rsidRPr="001814D2" w:rsidRDefault="009103CC" w:rsidP="009103CC">
      <w:pPr>
        <w:pStyle w:val="ARlistparagraph"/>
      </w:pPr>
      <w:r w:rsidRPr="001814D2">
        <w:t>The Art Gallery was shortlisted for the 2021 National Trust Heritage Awards, an annual celebration of outstanding practice in the field of heritage, for conservation work on the four bronze panels (bas reliefs) on the building’s facade.</w:t>
      </w:r>
    </w:p>
    <w:p w14:paraId="61F757BE" w14:textId="77777777" w:rsidR="009103CC" w:rsidRPr="001814D2" w:rsidRDefault="009103CC" w:rsidP="009103CC">
      <w:pPr>
        <w:pStyle w:val="ARlistparagraph"/>
      </w:pPr>
      <w:r w:rsidRPr="001814D2">
        <w:t>A new position of music and community curator was created, reflecting a growing incorporation of performative, recorded and compositional music programs into the Art Gallery’s exhibitions, digital channels and late-night activations. The music and community curator works with artists, musicians and communities to create new programs with cultural specificity and connection at their core, as well as coordinating the newly formed Community Advisory Group, which will provide valuable input as the Art Gallery moves towards the opening of the Sydney Modern Project.</w:t>
      </w:r>
    </w:p>
    <w:p w14:paraId="68EDFAD3" w14:textId="77777777" w:rsidR="009103CC" w:rsidRPr="001814D2" w:rsidRDefault="009103CC" w:rsidP="009103CC">
      <w:pPr>
        <w:pStyle w:val="ARlistparagraph"/>
      </w:pPr>
      <w:r w:rsidRPr="001814D2">
        <w:t>Strategic planning for the ongoing digitisation of the Art Gallery’s collection continued. This is a key component of the digital transformation project that includes the development of digital preservation systems and a commitment to increased digital access to the collection and National Art Archive.</w:t>
      </w:r>
    </w:p>
    <w:p w14:paraId="0CBC5296" w14:textId="77777777" w:rsidR="009103CC" w:rsidRPr="001814D2" w:rsidRDefault="009103CC" w:rsidP="009103CC">
      <w:pPr>
        <w:pStyle w:val="ARheading3"/>
      </w:pPr>
      <w:r w:rsidRPr="001814D2">
        <w:t>Art collection</w:t>
      </w:r>
    </w:p>
    <w:p w14:paraId="2FB9077B" w14:textId="77777777" w:rsidR="009103CC" w:rsidRPr="001814D2" w:rsidRDefault="009103CC" w:rsidP="009103CC">
      <w:pPr>
        <w:pStyle w:val="ARbody"/>
      </w:pPr>
      <w:r w:rsidRPr="001814D2">
        <w:t xml:space="preserve">Broadly divided into Australian and international art, the Art Gallery collection now stands at 35,793 objects. With a value of $1,790,895,431, the collection is the Art Gallery’s greatest asset, as well as being a significant cultural asset of the state of NSW and the country. </w:t>
      </w:r>
    </w:p>
    <w:p w14:paraId="6860BBFE" w14:textId="77777777" w:rsidR="009103CC" w:rsidRPr="001814D2" w:rsidRDefault="009103CC" w:rsidP="009103CC">
      <w:pPr>
        <w:pStyle w:val="ARbody"/>
      </w:pPr>
      <w:r w:rsidRPr="001814D2">
        <w:t xml:space="preserve">Over this financial year, the Art Gallery acquired 323 artworks from forty-six Australian artists, including twenty-one Aboriginal and Torres Strait Islander artists, and fifty-two international artists. Of these, 180 artworks (valued at $3,268,684) were purchased, of which 160 were by Australian artists including twenty-three by Aboriginal and Torres Strait Islander artists, and 143 artworks (valued at $9,403,535) were gifted, adding a total value of $12,672,219 to the collection. </w:t>
      </w:r>
    </w:p>
    <w:p w14:paraId="6218F5F5" w14:textId="77777777" w:rsidR="009103CC" w:rsidRPr="001814D2" w:rsidRDefault="009103CC" w:rsidP="009103CC">
      <w:pPr>
        <w:pStyle w:val="ARheading4"/>
      </w:pPr>
      <w:r w:rsidRPr="001814D2">
        <w:t>Acquisition highlights</w:t>
      </w:r>
    </w:p>
    <w:p w14:paraId="72A0AD6A" w14:textId="77777777" w:rsidR="009103CC" w:rsidRPr="001814D2" w:rsidRDefault="009103CC" w:rsidP="009103CC">
      <w:pPr>
        <w:pStyle w:val="Listitemasbody"/>
      </w:pPr>
      <w:r w:rsidRPr="001814D2">
        <w:t xml:space="preserve">Igshaan Adams (South Africa b1982) 11B </w:t>
      </w:r>
      <w:r w:rsidRPr="001814D2">
        <w:rPr>
          <w:i/>
          <w:iCs/>
        </w:rPr>
        <w:t>Larch weg (i)</w:t>
      </w:r>
      <w:r w:rsidRPr="001814D2">
        <w:t xml:space="preserve"> 2019, nylon rope, cotton twine, sea shells, stones, glass, wood, plastic beads, and fabric, purchased with funds provided by the Patricia Lucille Bernard Bequest 2021</w:t>
      </w:r>
    </w:p>
    <w:p w14:paraId="1929AD8D" w14:textId="77777777" w:rsidR="009103CC" w:rsidRPr="001814D2" w:rsidRDefault="009103CC" w:rsidP="009103CC">
      <w:pPr>
        <w:pStyle w:val="Listitemasbody"/>
      </w:pPr>
      <w:r w:rsidRPr="001814D2">
        <w:lastRenderedPageBreak/>
        <w:t xml:space="preserve">Khadim Ali (Pakistan/Australia b1978) </w:t>
      </w:r>
      <w:r w:rsidRPr="001814D2">
        <w:rPr>
          <w:i/>
          <w:iCs/>
        </w:rPr>
        <w:t xml:space="preserve">Untitled </w:t>
      </w:r>
      <w:r w:rsidRPr="001814D2">
        <w:t>from the</w:t>
      </w:r>
      <w:r w:rsidRPr="001814D2">
        <w:rPr>
          <w:i/>
          <w:iCs/>
        </w:rPr>
        <w:t xml:space="preserve"> </w:t>
      </w:r>
      <w:r w:rsidRPr="001814D2">
        <w:t>series</w:t>
      </w:r>
      <w:r w:rsidRPr="001814D2">
        <w:rPr>
          <w:i/>
          <w:iCs/>
        </w:rPr>
        <w:t xml:space="preserve"> Flowers of evil </w:t>
      </w:r>
      <w:r w:rsidRPr="001814D2">
        <w:t>2019, acrylic paint, hand and machine embroidery stitched on fabric and dye, purchased with funds provided by the Contemporary Collection Benefactors 2020</w:t>
      </w:r>
    </w:p>
    <w:p w14:paraId="6EF3BF61" w14:textId="77777777" w:rsidR="009103CC" w:rsidRPr="001814D2" w:rsidRDefault="009103CC" w:rsidP="009103CC">
      <w:pPr>
        <w:pStyle w:val="Listitemasbody"/>
      </w:pPr>
      <w:r w:rsidRPr="001814D2">
        <w:t xml:space="preserve">Atong Atem (Ethiopia/Australia b1994), three photographs from the series </w:t>
      </w:r>
      <w:r w:rsidRPr="001814D2">
        <w:rPr>
          <w:i/>
          <w:iCs/>
        </w:rPr>
        <w:t xml:space="preserve">To be real </w:t>
      </w:r>
      <w:r w:rsidRPr="001814D2">
        <w:t xml:space="preserve">2020: </w:t>
      </w:r>
      <w:r w:rsidRPr="001814D2">
        <w:rPr>
          <w:i/>
          <w:iCs/>
        </w:rPr>
        <w:t xml:space="preserve">Dijok </w:t>
      </w:r>
      <w:r w:rsidRPr="001814D2">
        <w:t xml:space="preserve">2020, Ilford smooth pearl print; </w:t>
      </w:r>
      <w:r w:rsidRPr="001814D2">
        <w:rPr>
          <w:i/>
          <w:iCs/>
        </w:rPr>
        <w:t xml:space="preserve">Saba and Gabby </w:t>
      </w:r>
      <w:r w:rsidRPr="001814D2">
        <w:t xml:space="preserve">2020, Ilford smooth pearl print; </w:t>
      </w:r>
      <w:r w:rsidRPr="001814D2">
        <w:rPr>
          <w:i/>
          <w:iCs/>
        </w:rPr>
        <w:t xml:space="preserve">Sahara </w:t>
      </w:r>
      <w:r w:rsidRPr="001814D2">
        <w:t>2020, Illford smooth pearl print, purchased with funds provided by the Photography Collection Benefactors 2021</w:t>
      </w:r>
    </w:p>
    <w:p w14:paraId="1801DF2E" w14:textId="77777777" w:rsidR="009103CC" w:rsidRPr="001814D2" w:rsidRDefault="009103CC" w:rsidP="009103CC">
      <w:pPr>
        <w:pStyle w:val="Listitemasbody"/>
      </w:pPr>
      <w:r w:rsidRPr="001814D2">
        <w:t xml:space="preserve">Yosl Bergner (Austria/Australia/Israel 1920–2017) </w:t>
      </w:r>
      <w:r w:rsidRPr="001814D2">
        <w:rPr>
          <w:i/>
          <w:iCs/>
        </w:rPr>
        <w:t xml:space="preserve">Self-portrait </w:t>
      </w:r>
      <w:r w:rsidRPr="001814D2">
        <w:t>1939, oil on canvas on composition board, acquired with the support of the Art Gallery Society of NSW through the Dagmar Halas Bequest 2020</w:t>
      </w:r>
    </w:p>
    <w:p w14:paraId="1ADBB3C4" w14:textId="77777777" w:rsidR="009103CC" w:rsidRPr="001814D2" w:rsidRDefault="009103CC" w:rsidP="009103CC">
      <w:pPr>
        <w:pStyle w:val="Listitemasbody"/>
      </w:pPr>
      <w:r w:rsidRPr="001814D2">
        <w:t xml:space="preserve">Koo Bohnchang (Korea b1953), twelve prints from the series </w:t>
      </w:r>
      <w:r w:rsidRPr="001814D2">
        <w:rPr>
          <w:i/>
          <w:iCs/>
        </w:rPr>
        <w:t xml:space="preserve">Moonrising III </w:t>
      </w:r>
      <w:r w:rsidRPr="001814D2">
        <w:t xml:space="preserve">2004–06: </w:t>
      </w:r>
      <w:r w:rsidRPr="001814D2">
        <w:rPr>
          <w:i/>
          <w:iCs/>
        </w:rPr>
        <w:t xml:space="preserve">MG 13 BW </w:t>
      </w:r>
      <w:r w:rsidRPr="001814D2">
        <w:t xml:space="preserve">2005, archival pigment print; </w:t>
      </w:r>
      <w:r w:rsidRPr="001814D2">
        <w:rPr>
          <w:i/>
          <w:iCs/>
        </w:rPr>
        <w:t xml:space="preserve">KRO 05 BW </w:t>
      </w:r>
      <w:r w:rsidRPr="001814D2">
        <w:t xml:space="preserve">2004, archival pigment print; </w:t>
      </w:r>
      <w:r w:rsidRPr="001814D2">
        <w:rPr>
          <w:i/>
          <w:iCs/>
        </w:rPr>
        <w:t xml:space="preserve">AM 10 BW </w:t>
      </w:r>
      <w:r w:rsidRPr="001814D2">
        <w:t xml:space="preserve">2006, archival pigment print; </w:t>
      </w:r>
      <w:r w:rsidRPr="001814D2">
        <w:rPr>
          <w:i/>
          <w:iCs/>
        </w:rPr>
        <w:t xml:space="preserve">AM 09 BW </w:t>
      </w:r>
      <w:r w:rsidRPr="001814D2">
        <w:t xml:space="preserve">2006, archival pigment print; </w:t>
      </w:r>
      <w:r w:rsidRPr="001814D2">
        <w:rPr>
          <w:i/>
          <w:iCs/>
        </w:rPr>
        <w:t xml:space="preserve">BM 04 BW </w:t>
      </w:r>
      <w:r w:rsidRPr="001814D2">
        <w:t xml:space="preserve">2006, archival pigment print; </w:t>
      </w:r>
      <w:r w:rsidRPr="001814D2">
        <w:rPr>
          <w:i/>
          <w:iCs/>
        </w:rPr>
        <w:t xml:space="preserve">HR 09 BW </w:t>
      </w:r>
      <w:r w:rsidRPr="001814D2">
        <w:t xml:space="preserve">2006, archival pigment print; </w:t>
      </w:r>
      <w:r w:rsidRPr="001814D2">
        <w:rPr>
          <w:i/>
          <w:iCs/>
        </w:rPr>
        <w:t xml:space="preserve">NM 01 BW </w:t>
      </w:r>
      <w:r w:rsidRPr="001814D2">
        <w:t xml:space="preserve">2006, archival pigment print; </w:t>
      </w:r>
      <w:r w:rsidRPr="001814D2">
        <w:rPr>
          <w:i/>
          <w:iCs/>
        </w:rPr>
        <w:t xml:space="preserve">MG 08 BW </w:t>
      </w:r>
      <w:r w:rsidRPr="001814D2">
        <w:t xml:space="preserve">2005, archival pigment print; </w:t>
      </w:r>
      <w:r w:rsidRPr="001814D2">
        <w:rPr>
          <w:i/>
          <w:iCs/>
        </w:rPr>
        <w:t xml:space="preserve">OSK 02 BW </w:t>
      </w:r>
      <w:r w:rsidRPr="001814D2">
        <w:t xml:space="preserve">2005, archival pigment print; </w:t>
      </w:r>
      <w:r w:rsidRPr="001814D2">
        <w:rPr>
          <w:i/>
          <w:iCs/>
        </w:rPr>
        <w:t xml:space="preserve">HA 07 BW </w:t>
      </w:r>
      <w:r w:rsidRPr="001814D2">
        <w:t xml:space="preserve">2005, archival pigment print; </w:t>
      </w:r>
      <w:r w:rsidRPr="001814D2">
        <w:rPr>
          <w:i/>
          <w:iCs/>
        </w:rPr>
        <w:t xml:space="preserve">JM 04 BW </w:t>
      </w:r>
      <w:r w:rsidRPr="001814D2">
        <w:t xml:space="preserve">2006, archival pigment print; </w:t>
      </w:r>
      <w:r w:rsidRPr="001814D2">
        <w:rPr>
          <w:i/>
          <w:iCs/>
        </w:rPr>
        <w:t xml:space="preserve">JM 05 BW from </w:t>
      </w:r>
      <w:r w:rsidRPr="001814D2">
        <w:t>2006, archival pigment print, gift of the Joy and Harold Marchant Foundation 2020</w:t>
      </w:r>
    </w:p>
    <w:p w14:paraId="798C27B0" w14:textId="77777777" w:rsidR="009103CC" w:rsidRPr="001814D2" w:rsidRDefault="009103CC" w:rsidP="009103CC">
      <w:pPr>
        <w:pStyle w:val="Listitemasbody"/>
      </w:pPr>
      <w:r w:rsidRPr="001814D2">
        <w:t xml:space="preserve">Company school (India late 1700s – late 1800s) </w:t>
      </w:r>
      <w:r w:rsidRPr="001814D2">
        <w:rPr>
          <w:i/>
          <w:iCs/>
        </w:rPr>
        <w:t xml:space="preserve">A woman and two attendants </w:t>
      </w:r>
      <w:r w:rsidRPr="001814D2">
        <w:t xml:space="preserve">from </w:t>
      </w:r>
      <w:r w:rsidRPr="001814D2">
        <w:rPr>
          <w:i/>
          <w:iCs/>
        </w:rPr>
        <w:t xml:space="preserve">Fraser Album </w:t>
      </w:r>
      <w:r w:rsidRPr="001814D2">
        <w:t>c1820, watercolour on paper, gift of Dr Jim Masselos 2021, donated through the Australian Government’s Cultural Gifts Program</w:t>
      </w:r>
    </w:p>
    <w:p w14:paraId="10DB81B4" w14:textId="77777777" w:rsidR="009103CC" w:rsidRPr="001814D2" w:rsidRDefault="009103CC" w:rsidP="009103CC">
      <w:pPr>
        <w:pStyle w:val="Listitemasbody"/>
      </w:pPr>
      <w:r w:rsidRPr="001814D2">
        <w:t xml:space="preserve">Jose Dávila (Mexico b1974) </w:t>
      </w:r>
      <w:r w:rsidRPr="001814D2">
        <w:rPr>
          <w:i/>
          <w:iCs/>
        </w:rPr>
        <w:t xml:space="preserve">The act of perseverance </w:t>
      </w:r>
      <w:r w:rsidRPr="001814D2">
        <w:t>2020, site-specific mixed media installation with found materials from Cockatoo Island, Sydney, gift of the artist with additional support from the Sydney Harbour Federation Trust and the Biennale of Sydney 2020</w:t>
      </w:r>
    </w:p>
    <w:p w14:paraId="500B861F" w14:textId="77777777" w:rsidR="009103CC" w:rsidRPr="001814D2" w:rsidRDefault="009103CC" w:rsidP="009103CC">
      <w:pPr>
        <w:pStyle w:val="Listitemasbody"/>
      </w:pPr>
      <w:r w:rsidRPr="001814D2">
        <w:t xml:space="preserve">attrib. Devidasa (India) </w:t>
      </w:r>
      <w:r w:rsidRPr="001814D2">
        <w:rPr>
          <w:i/>
          <w:iCs/>
        </w:rPr>
        <w:t xml:space="preserve">Narasimha killing Hiranyakasipu </w:t>
      </w:r>
      <w:r w:rsidRPr="001814D2">
        <w:t>c1690–1700, opaque pigments and gold on paper, purchased with funds provided by the Peter and Pam Binnie Bequest 2020</w:t>
      </w:r>
    </w:p>
    <w:p w14:paraId="652521C9" w14:textId="77777777" w:rsidR="009103CC" w:rsidRPr="001814D2" w:rsidRDefault="009103CC" w:rsidP="009103CC">
      <w:pPr>
        <w:pStyle w:val="Listitemasbody"/>
      </w:pPr>
      <w:r w:rsidRPr="001814D2">
        <w:t xml:space="preserve">Préfète Duffaut (Haiti 1923–2012) </w:t>
      </w:r>
      <w:r w:rsidRPr="001814D2">
        <w:rPr>
          <w:i/>
          <w:iCs/>
        </w:rPr>
        <w:t>Untitled  9981</w:t>
      </w:r>
      <w:r w:rsidRPr="001814D2">
        <w:t xml:space="preserve"> 1999, oil on canvas, acquisition funded by the 2019 Foundation tour to France</w:t>
      </w:r>
    </w:p>
    <w:p w14:paraId="5C8E03A5" w14:textId="77777777" w:rsidR="009103CC" w:rsidRPr="001814D2" w:rsidRDefault="009103CC" w:rsidP="009103CC">
      <w:pPr>
        <w:pStyle w:val="Listitemasbody"/>
      </w:pPr>
      <w:r w:rsidRPr="001814D2">
        <w:t xml:space="preserve">Ian Fairweather (Scotland/Australia 1891–1974) </w:t>
      </w:r>
      <w:r w:rsidRPr="001814D2">
        <w:rPr>
          <w:i/>
          <w:iCs/>
        </w:rPr>
        <w:t xml:space="preserve">Composition with figures </w:t>
      </w:r>
      <w:r w:rsidRPr="001814D2">
        <w:t>1969, synthetic polymer paint and gouache on cardboard on hardboard, acquisition funded by Antoinette Albert and family 2020</w:t>
      </w:r>
    </w:p>
    <w:p w14:paraId="4F2EB2CC" w14:textId="77777777" w:rsidR="009103CC" w:rsidRPr="001814D2" w:rsidRDefault="009103CC" w:rsidP="009103CC">
      <w:pPr>
        <w:pStyle w:val="Listitemasbody"/>
      </w:pPr>
      <w:r w:rsidRPr="001814D2">
        <w:t xml:space="preserve">Judith Inkamala (Australia b1948) </w:t>
      </w:r>
      <w:r w:rsidRPr="001814D2">
        <w:rPr>
          <w:i/>
          <w:iCs/>
        </w:rPr>
        <w:t xml:space="preserve">Ura Kngarra Mpintjama (A Big Fire is Coming) </w:t>
      </w:r>
      <w:r w:rsidRPr="001814D2">
        <w:t xml:space="preserve">2020, terracotta and underglazes, purchased with funds provided by the Mollie Douglas Bequest </w:t>
      </w:r>
      <w:r w:rsidRPr="001814D2">
        <w:lastRenderedPageBreak/>
        <w:t>2020</w:t>
      </w:r>
    </w:p>
    <w:p w14:paraId="4D8E1E7D" w14:textId="77777777" w:rsidR="009103CC" w:rsidRPr="001814D2" w:rsidRDefault="009103CC" w:rsidP="009103CC">
      <w:pPr>
        <w:pStyle w:val="Listitemasbody"/>
      </w:pPr>
      <w:r w:rsidRPr="001814D2">
        <w:t xml:space="preserve">Li Jin (China b1958) </w:t>
      </w:r>
      <w:r w:rsidRPr="001814D2">
        <w:rPr>
          <w:i/>
          <w:iCs/>
        </w:rPr>
        <w:t xml:space="preserve">Banquet for the times </w:t>
      </w:r>
      <w:r w:rsidRPr="001814D2">
        <w:t>2020, ink and colour on Xuan paper, gift of the Joy and Harold Marchant Foundation 2020</w:t>
      </w:r>
    </w:p>
    <w:p w14:paraId="60348E34" w14:textId="77777777" w:rsidR="009103CC" w:rsidRPr="001814D2" w:rsidRDefault="009103CC" w:rsidP="009103CC">
      <w:pPr>
        <w:pStyle w:val="Listitemasbody"/>
      </w:pPr>
      <w:r w:rsidRPr="001814D2">
        <w:t>Lindy Lee (Australia b1954), ten photographs from the series</w:t>
      </w:r>
      <w:r w:rsidRPr="001814D2">
        <w:rPr>
          <w:i/>
          <w:iCs/>
        </w:rPr>
        <w:t xml:space="preserve"> True Ch’ien </w:t>
      </w:r>
      <w:r w:rsidRPr="001814D2">
        <w:t xml:space="preserve">2018: </w:t>
      </w:r>
      <w:r w:rsidRPr="001814D2">
        <w:rPr>
          <w:i/>
          <w:iCs/>
        </w:rPr>
        <w:t xml:space="preserve">True Ch’ien: small hearts find each other #1 </w:t>
      </w:r>
      <w:r w:rsidRPr="001814D2">
        <w:t>2018, Chinese ink, fire and giclée print, purchased with funds provided by the Contemporary Collection Benefactors 2021</w:t>
      </w:r>
    </w:p>
    <w:p w14:paraId="5B405733" w14:textId="77777777" w:rsidR="009103CC" w:rsidRPr="001814D2" w:rsidRDefault="009103CC" w:rsidP="009103CC">
      <w:pPr>
        <w:pStyle w:val="Listitemasbody"/>
      </w:pPr>
      <w:r w:rsidRPr="001814D2">
        <w:t xml:space="preserve">Gail Mabo (Australia b1965) </w:t>
      </w:r>
      <w:r w:rsidRPr="001814D2">
        <w:rPr>
          <w:i/>
          <w:iCs/>
        </w:rPr>
        <w:t xml:space="preserve">Tagai </w:t>
      </w:r>
      <w:r w:rsidRPr="001814D2">
        <w:t>2020, bamboo, cotton, shellac and plastic, purchased with funds provided by Vicki Olsson 2020</w:t>
      </w:r>
    </w:p>
    <w:p w14:paraId="4E5E3876" w14:textId="77777777" w:rsidR="009103CC" w:rsidRPr="001814D2" w:rsidRDefault="009103CC" w:rsidP="009103CC">
      <w:pPr>
        <w:pStyle w:val="Listitemasbody"/>
      </w:pPr>
      <w:r w:rsidRPr="001814D2">
        <w:t xml:space="preserve">Tempe Manning (Australia 1896–1960) </w:t>
      </w:r>
      <w:r w:rsidRPr="001814D2">
        <w:rPr>
          <w:i/>
          <w:iCs/>
        </w:rPr>
        <w:t xml:space="preserve">Self-portrait </w:t>
      </w:r>
      <w:r w:rsidRPr="001814D2">
        <w:t>1939, oil on canvas, acquired with the support of the Art Gallery Society of NSW through the Dagmar Halas Bequest 2021</w:t>
      </w:r>
    </w:p>
    <w:p w14:paraId="0FA8E727" w14:textId="77777777" w:rsidR="009103CC" w:rsidRPr="001814D2" w:rsidRDefault="009103CC" w:rsidP="009103CC">
      <w:pPr>
        <w:pStyle w:val="Listitemasbody"/>
      </w:pPr>
      <w:r w:rsidRPr="001814D2">
        <w:t xml:space="preserve">Conrad Martens (England/Australia 1801–78) </w:t>
      </w:r>
      <w:r w:rsidRPr="001814D2">
        <w:rPr>
          <w:i/>
          <w:iCs/>
        </w:rPr>
        <w:t xml:space="preserve">View of Sydney Cove </w:t>
      </w:r>
      <w:r w:rsidRPr="001814D2">
        <w:t>1848, oil on canvas, gift of ANZ recognising the significant contribution David Gonski AC made to the bank as Chairman between 2014–20</w:t>
      </w:r>
    </w:p>
    <w:p w14:paraId="5DB8864D" w14:textId="77777777" w:rsidR="009103CC" w:rsidRPr="001814D2" w:rsidRDefault="009103CC" w:rsidP="009103CC">
      <w:pPr>
        <w:pStyle w:val="Listitemasbody"/>
      </w:pPr>
      <w:r w:rsidRPr="001814D2">
        <w:t xml:space="preserve">John Muafangejo (Angola/Namibia 1943–87) </w:t>
      </w:r>
      <w:r w:rsidRPr="001814D2">
        <w:rPr>
          <w:i/>
          <w:iCs/>
        </w:rPr>
        <w:t xml:space="preserve">Zulu Land </w:t>
      </w:r>
      <w:r w:rsidRPr="001814D2">
        <w:t>1974, linocut on paper, purchased 2021</w:t>
      </w:r>
    </w:p>
    <w:p w14:paraId="0B052E96" w14:textId="77777777" w:rsidR="009103CC" w:rsidRPr="001814D2" w:rsidRDefault="009103CC" w:rsidP="009103CC">
      <w:pPr>
        <w:pStyle w:val="Listitemasbody"/>
      </w:pPr>
      <w:r w:rsidRPr="001814D2">
        <w:t xml:space="preserve">Guykuḏa Munuŋgurr (Australia b1966) </w:t>
      </w:r>
      <w:r w:rsidRPr="001814D2">
        <w:rPr>
          <w:i/>
          <w:iCs/>
        </w:rPr>
        <w:t xml:space="preserve">Merman </w:t>
      </w:r>
      <w:r w:rsidRPr="001814D2">
        <w:t>2016, natural pigments, shells, shark vertebra and kurrajong bark on wood, purchased with funds provided by the Aboriginal Art Collection Benefactors 2020</w:t>
      </w:r>
    </w:p>
    <w:p w14:paraId="60D8F892" w14:textId="77777777" w:rsidR="009103CC" w:rsidRPr="001814D2" w:rsidRDefault="009103CC" w:rsidP="009103CC">
      <w:pPr>
        <w:pStyle w:val="Listitemasbody"/>
      </w:pPr>
      <w:r w:rsidRPr="001814D2">
        <w:t xml:space="preserve">Vincent Namatjira (Australia b1983) </w:t>
      </w:r>
      <w:r w:rsidRPr="001814D2">
        <w:rPr>
          <w:i/>
          <w:iCs/>
        </w:rPr>
        <w:t xml:space="preserve">Stand strong for who you are </w:t>
      </w:r>
      <w:r w:rsidRPr="001814D2">
        <w:t>2020, acrylic on linen, Mollie Gowing Acquisition Fund for Contemporary Aboriginal Art 2020</w:t>
      </w:r>
    </w:p>
    <w:p w14:paraId="7EC4EF33" w14:textId="77777777" w:rsidR="009103CC" w:rsidRPr="001814D2" w:rsidRDefault="009103CC" w:rsidP="009103CC">
      <w:pPr>
        <w:pStyle w:val="Listitemasbody"/>
      </w:pPr>
      <w:r w:rsidRPr="001814D2">
        <w:t>Ramesh Mario Nithiyendran (Sri Lanka/Australia b1988), sixty-eight sculptures from the installation</w:t>
      </w:r>
      <w:r w:rsidRPr="001814D2">
        <w:rPr>
          <w:i/>
          <w:iCs/>
        </w:rPr>
        <w:t xml:space="preserve"> Avatar Towers </w:t>
      </w:r>
      <w:r w:rsidRPr="001814D2">
        <w:t>2020, purchased with funds provided by the Mollie Douglas Bequest with the support of Bella and Tim Church 2021</w:t>
      </w:r>
    </w:p>
    <w:p w14:paraId="64196286" w14:textId="77777777" w:rsidR="009103CC" w:rsidRPr="001814D2" w:rsidRDefault="009103CC" w:rsidP="009103CC">
      <w:pPr>
        <w:pStyle w:val="Listitemasbody"/>
      </w:pPr>
      <w:r w:rsidRPr="001814D2">
        <w:t xml:space="preserve">Thea Anamara Perkins (Australia b1992) </w:t>
      </w:r>
      <w:r w:rsidRPr="001814D2">
        <w:rPr>
          <w:i/>
          <w:iCs/>
        </w:rPr>
        <w:t xml:space="preserve">Poppy Chicka </w:t>
      </w:r>
      <w:r w:rsidRPr="001814D2">
        <w:t>2020, acrylic on clayboard, purchased with funds provided by the Aboriginal Art Collection Benefactors 2020</w:t>
      </w:r>
    </w:p>
    <w:p w14:paraId="3CE59735" w14:textId="77777777" w:rsidR="009103CC" w:rsidRPr="001814D2" w:rsidRDefault="009103CC" w:rsidP="009103CC">
      <w:pPr>
        <w:pStyle w:val="Listitemasbody"/>
      </w:pPr>
      <w:r w:rsidRPr="001814D2">
        <w:t xml:space="preserve">John Power (Australia 1881–1943) </w:t>
      </w:r>
      <w:r w:rsidRPr="001814D2">
        <w:rPr>
          <w:i/>
          <w:iCs/>
        </w:rPr>
        <w:t xml:space="preserve">Composition </w:t>
      </w:r>
      <w:r w:rsidRPr="001814D2">
        <w:t>c1931, oil on canvas, purchased with funds provided by the Australian Art Collection Benefactors and Patrick White Bequest 2020</w:t>
      </w:r>
    </w:p>
    <w:p w14:paraId="4EE68EA4" w14:textId="77777777" w:rsidR="009103CC" w:rsidRPr="001814D2" w:rsidRDefault="009103CC" w:rsidP="009103CC">
      <w:pPr>
        <w:pStyle w:val="Listitemasbody"/>
      </w:pPr>
      <w:r w:rsidRPr="001814D2">
        <w:t xml:space="preserve">Hilda Rix Nicholas (Australia 1884–1961) </w:t>
      </w:r>
      <w:r w:rsidRPr="001814D2">
        <w:rPr>
          <w:i/>
          <w:iCs/>
        </w:rPr>
        <w:t xml:space="preserve">The Arab sheep market, Tangier </w:t>
      </w:r>
      <w:r w:rsidRPr="001814D2">
        <w:t>1914, oil on canvas on board, purchased with funds provided by the Australian Art Collection Benefactors and Edward Hamilton Stinson Fund 2020</w:t>
      </w:r>
    </w:p>
    <w:p w14:paraId="7DFB00DE" w14:textId="77777777" w:rsidR="009103CC" w:rsidRPr="001814D2" w:rsidRDefault="009103CC" w:rsidP="009103CC">
      <w:pPr>
        <w:pStyle w:val="Listitemasbody"/>
      </w:pPr>
      <w:r w:rsidRPr="001814D2">
        <w:t xml:space="preserve">Sir Peter Paul Rubens (Flanders 1577–1640) </w:t>
      </w:r>
      <w:r w:rsidRPr="001814D2">
        <w:rPr>
          <w:i/>
          <w:iCs/>
        </w:rPr>
        <w:t xml:space="preserve">The Presentation in the Temple </w:t>
      </w:r>
      <w:r w:rsidRPr="001814D2">
        <w:t xml:space="preserve">c1632–33, oil </w:t>
      </w:r>
      <w:r w:rsidRPr="001814D2">
        <w:lastRenderedPageBreak/>
        <w:t>on oak panel, gift of Bridgestar Pty Ltd, an investment company of the late James Fairfax AC 2021, donated through the Australian Government’s Cultural Gifts Program</w:t>
      </w:r>
    </w:p>
    <w:p w14:paraId="215D35F1" w14:textId="77777777" w:rsidR="009103CC" w:rsidRPr="001814D2" w:rsidRDefault="009103CC" w:rsidP="009103CC">
      <w:pPr>
        <w:pStyle w:val="Listitemasbody"/>
      </w:pPr>
      <w:r w:rsidRPr="001814D2">
        <w:t xml:space="preserve">Shireen Taweel (Australia b1990) </w:t>
      </w:r>
      <w:r w:rsidRPr="001814D2">
        <w:rPr>
          <w:i/>
          <w:iCs/>
        </w:rPr>
        <w:t xml:space="preserve">tracing transcendence </w:t>
      </w:r>
      <w:r w:rsidRPr="001814D2">
        <w:t>2018–21, hand-pierced copper, sound installation, purchased with funds provided by the Contemporary Collection Benefactors 2021</w:t>
      </w:r>
    </w:p>
    <w:p w14:paraId="0FEB2A9B" w14:textId="77777777" w:rsidR="009103CC" w:rsidRPr="001814D2" w:rsidRDefault="009103CC" w:rsidP="009103CC">
      <w:pPr>
        <w:pStyle w:val="Listitemasbody"/>
      </w:pPr>
      <w:r w:rsidRPr="001814D2">
        <w:t xml:space="preserve">Ben Galmidle Ward (Australia b1949) </w:t>
      </w:r>
      <w:r w:rsidRPr="001814D2">
        <w:rPr>
          <w:i/>
          <w:iCs/>
        </w:rPr>
        <w:t xml:space="preserve">Ngunulum – Cockatoo Springs </w:t>
      </w:r>
      <w:r w:rsidRPr="001814D2">
        <w:t>2018, natural pigment on canvas, purchased with funds raised from the 2019 Foundation trip to the Kimberley 2020</w:t>
      </w:r>
    </w:p>
    <w:p w14:paraId="4BCE3DCC" w14:textId="77777777" w:rsidR="009103CC" w:rsidRPr="001814D2" w:rsidRDefault="009103CC" w:rsidP="009103CC">
      <w:pPr>
        <w:pStyle w:val="Listitemasbody"/>
      </w:pPr>
      <w:r w:rsidRPr="001814D2">
        <w:t xml:space="preserve">Carrie Mae Weems (United States of America b1953) </w:t>
      </w:r>
      <w:r w:rsidRPr="001814D2">
        <w:rPr>
          <w:i/>
          <w:iCs/>
        </w:rPr>
        <w:t xml:space="preserve">Untitled (playing harmonica) </w:t>
      </w:r>
      <w:r w:rsidRPr="001814D2">
        <w:t>from the series</w:t>
      </w:r>
      <w:r w:rsidRPr="001814D2">
        <w:rPr>
          <w:i/>
          <w:iCs/>
        </w:rPr>
        <w:t xml:space="preserve"> Kitchen table </w:t>
      </w:r>
      <w:r w:rsidRPr="001814D2">
        <w:t>1990–99, gelatin silver photograph, purchased with funds provided by The Russell Mills Foundation 2021</w:t>
      </w:r>
    </w:p>
    <w:p w14:paraId="42258B82" w14:textId="77777777" w:rsidR="009103CC" w:rsidRPr="001814D2" w:rsidRDefault="009103CC" w:rsidP="009103CC">
      <w:pPr>
        <w:pStyle w:val="Listitemasbody"/>
      </w:pPr>
      <w:r w:rsidRPr="001814D2">
        <w:t xml:space="preserve">Kaylene Whiskey (Australia b1976) </w:t>
      </w:r>
      <w:r w:rsidRPr="001814D2">
        <w:rPr>
          <w:i/>
          <w:iCs/>
        </w:rPr>
        <w:t xml:space="preserve">Dolly visits Indulkana </w:t>
      </w:r>
      <w:r w:rsidRPr="001814D2">
        <w:t>2020, acrylic on linen with plastic jewels, purchased with funds provided by the Aboriginal Art Collection Benefactors 2020</w:t>
      </w:r>
    </w:p>
    <w:p w14:paraId="3565D03F" w14:textId="77777777" w:rsidR="009103CC" w:rsidRPr="001814D2" w:rsidRDefault="009103CC" w:rsidP="009103CC">
      <w:pPr>
        <w:pStyle w:val="Listitemasbody"/>
      </w:pPr>
      <w:r w:rsidRPr="001814D2">
        <w:t xml:space="preserve">Wally Wilfred (Australia b1958) </w:t>
      </w:r>
      <w:r w:rsidRPr="001814D2">
        <w:rPr>
          <w:i/>
          <w:iCs/>
        </w:rPr>
        <w:t xml:space="preserve">After the Rescue </w:t>
      </w:r>
      <w:r w:rsidRPr="001814D2">
        <w:t>2020, mixed media, purchased with funds provided by the Aboriginal Art Collection Benefactors 2021</w:t>
      </w:r>
    </w:p>
    <w:p w14:paraId="1DF2C872" w14:textId="77777777" w:rsidR="009103CC" w:rsidRPr="001814D2" w:rsidRDefault="009103CC" w:rsidP="009103CC">
      <w:pPr>
        <w:pStyle w:val="Listitemasbody"/>
      </w:pPr>
      <w:r w:rsidRPr="001814D2">
        <w:t xml:space="preserve">Morimura Yasumasa (Japan b1951) </w:t>
      </w:r>
      <w:r w:rsidRPr="001814D2">
        <w:rPr>
          <w:i/>
          <w:iCs/>
        </w:rPr>
        <w:t xml:space="preserve">Mother (Judith II) </w:t>
      </w:r>
      <w:r w:rsidRPr="001814D2">
        <w:t>1991, colour photograph, gift of Peter Norton 2021</w:t>
      </w:r>
    </w:p>
    <w:p w14:paraId="060082CD" w14:textId="77777777" w:rsidR="009103CC" w:rsidRPr="001814D2" w:rsidRDefault="009103CC" w:rsidP="009103CC">
      <w:pPr>
        <w:pStyle w:val="Listitemasbody"/>
      </w:pPr>
      <w:r w:rsidRPr="001814D2">
        <w:t xml:space="preserve">Tsukioka Yoshitoshi (Japan 1839–92) </w:t>
      </w:r>
      <w:r w:rsidRPr="001814D2">
        <w:rPr>
          <w:i/>
          <w:iCs/>
        </w:rPr>
        <w:t xml:space="preserve">Picture of the country of New Holland South Wales (Shin Oranda Minami Waruresukoku no zu) </w:t>
      </w:r>
      <w:r w:rsidRPr="001814D2">
        <w:t>1866, woodblock print; ink and colour on paper, triptych, Yasuko Myer Bequest 2020</w:t>
      </w:r>
    </w:p>
    <w:p w14:paraId="5CA6AD97" w14:textId="77777777" w:rsidR="009103CC" w:rsidRPr="001814D2" w:rsidRDefault="009103CC" w:rsidP="009103CC">
      <w:pPr>
        <w:pStyle w:val="ARheading4"/>
      </w:pPr>
      <w:r w:rsidRPr="001814D2">
        <w:t xml:space="preserve">Collection purchases </w:t>
      </w:r>
    </w:p>
    <w:p w14:paraId="015E5FC3" w14:textId="77777777" w:rsidR="009103CC" w:rsidRPr="001814D2" w:rsidRDefault="009103CC" w:rsidP="009103CC">
      <w:pPr>
        <w:pStyle w:val="ARheading5"/>
      </w:pPr>
      <w:r w:rsidRPr="001814D2">
        <w:t>Australian art</w:t>
      </w:r>
    </w:p>
    <w:p w14:paraId="1C8C7084" w14:textId="77777777" w:rsidR="009103CC" w:rsidRPr="001814D2" w:rsidRDefault="009103CC" w:rsidP="009103CC">
      <w:pPr>
        <w:pStyle w:val="Listitemasbody"/>
      </w:pPr>
      <w:r w:rsidRPr="001814D2">
        <w:t xml:space="preserve">Hoda Afshar (Iran/Australia b1983), four photographs from the series </w:t>
      </w:r>
      <w:r w:rsidRPr="001814D2">
        <w:rPr>
          <w:i/>
          <w:iCs/>
        </w:rPr>
        <w:t xml:space="preserve">Remain </w:t>
      </w:r>
      <w:r w:rsidRPr="001814D2">
        <w:t xml:space="preserve">2018: </w:t>
      </w:r>
      <w:r w:rsidRPr="001814D2">
        <w:rPr>
          <w:i/>
          <w:iCs/>
        </w:rPr>
        <w:t xml:space="preserve">Ibrahim Mahjid – Manus Island </w:t>
      </w:r>
      <w:r w:rsidRPr="001814D2">
        <w:t xml:space="preserve">2018, inkjet archival print; </w:t>
      </w:r>
      <w:r w:rsidRPr="001814D2">
        <w:rPr>
          <w:i/>
          <w:iCs/>
        </w:rPr>
        <w:t xml:space="preserve">Behrouz Boochani – Manus Island </w:t>
      </w:r>
      <w:r w:rsidRPr="001814D2">
        <w:t xml:space="preserve">2018, inkjet archival print; </w:t>
      </w:r>
      <w:r w:rsidRPr="001814D2">
        <w:rPr>
          <w:i/>
          <w:iCs/>
        </w:rPr>
        <w:t xml:space="preserve">Emad Moradi – Manus Island </w:t>
      </w:r>
      <w:r w:rsidRPr="001814D2">
        <w:t xml:space="preserve">2018, inkjet archival print; </w:t>
      </w:r>
      <w:r w:rsidRPr="001814D2">
        <w:rPr>
          <w:i/>
          <w:iCs/>
        </w:rPr>
        <w:t xml:space="preserve">Ari Sirwan – Manus Island </w:t>
      </w:r>
      <w:r w:rsidRPr="001814D2">
        <w:t>2018, inkjet archival print, purchased with funds provided by the Contemporary Collection Benefactors 2020 Hoda Afshar (Iran/Australia b1983) Remain 2018, dual channel digital video, colour, sound, purchased with funds provided by the Contemporary Collection Benefactors 2020</w:t>
      </w:r>
    </w:p>
    <w:p w14:paraId="52C54607" w14:textId="77777777" w:rsidR="009103CC" w:rsidRPr="001814D2" w:rsidRDefault="009103CC" w:rsidP="009103CC">
      <w:pPr>
        <w:pStyle w:val="Listitemasbody"/>
      </w:pPr>
      <w:r w:rsidRPr="001814D2">
        <w:t xml:space="preserve">Khadim Ali (Pakistan/Australia b1978) </w:t>
      </w:r>
      <w:r w:rsidRPr="001814D2">
        <w:rPr>
          <w:i/>
          <w:iCs/>
        </w:rPr>
        <w:t>Untitled</w:t>
      </w:r>
      <w:r w:rsidRPr="001814D2">
        <w:t xml:space="preserve"> from the series </w:t>
      </w:r>
      <w:r w:rsidRPr="001814D2">
        <w:rPr>
          <w:i/>
          <w:iCs/>
        </w:rPr>
        <w:t>Flowers of evil</w:t>
      </w:r>
      <w:r w:rsidRPr="001814D2">
        <w:t xml:space="preserve"> 2019, acrylic paint, hand and machine embroidery stitched on fabric and dye, purchased with funds provided by the Contemporary Collection Benefactors 2020</w:t>
      </w:r>
    </w:p>
    <w:p w14:paraId="751C6A38" w14:textId="77777777" w:rsidR="009103CC" w:rsidRPr="001814D2" w:rsidRDefault="009103CC" w:rsidP="009103CC">
      <w:pPr>
        <w:pStyle w:val="Listitemasbody"/>
      </w:pPr>
      <w:r w:rsidRPr="001814D2">
        <w:t xml:space="preserve">Atong Atem (Ethiopia/Australia b1994), three photogaphs from the series </w:t>
      </w:r>
      <w:r w:rsidRPr="001814D2">
        <w:rPr>
          <w:i/>
          <w:iCs/>
        </w:rPr>
        <w:t>To be real</w:t>
      </w:r>
      <w:r w:rsidRPr="001814D2">
        <w:t xml:space="preserve"> 2020: </w:t>
      </w:r>
      <w:r w:rsidRPr="001814D2">
        <w:lastRenderedPageBreak/>
        <w:t xml:space="preserve">Dijok 2020, Ilford smooth pearl print; </w:t>
      </w:r>
      <w:r w:rsidRPr="001814D2">
        <w:rPr>
          <w:i/>
          <w:iCs/>
        </w:rPr>
        <w:t>Saba and Gabby</w:t>
      </w:r>
      <w:r w:rsidRPr="001814D2">
        <w:t xml:space="preserve"> 2020, Ilford smooth pearl print; Sahara 2020, Illford smooth pearl print, purchased with funds provided by the Photography Collection Benefactors 2021</w:t>
      </w:r>
    </w:p>
    <w:p w14:paraId="5E23EF9C" w14:textId="77777777" w:rsidR="009103CC" w:rsidRPr="001814D2" w:rsidRDefault="009103CC" w:rsidP="009103CC">
      <w:pPr>
        <w:pStyle w:val="Listitemasbody"/>
      </w:pPr>
      <w:r w:rsidRPr="001814D2">
        <w:t xml:space="preserve">Martin Bell (Australia b1978) </w:t>
      </w:r>
      <w:r w:rsidRPr="001814D2">
        <w:rPr>
          <w:i/>
          <w:iCs/>
        </w:rPr>
        <w:t>Martin Son of the Universe, what me worry</w:t>
      </w:r>
      <w:r w:rsidRPr="001814D2">
        <w:t xml:space="preserve"> 2019, ink on BFK Rives paper, Dobell Biennial Acquisition Fund and Australian Prints, Drawings and Watercolours Benefactors 2021</w:t>
      </w:r>
    </w:p>
    <w:p w14:paraId="23AC2AE3" w14:textId="77777777" w:rsidR="009103CC" w:rsidRPr="001814D2" w:rsidRDefault="009103CC" w:rsidP="009103CC">
      <w:pPr>
        <w:pStyle w:val="Listitemasbody"/>
      </w:pPr>
      <w:r w:rsidRPr="001814D2">
        <w:t xml:space="preserve">Yosl Bergner (Austria/Australia/Israel 1920–2017) </w:t>
      </w:r>
      <w:r w:rsidRPr="001814D2">
        <w:rPr>
          <w:i/>
          <w:iCs/>
        </w:rPr>
        <w:t>Self-portrait</w:t>
      </w:r>
      <w:r w:rsidRPr="001814D2">
        <w:t xml:space="preserve"> 1939, oil on canvas on composition board, acquired with the support of the Art Gallery Society of NSW through the Dagmar Halas Bequest 2020</w:t>
      </w:r>
    </w:p>
    <w:p w14:paraId="1EF5F991" w14:textId="77777777" w:rsidR="009103CC" w:rsidRPr="001814D2" w:rsidRDefault="009103CC" w:rsidP="009103CC">
      <w:pPr>
        <w:pStyle w:val="Listitemasbody"/>
      </w:pPr>
      <w:r w:rsidRPr="001814D2">
        <w:t xml:space="preserve">Jill Crossley (Australia b1929), six photographs: </w:t>
      </w:r>
      <w:r w:rsidRPr="001814D2">
        <w:rPr>
          <w:i/>
          <w:iCs/>
        </w:rPr>
        <w:t>I don’t think so!</w:t>
      </w:r>
      <w:r w:rsidRPr="001814D2">
        <w:t xml:space="preserve"> 1975, gelatin silver photograph; </w:t>
      </w:r>
      <w:r w:rsidRPr="001814D2">
        <w:rPr>
          <w:i/>
          <w:iCs/>
        </w:rPr>
        <w:t>Hovering spirit</w:t>
      </w:r>
      <w:r w:rsidRPr="001814D2">
        <w:t xml:space="preserve"> c1981, gelatin silver photograph; </w:t>
      </w:r>
      <w:r w:rsidRPr="001814D2">
        <w:rPr>
          <w:i/>
          <w:iCs/>
        </w:rPr>
        <w:t>Change-over</w:t>
      </w:r>
      <w:r w:rsidRPr="001814D2">
        <w:t xml:space="preserve"> 1975, gelatin silver photograph; </w:t>
      </w:r>
      <w:r w:rsidRPr="001814D2">
        <w:rPr>
          <w:i/>
          <w:iCs/>
        </w:rPr>
        <w:t>David Jones</w:t>
      </w:r>
      <w:r w:rsidRPr="001814D2">
        <w:t xml:space="preserve"> 1975, gelatin silver photograph; </w:t>
      </w:r>
      <w:r w:rsidRPr="001814D2">
        <w:rPr>
          <w:i/>
          <w:iCs/>
        </w:rPr>
        <w:t>Both sides of the coin</w:t>
      </w:r>
      <w:r w:rsidRPr="001814D2">
        <w:t xml:space="preserve"> 1987, gelatin silver photograph; </w:t>
      </w:r>
      <w:r w:rsidRPr="001814D2">
        <w:rPr>
          <w:i/>
          <w:iCs/>
        </w:rPr>
        <w:t>The two chairs</w:t>
      </w:r>
      <w:r w:rsidRPr="001814D2">
        <w:t xml:space="preserve"> 1980s, gelatin silver photograph, purchased with funds provided by the Photography Collection Benefactors 2021</w:t>
      </w:r>
    </w:p>
    <w:p w14:paraId="5D7404DE" w14:textId="77777777" w:rsidR="009103CC" w:rsidRPr="001814D2" w:rsidRDefault="009103CC" w:rsidP="009103CC">
      <w:pPr>
        <w:pStyle w:val="Listitemasbody"/>
      </w:pPr>
      <w:r w:rsidRPr="001814D2">
        <w:t xml:space="preserve">Anne Dangar (Australia 1885–1951), three ceramics: </w:t>
      </w:r>
      <w:r w:rsidRPr="001814D2">
        <w:rPr>
          <w:i/>
          <w:iCs/>
        </w:rPr>
        <w:t>Woman with glove</w:t>
      </w:r>
      <w:r w:rsidRPr="001814D2">
        <w:t xml:space="preserve"> c1937–c1938, glazed earthenware; </w:t>
      </w:r>
      <w:r w:rsidRPr="001814D2">
        <w:rPr>
          <w:i/>
          <w:iCs/>
        </w:rPr>
        <w:t>Tureen with geometric designs</w:t>
      </w:r>
      <w:r w:rsidRPr="001814D2">
        <w:t xml:space="preserve"> c1938, glazed earthenware; </w:t>
      </w:r>
      <w:r w:rsidRPr="001814D2">
        <w:rPr>
          <w:i/>
          <w:iCs/>
        </w:rPr>
        <w:t>Vegetable dish with lid</w:t>
      </w:r>
      <w:r w:rsidRPr="001814D2">
        <w:t xml:space="preserve"> c1938, glazed earthenware, purchased with funds provided by the Mollie Douglas Bequest 2021</w:t>
      </w:r>
    </w:p>
    <w:p w14:paraId="46EBA6A5" w14:textId="77777777" w:rsidR="009103CC" w:rsidRPr="001814D2" w:rsidRDefault="009103CC" w:rsidP="009103CC">
      <w:pPr>
        <w:pStyle w:val="Listitemasbody"/>
      </w:pPr>
      <w:r w:rsidRPr="001814D2">
        <w:t xml:space="preserve">Cherine Fahd (Australia, b1974) </w:t>
      </w:r>
      <w:r w:rsidRPr="001814D2">
        <w:rPr>
          <w:i/>
          <w:iCs/>
        </w:rPr>
        <w:t>Apókryphos</w:t>
      </w:r>
      <w:r w:rsidRPr="001814D2">
        <w:t xml:space="preserve"> 2018–19, nine archival pigment prints, purchased with funds provided by the Photography Collection Benefactors 2020</w:t>
      </w:r>
    </w:p>
    <w:p w14:paraId="5964D44B" w14:textId="77777777" w:rsidR="009103CC" w:rsidRPr="001814D2" w:rsidRDefault="009103CC" w:rsidP="009103CC">
      <w:pPr>
        <w:pStyle w:val="Listitemasbody"/>
      </w:pPr>
      <w:r w:rsidRPr="001814D2">
        <w:t xml:space="preserve">Ian Fairweather (Scotland/Australia 1891–1974) </w:t>
      </w:r>
      <w:r w:rsidRPr="001814D2">
        <w:rPr>
          <w:i/>
          <w:iCs/>
        </w:rPr>
        <w:t>Composition with figures</w:t>
      </w:r>
      <w:r w:rsidRPr="001814D2">
        <w:t xml:space="preserve"> 1969, synthetic polymer paint and gouache on cardboard on hardboard, acquisition funded by Antoinette Albert and family 2020</w:t>
      </w:r>
    </w:p>
    <w:p w14:paraId="0C311E9C" w14:textId="77777777" w:rsidR="009103CC" w:rsidRPr="001814D2" w:rsidRDefault="009103CC" w:rsidP="009103CC">
      <w:pPr>
        <w:pStyle w:val="Listitemasbody"/>
      </w:pPr>
      <w:r w:rsidRPr="001814D2">
        <w:t xml:space="preserve">Helen Grace (Australia, b1949) </w:t>
      </w:r>
      <w:r w:rsidRPr="001814D2">
        <w:rPr>
          <w:i/>
          <w:iCs/>
        </w:rPr>
        <w:t xml:space="preserve">And awe was all that we could feel </w:t>
      </w:r>
      <w:r w:rsidRPr="001814D2">
        <w:t>1978–80, printed 2020, twelve gelatin silver photographs, purchased with funds provided by the Photography Collection Benefactors 2021</w:t>
      </w:r>
    </w:p>
    <w:p w14:paraId="53700696" w14:textId="77777777" w:rsidR="009103CC" w:rsidRPr="001814D2" w:rsidRDefault="009103CC" w:rsidP="009103CC">
      <w:pPr>
        <w:pStyle w:val="Listitemasbody"/>
      </w:pPr>
      <w:r w:rsidRPr="001814D2">
        <w:t xml:space="preserve">Steve Harrison (b1952), twelve ceramics: </w:t>
      </w:r>
      <w:r w:rsidRPr="001814D2">
        <w:rPr>
          <w:i/>
          <w:iCs/>
        </w:rPr>
        <w:t xml:space="preserve">Natural sericite porcelain stone, Korea </w:t>
      </w:r>
      <w:r w:rsidRPr="001814D2">
        <w:t xml:space="preserve">2019, natural sericite porcelain stone, Joadja stone, kangaroo bone ash glaze; </w:t>
      </w:r>
      <w:r w:rsidRPr="001814D2">
        <w:rPr>
          <w:i/>
          <w:iCs/>
        </w:rPr>
        <w:t xml:space="preserve">Natural sericite porcelain stone, Korea </w:t>
      </w:r>
      <w:r w:rsidRPr="001814D2">
        <w:t xml:space="preserve">2018, natural sericite porcelain stone, ‘black pepper blue’ porcelain body with limestone and wood ash glaze; </w:t>
      </w:r>
      <w:r w:rsidRPr="001814D2">
        <w:rPr>
          <w:i/>
          <w:iCs/>
        </w:rPr>
        <w:t xml:space="preserve">Natural sericite porcelain stone, Jingdezhen, China </w:t>
      </w:r>
      <w:r w:rsidRPr="001814D2">
        <w:t xml:space="preserve">2003, natural sericite porcelain stone; </w:t>
      </w:r>
      <w:r w:rsidRPr="001814D2">
        <w:rPr>
          <w:i/>
          <w:iCs/>
        </w:rPr>
        <w:t xml:space="preserve">Natural sericite porcelain stone, Jingdezhen, China </w:t>
      </w:r>
      <w:r w:rsidRPr="001814D2">
        <w:t xml:space="preserve">2017, natural sericite porcelain stone, celadon glaze; </w:t>
      </w:r>
      <w:r w:rsidRPr="001814D2">
        <w:rPr>
          <w:i/>
          <w:iCs/>
        </w:rPr>
        <w:t xml:space="preserve">Natural sericite porcelain stone, Arita, Japan </w:t>
      </w:r>
      <w:r w:rsidRPr="001814D2">
        <w:t xml:space="preserve">2016, natural sericite porcelain stone, blue celadon glaze; </w:t>
      </w:r>
      <w:r w:rsidRPr="001814D2">
        <w:rPr>
          <w:i/>
          <w:iCs/>
        </w:rPr>
        <w:t xml:space="preserve">Natural sericite porcelain stone, Arita, Japan </w:t>
      </w:r>
      <w:r w:rsidRPr="001814D2">
        <w:t xml:space="preserve">2015, natural sericite porcelain stone, Japanese studio standard glaze; </w:t>
      </w:r>
      <w:r w:rsidRPr="001814D2">
        <w:rPr>
          <w:i/>
          <w:iCs/>
        </w:rPr>
        <w:lastRenderedPageBreak/>
        <w:t xml:space="preserve">Nattai River Valley (NRV) porcelain stone, Australia </w:t>
      </w:r>
      <w:r w:rsidRPr="001814D2">
        <w:t xml:space="preserve">2017, Nattai River Valley porcelain stone, Joadja aplite porcelain glaze; </w:t>
      </w:r>
      <w:r w:rsidRPr="001814D2">
        <w:rPr>
          <w:i/>
          <w:iCs/>
        </w:rPr>
        <w:t xml:space="preserve">Mount Alexander Halloysite porcelain stone, Australia </w:t>
      </w:r>
      <w:r w:rsidRPr="001814D2">
        <w:t xml:space="preserve">2015, Mount Alexander Halloysite porcelain stone, unglazed; </w:t>
      </w:r>
      <w:r w:rsidRPr="001814D2">
        <w:rPr>
          <w:i/>
          <w:iCs/>
        </w:rPr>
        <w:t xml:space="preserve">Mount Alexander Halloysite porcelain stone, Australia </w:t>
      </w:r>
      <w:r w:rsidRPr="001814D2">
        <w:t xml:space="preserve">2015, Mount Alexander Halloysite porcelain stone, wood fired, crackle glaze (Joadja aplite stone, felspar, limestone, wood ash, cow-bone ash); </w:t>
      </w:r>
      <w:r w:rsidRPr="001814D2">
        <w:rPr>
          <w:i/>
          <w:iCs/>
        </w:rPr>
        <w:t xml:space="preserve">Joadja aplite native porcelain stone, Australia </w:t>
      </w:r>
      <w:r w:rsidRPr="001814D2">
        <w:t xml:space="preserve">2005, Joadja aplite native porcelain stone, wood fired, Joadja stone glaze, local limestone flux; </w:t>
      </w:r>
      <w:r w:rsidRPr="001814D2">
        <w:rPr>
          <w:i/>
          <w:iCs/>
        </w:rPr>
        <w:t xml:space="preserve">Joadja aplite native porcelain stone, Australia </w:t>
      </w:r>
      <w:r w:rsidRPr="001814D2">
        <w:t xml:space="preserve">2004, Joadja aplite native porcelain stone, wood fired, limestone glaze; </w:t>
      </w:r>
      <w:r w:rsidRPr="001814D2">
        <w:rPr>
          <w:i/>
          <w:iCs/>
        </w:rPr>
        <w:t xml:space="preserve">Tregonning Hill natural sericite porcelain stone, Cornwall, UK </w:t>
      </w:r>
      <w:r w:rsidRPr="001814D2">
        <w:t>2017, Tregonning Hill natural sericite porcelain stone, Joadja aplite native porcelain stone celadon glaze, Vicki Grima Ceramics Fund and Mollie Douglas Bequest 2020</w:t>
      </w:r>
    </w:p>
    <w:p w14:paraId="0BB98003" w14:textId="77777777" w:rsidR="009103CC" w:rsidRPr="001814D2" w:rsidRDefault="009103CC" w:rsidP="009103CC">
      <w:pPr>
        <w:pStyle w:val="Listitemasbody"/>
      </w:pPr>
      <w:r w:rsidRPr="001814D2">
        <w:t xml:space="preserve">Steve Harrison (b1952) </w:t>
      </w:r>
      <w:r w:rsidRPr="001814D2">
        <w:rPr>
          <w:i/>
          <w:iCs/>
        </w:rPr>
        <w:t xml:space="preserve">Tregonning Hill natural sericite porcelain stone, Cornwall, UK </w:t>
      </w:r>
      <w:r w:rsidRPr="001814D2">
        <w:t>2017, Tregonning Hill natural sericite porcelain stone, cow-bone ash opalescent glaze, Vicki Grima Ceramics Fund 2020</w:t>
      </w:r>
    </w:p>
    <w:p w14:paraId="6670AC8F" w14:textId="77777777" w:rsidR="009103CC" w:rsidRPr="001814D2" w:rsidRDefault="009103CC" w:rsidP="009103CC">
      <w:pPr>
        <w:pStyle w:val="Listitemasbody"/>
      </w:pPr>
      <w:r w:rsidRPr="001814D2">
        <w:t>Nathan Hawkes (Australia b1980), two drawings: It is here in a worn-down province 2020, dry-pigment pastel on paper; they hear the wind tell of the burned off fields but they are no children no one carries them anymore 2020, dry-pigment pastel on paper, purchased with funds provided by the Contemporary Collection Benefactors 2021</w:t>
      </w:r>
    </w:p>
    <w:p w14:paraId="0B98D001" w14:textId="77777777" w:rsidR="009103CC" w:rsidRPr="001814D2" w:rsidRDefault="009103CC" w:rsidP="009103CC">
      <w:pPr>
        <w:pStyle w:val="Listitemasbody"/>
      </w:pPr>
      <w:r w:rsidRPr="001814D2">
        <w:t xml:space="preserve">Joy Hester (Australia 1920–60) </w:t>
      </w:r>
      <w:r w:rsidRPr="001814D2">
        <w:rPr>
          <w:i/>
          <w:iCs/>
        </w:rPr>
        <w:t xml:space="preserve">Lovers </w:t>
      </w:r>
      <w:r w:rsidRPr="001814D2">
        <w:t>1948–49, ink wash and watercolour on paper, purchased with support of the Art Gallery Society of NSW through the Elizabeth Fyfe Bequest 2021</w:t>
      </w:r>
    </w:p>
    <w:p w14:paraId="007078FB" w14:textId="77777777" w:rsidR="009103CC" w:rsidRPr="001814D2" w:rsidRDefault="009103CC" w:rsidP="009103CC">
      <w:pPr>
        <w:pStyle w:val="Listitemasbody"/>
      </w:pPr>
      <w:r w:rsidRPr="001814D2">
        <w:t>Lindy Lee (Australia b1954), ten photographs from the series</w:t>
      </w:r>
      <w:r w:rsidRPr="001814D2">
        <w:rPr>
          <w:i/>
          <w:iCs/>
        </w:rPr>
        <w:t xml:space="preserve"> True Ch’ien </w:t>
      </w:r>
      <w:r w:rsidRPr="001814D2">
        <w:t xml:space="preserve">2018: </w:t>
      </w:r>
      <w:r w:rsidRPr="001814D2">
        <w:rPr>
          <w:i/>
          <w:iCs/>
        </w:rPr>
        <w:t xml:space="preserve">True Ch’ien: small hearts find each other #1 </w:t>
      </w:r>
      <w:r w:rsidRPr="001814D2">
        <w:t xml:space="preserve">2018, Chinese ink, fire and giclée print; </w:t>
      </w:r>
      <w:r w:rsidRPr="001814D2">
        <w:rPr>
          <w:i/>
          <w:iCs/>
        </w:rPr>
        <w:t xml:space="preserve">True Ch’ien: unbetrothed #2 </w:t>
      </w:r>
      <w:r w:rsidRPr="001814D2">
        <w:t xml:space="preserve">2018, Chinese ink, fire and giclée print; </w:t>
      </w:r>
      <w:r w:rsidRPr="001814D2">
        <w:rPr>
          <w:i/>
          <w:iCs/>
        </w:rPr>
        <w:t xml:space="preserve">True Ch’ien: homeless #3 </w:t>
      </w:r>
      <w:r w:rsidRPr="001814D2">
        <w:t xml:space="preserve">2018, Chinese ink, fire and giclée print; </w:t>
      </w:r>
      <w:r w:rsidRPr="001814D2">
        <w:rPr>
          <w:i/>
          <w:iCs/>
        </w:rPr>
        <w:t xml:space="preserve">True Ch’ien: longing for wholeness and redemption #4 </w:t>
      </w:r>
      <w:r w:rsidRPr="001814D2">
        <w:t xml:space="preserve">2018, Chinese ink, fire and giclée print; </w:t>
      </w:r>
      <w:r w:rsidRPr="001814D2">
        <w:rPr>
          <w:i/>
          <w:iCs/>
        </w:rPr>
        <w:t xml:space="preserve">True Ch’ien: going where the river flows #5 </w:t>
      </w:r>
      <w:r w:rsidRPr="001814D2">
        <w:t xml:space="preserve">2018, Chinese ink, fire and giclée print; </w:t>
      </w:r>
      <w:r w:rsidRPr="001814D2">
        <w:rPr>
          <w:i/>
          <w:iCs/>
        </w:rPr>
        <w:t xml:space="preserve">True Ch’ien: at the threshold #6 </w:t>
      </w:r>
      <w:r w:rsidRPr="001814D2">
        <w:t xml:space="preserve">2018, Chinese ink, fire and giclée print; </w:t>
      </w:r>
      <w:r w:rsidRPr="001814D2">
        <w:rPr>
          <w:i/>
          <w:iCs/>
        </w:rPr>
        <w:t xml:space="preserve">True Ch’ien: the heart fragmented #7 </w:t>
      </w:r>
      <w:r w:rsidRPr="001814D2">
        <w:t xml:space="preserve">2018, chinese ink, fire and giclée print; </w:t>
      </w:r>
      <w:r w:rsidRPr="001814D2">
        <w:rPr>
          <w:i/>
          <w:iCs/>
        </w:rPr>
        <w:t xml:space="preserve">True Ch’ien: the exile awakens #8 </w:t>
      </w:r>
      <w:r w:rsidRPr="001814D2">
        <w:t xml:space="preserve">2018, Chinese ink, fire and giclée print; </w:t>
      </w:r>
      <w:r w:rsidRPr="001814D2">
        <w:rPr>
          <w:i/>
          <w:iCs/>
        </w:rPr>
        <w:t xml:space="preserve">True Ch’ien: the exile returns #9 </w:t>
      </w:r>
      <w:r w:rsidRPr="001814D2">
        <w:t xml:space="preserve">2018, Chinese ink, fire and giclée print; </w:t>
      </w:r>
      <w:r w:rsidRPr="001814D2">
        <w:rPr>
          <w:i/>
          <w:iCs/>
        </w:rPr>
        <w:t xml:space="preserve">True Ch’ien: saving the ghost #10 </w:t>
      </w:r>
      <w:r w:rsidRPr="001814D2">
        <w:t>2018, Chinese ink, fire and giclée print, purchased with funds provided by the Contemporary Collection Benefactors 2021</w:t>
      </w:r>
    </w:p>
    <w:p w14:paraId="75DDD4A7" w14:textId="77777777" w:rsidR="009103CC" w:rsidRPr="001814D2" w:rsidRDefault="009103CC" w:rsidP="009103CC">
      <w:pPr>
        <w:pStyle w:val="Listitemasbody"/>
      </w:pPr>
      <w:r w:rsidRPr="001814D2">
        <w:t xml:space="preserve">Eugenia Lim (Australia b1981), one photograph and one installation: </w:t>
      </w:r>
      <w:r w:rsidRPr="001814D2">
        <w:rPr>
          <w:i/>
          <w:iCs/>
        </w:rPr>
        <w:t xml:space="preserve">New Australians (welcome stranger 1869/2015) </w:t>
      </w:r>
      <w:r w:rsidRPr="001814D2">
        <w:t>from the series</w:t>
      </w:r>
      <w:r w:rsidRPr="001814D2">
        <w:rPr>
          <w:i/>
          <w:iCs/>
        </w:rPr>
        <w:t xml:space="preserve"> Yellow peril </w:t>
      </w:r>
      <w:r w:rsidRPr="001814D2">
        <w:t xml:space="preserve">2015, screenprint on mylar emergency blanket; </w:t>
      </w:r>
      <w:r w:rsidRPr="001814D2">
        <w:rPr>
          <w:i/>
          <w:iCs/>
        </w:rPr>
        <w:t xml:space="preserve">ON DEMAND </w:t>
      </w:r>
      <w:r w:rsidRPr="001814D2">
        <w:t xml:space="preserve">2019, four channel video work, bicycles, carpet, Arduino, computer, steel frame, monitors, speakers, purchased with funds provided by the </w:t>
      </w:r>
      <w:r w:rsidRPr="001814D2">
        <w:lastRenderedPageBreak/>
        <w:t>Contemporary Collection Benefactors 2021</w:t>
      </w:r>
    </w:p>
    <w:p w14:paraId="5A33EF99" w14:textId="77777777" w:rsidR="009103CC" w:rsidRPr="001814D2" w:rsidRDefault="009103CC" w:rsidP="009103CC">
      <w:pPr>
        <w:pStyle w:val="Listitemasbody"/>
      </w:pPr>
      <w:r w:rsidRPr="001814D2">
        <w:t xml:space="preserve">Guy Maestri (Australia b1974) </w:t>
      </w:r>
      <w:r w:rsidRPr="001814D2">
        <w:rPr>
          <w:i/>
          <w:iCs/>
        </w:rPr>
        <w:t xml:space="preserve">The rain song </w:t>
      </w:r>
      <w:r w:rsidRPr="001814D2">
        <w:t>2020, oil on linen, purchased with funds provided by the Art Gallery Society of NSW to celebrate 150 years of the Art Gallery of New South Wales 2020</w:t>
      </w:r>
    </w:p>
    <w:p w14:paraId="157B9960" w14:textId="77777777" w:rsidR="009103CC" w:rsidRPr="001814D2" w:rsidRDefault="009103CC" w:rsidP="009103CC">
      <w:pPr>
        <w:pStyle w:val="Listitemasbody"/>
      </w:pPr>
      <w:r w:rsidRPr="001814D2">
        <w:t xml:space="preserve">Tempe Manning (Australia, 1896–1960) </w:t>
      </w:r>
      <w:r w:rsidRPr="001814D2">
        <w:rPr>
          <w:i/>
          <w:iCs/>
        </w:rPr>
        <w:t xml:space="preserve">Self-portrait </w:t>
      </w:r>
      <w:r w:rsidRPr="001814D2">
        <w:t>1939, oil on canvas, acquired with the support of the Art Gallery Society of NSW through the Dagmar Halas Bequest 2021</w:t>
      </w:r>
    </w:p>
    <w:p w14:paraId="41B7B4B8" w14:textId="77777777" w:rsidR="009103CC" w:rsidRPr="001814D2" w:rsidRDefault="009103CC" w:rsidP="009103CC">
      <w:pPr>
        <w:pStyle w:val="Listitemasbody"/>
      </w:pPr>
      <w:r w:rsidRPr="001814D2">
        <w:t xml:space="preserve">Mortimer L Menpes (England, 1855–1938) </w:t>
      </w:r>
      <w:r w:rsidRPr="001814D2">
        <w:rPr>
          <w:i/>
          <w:iCs/>
        </w:rPr>
        <w:t xml:space="preserve">Geisha musicians </w:t>
      </w:r>
      <w:r w:rsidRPr="001814D2">
        <w:t>1887–88, oil on wood, purchased with funds provided by the Marshall Bequest and David George Wilson Bequest for Asian art 2021</w:t>
      </w:r>
    </w:p>
    <w:p w14:paraId="3F9CBD34" w14:textId="77777777" w:rsidR="009103CC" w:rsidRPr="001814D2" w:rsidRDefault="009103CC" w:rsidP="009103CC">
      <w:pPr>
        <w:pStyle w:val="Listitemasbody"/>
      </w:pPr>
      <w:r w:rsidRPr="001814D2">
        <w:t xml:space="preserve">Mortimer L Menpes (England, 1855–1938) </w:t>
      </w:r>
      <w:r w:rsidRPr="001814D2">
        <w:rPr>
          <w:i/>
          <w:iCs/>
        </w:rPr>
        <w:t xml:space="preserve">Burmese village </w:t>
      </w:r>
      <w:r w:rsidRPr="001814D2">
        <w:t>1889–91, oil on wood, purchased with funds provided by the Australian Art Collection Benefactors 2021</w:t>
      </w:r>
    </w:p>
    <w:p w14:paraId="7B133CDE" w14:textId="77777777" w:rsidR="009103CC" w:rsidRPr="001814D2" w:rsidRDefault="009103CC" w:rsidP="009103CC">
      <w:pPr>
        <w:pStyle w:val="Listitemasbody"/>
      </w:pPr>
      <w:r w:rsidRPr="001814D2">
        <w:t>Ramesh Mario Nithiyendran (Sri Lanka; Australia, b1988), sixty-eight sculptures from the installation</w:t>
      </w:r>
      <w:r w:rsidRPr="001814D2">
        <w:rPr>
          <w:i/>
          <w:iCs/>
        </w:rPr>
        <w:t xml:space="preserve"> Avatar Towers </w:t>
      </w:r>
      <w:r w:rsidRPr="001814D2">
        <w:t xml:space="preserve">2020: </w:t>
      </w:r>
      <w:r w:rsidRPr="001814D2">
        <w:rPr>
          <w:i/>
          <w:iCs/>
        </w:rPr>
        <w:t xml:space="preserve">Three-legged avatar with two-sided face </w:t>
      </w:r>
      <w:r w:rsidRPr="001814D2">
        <w:t xml:space="preserve">2020, earthenware, glaze and epoxy; </w:t>
      </w:r>
      <w:r w:rsidRPr="001814D2">
        <w:rPr>
          <w:i/>
          <w:iCs/>
        </w:rPr>
        <w:t xml:space="preserve">Three-legged figure with triple head </w:t>
      </w:r>
      <w:r w:rsidRPr="001814D2">
        <w:t xml:space="preserve">2020, earthenware, glaze and epoxy; </w:t>
      </w:r>
      <w:r w:rsidRPr="001814D2">
        <w:rPr>
          <w:i/>
          <w:iCs/>
        </w:rPr>
        <w:t xml:space="preserve">Turquoise figure </w:t>
      </w:r>
      <w:r w:rsidRPr="001814D2">
        <w:t xml:space="preserve">2020, earthenware, glaze and epoxy; </w:t>
      </w:r>
      <w:r w:rsidRPr="001814D2">
        <w:rPr>
          <w:i/>
          <w:iCs/>
        </w:rPr>
        <w:t xml:space="preserve">Two-sided figure with purple crown </w:t>
      </w:r>
      <w:r w:rsidRPr="001814D2">
        <w:t xml:space="preserve">2020, earthenware; </w:t>
      </w:r>
      <w:r w:rsidRPr="001814D2">
        <w:rPr>
          <w:i/>
          <w:iCs/>
        </w:rPr>
        <w:t xml:space="preserve">White figure with gold face I </w:t>
      </w:r>
      <w:r w:rsidRPr="001814D2">
        <w:t xml:space="preserve">2020, earthenware, glaze; </w:t>
      </w:r>
      <w:r w:rsidRPr="001814D2">
        <w:rPr>
          <w:i/>
          <w:iCs/>
        </w:rPr>
        <w:t xml:space="preserve">Yellow dog with brown figure </w:t>
      </w:r>
      <w:r w:rsidRPr="001814D2">
        <w:t xml:space="preserve">2020, earthenware, glaze and lustre; </w:t>
      </w:r>
      <w:r w:rsidRPr="001814D2">
        <w:rPr>
          <w:i/>
          <w:iCs/>
        </w:rPr>
        <w:t xml:space="preserve">Yellow head with spiky headpiece </w:t>
      </w:r>
      <w:r w:rsidRPr="001814D2">
        <w:t xml:space="preserve">2019, earthenware, glaze, lustre and bronze; </w:t>
      </w:r>
      <w:r w:rsidRPr="001814D2">
        <w:rPr>
          <w:i/>
          <w:iCs/>
        </w:rPr>
        <w:t xml:space="preserve">Bird human fertility figure II </w:t>
      </w:r>
      <w:r w:rsidRPr="001814D2">
        <w:t xml:space="preserve">2020, earthenware, glaze, porcelain and epoxy; </w:t>
      </w:r>
      <w:r w:rsidRPr="001814D2">
        <w:rPr>
          <w:i/>
          <w:iCs/>
        </w:rPr>
        <w:t xml:space="preserve">Blue bronze figure with branch headpiece </w:t>
      </w:r>
      <w:r w:rsidRPr="001814D2">
        <w:t xml:space="preserve">2019, bronze; </w:t>
      </w:r>
      <w:r w:rsidRPr="001814D2">
        <w:rPr>
          <w:i/>
          <w:iCs/>
        </w:rPr>
        <w:t xml:space="preserve">Brown figure with snake </w:t>
      </w:r>
      <w:r w:rsidRPr="001814D2">
        <w:t xml:space="preserve">2020, earthenware, glaze and lustre; </w:t>
      </w:r>
      <w:r w:rsidRPr="001814D2">
        <w:rPr>
          <w:i/>
          <w:iCs/>
        </w:rPr>
        <w:t xml:space="preserve">Caramel standing figure with plait </w:t>
      </w:r>
      <w:r w:rsidRPr="001814D2">
        <w:t xml:space="preserve">2019, earthenware, glaze, synthetic hair, optic fibre, digitally printed textile, hessian and polyester; </w:t>
      </w:r>
      <w:r w:rsidRPr="001814D2">
        <w:rPr>
          <w:i/>
          <w:iCs/>
        </w:rPr>
        <w:t xml:space="preserve">Double-headed figure with red crown </w:t>
      </w:r>
      <w:r w:rsidRPr="001814D2">
        <w:t xml:space="preserve">2020, earthenware; </w:t>
      </w:r>
      <w:r w:rsidRPr="001814D2">
        <w:rPr>
          <w:i/>
          <w:iCs/>
        </w:rPr>
        <w:t xml:space="preserve">Double-sided monkey face </w:t>
      </w:r>
      <w:r w:rsidRPr="001814D2">
        <w:t xml:space="preserve">2020, earthenware; </w:t>
      </w:r>
      <w:r w:rsidRPr="001814D2">
        <w:rPr>
          <w:i/>
          <w:iCs/>
        </w:rPr>
        <w:t xml:space="preserve">Figure with snake headpiece </w:t>
      </w:r>
      <w:r w:rsidRPr="001814D2">
        <w:t xml:space="preserve">2019, earthenware, porcelain and wooden beads; </w:t>
      </w:r>
      <w:r w:rsidRPr="001814D2">
        <w:rPr>
          <w:i/>
          <w:iCs/>
        </w:rPr>
        <w:t xml:space="preserve">Figure with tiger face </w:t>
      </w:r>
      <w:r w:rsidRPr="001814D2">
        <w:t xml:space="preserve">2018, bronze; </w:t>
      </w:r>
      <w:r w:rsidRPr="001814D2">
        <w:rPr>
          <w:i/>
          <w:iCs/>
        </w:rPr>
        <w:t xml:space="preserve">Grinning face I </w:t>
      </w:r>
      <w:r w:rsidRPr="001814D2">
        <w:t xml:space="preserve">2020, earthenware, glaze; </w:t>
      </w:r>
      <w:r w:rsidRPr="001814D2">
        <w:rPr>
          <w:i/>
          <w:iCs/>
        </w:rPr>
        <w:t xml:space="preserve">Grinning face II </w:t>
      </w:r>
      <w:r w:rsidRPr="001814D2">
        <w:t xml:space="preserve">2020, earthenware, glaze and epoxy; </w:t>
      </w:r>
      <w:r w:rsidRPr="001814D2">
        <w:rPr>
          <w:i/>
          <w:iCs/>
        </w:rPr>
        <w:t xml:space="preserve">Hog human with horn </w:t>
      </w:r>
      <w:r w:rsidRPr="001814D2">
        <w:t xml:space="preserve">2020, earthenware, glaze, crystals and epoxy; </w:t>
      </w:r>
      <w:r w:rsidRPr="001814D2">
        <w:rPr>
          <w:i/>
          <w:iCs/>
        </w:rPr>
        <w:t xml:space="preserve">Pink fertility figure </w:t>
      </w:r>
      <w:r w:rsidRPr="001814D2">
        <w:t xml:space="preserve">2020, earthenware; </w:t>
      </w:r>
      <w:r w:rsidRPr="001814D2">
        <w:rPr>
          <w:i/>
          <w:iCs/>
        </w:rPr>
        <w:t xml:space="preserve">Pink terracotta figure </w:t>
      </w:r>
      <w:r w:rsidRPr="001814D2">
        <w:t xml:space="preserve">2020, terracotta and pink auto paint; </w:t>
      </w:r>
      <w:r w:rsidRPr="001814D2">
        <w:rPr>
          <w:i/>
          <w:iCs/>
        </w:rPr>
        <w:t xml:space="preserve">Pointy gold head </w:t>
      </w:r>
      <w:r w:rsidRPr="001814D2">
        <w:t xml:space="preserve">2017, 24k gold plated bronze; eathenware; </w:t>
      </w:r>
      <w:r w:rsidRPr="001814D2">
        <w:rPr>
          <w:i/>
          <w:iCs/>
        </w:rPr>
        <w:t>Sentient mound</w:t>
      </w:r>
      <w:r w:rsidRPr="001814D2">
        <w:t>, Blackwattle buff terracotta paper clay, purchased with funds provided by the Mollie Douglas Bequest with the support of Bella and Tim Church 2021</w:t>
      </w:r>
    </w:p>
    <w:p w14:paraId="2C130DB5" w14:textId="77777777" w:rsidR="009103CC" w:rsidRPr="001814D2" w:rsidRDefault="009103CC" w:rsidP="009103CC">
      <w:pPr>
        <w:pStyle w:val="Listitemasbody"/>
      </w:pPr>
      <w:r w:rsidRPr="001814D2">
        <w:t xml:space="preserve">Becc Orszag (Australia b1986) </w:t>
      </w:r>
      <w:r w:rsidRPr="001814D2">
        <w:rPr>
          <w:i/>
          <w:iCs/>
        </w:rPr>
        <w:t xml:space="preserve">Fantasy of virtue/All things and nothing </w:t>
      </w:r>
      <w:r w:rsidRPr="001814D2">
        <w:t>2018–20, graphite pencil and 24kt gold leaf on 600gsm Fabriano watercolour paper in bespoke frames, Gil and Shay Docking Drawing Fund 2021</w:t>
      </w:r>
    </w:p>
    <w:p w14:paraId="7201925F" w14:textId="77777777" w:rsidR="009103CC" w:rsidRPr="001814D2" w:rsidRDefault="009103CC" w:rsidP="009103CC">
      <w:pPr>
        <w:pStyle w:val="Listitemasbody"/>
      </w:pPr>
      <w:r w:rsidRPr="001814D2">
        <w:t xml:space="preserve">John Power (Australia 1881–1943) </w:t>
      </w:r>
      <w:r w:rsidRPr="001814D2">
        <w:rPr>
          <w:i/>
          <w:iCs/>
        </w:rPr>
        <w:t xml:space="preserve">Composition </w:t>
      </w:r>
      <w:r w:rsidRPr="001814D2">
        <w:t>c1931, oil on canvas, purchased with funds provided by the Australian Art Collection Benefactors and Patrick White Bequest 2020</w:t>
      </w:r>
    </w:p>
    <w:p w14:paraId="41593A80" w14:textId="77777777" w:rsidR="009103CC" w:rsidRPr="001814D2" w:rsidRDefault="009103CC" w:rsidP="009103CC">
      <w:pPr>
        <w:pStyle w:val="Listitemasbody"/>
      </w:pPr>
      <w:r w:rsidRPr="001814D2">
        <w:lastRenderedPageBreak/>
        <w:t xml:space="preserve">Elizabeth Pulie (Australia b1968), three paintings: </w:t>
      </w:r>
      <w:r w:rsidRPr="001814D2">
        <w:rPr>
          <w:i/>
          <w:iCs/>
        </w:rPr>
        <w:t xml:space="preserve">FOURTEEN </w:t>
      </w:r>
      <w:r w:rsidRPr="001814D2">
        <w:t>1990, acrylic on canvas;</w:t>
      </w:r>
      <w:r w:rsidRPr="001814D2">
        <w:rPr>
          <w:i/>
          <w:iCs/>
        </w:rPr>
        <w:t xml:space="preserve"> #37</w:t>
      </w:r>
      <w:r w:rsidRPr="001814D2">
        <w:t xml:space="preserve"> </w:t>
      </w:r>
      <w:r w:rsidRPr="001814D2">
        <w:rPr>
          <w:i/>
          <w:iCs/>
        </w:rPr>
        <w:t xml:space="preserve">(The Female Form II) </w:t>
      </w:r>
      <w:r w:rsidRPr="001814D2">
        <w:t xml:space="preserve">2013, acrylic on hessian, wooden pole; </w:t>
      </w:r>
      <w:r w:rsidRPr="001814D2">
        <w:rPr>
          <w:i/>
          <w:iCs/>
        </w:rPr>
        <w:t xml:space="preserve">#83 (Towards the Vanishing Point of Art) </w:t>
      </w:r>
      <w:r w:rsidRPr="001814D2">
        <w:t>2018, acrylic on hessian, wool, thread, dowel, purchased with funds provided by the Contemporary Collection Benefactors 2021</w:t>
      </w:r>
    </w:p>
    <w:p w14:paraId="1726213C" w14:textId="77777777" w:rsidR="009103CC" w:rsidRPr="001814D2" w:rsidRDefault="009103CC" w:rsidP="009103CC">
      <w:pPr>
        <w:pStyle w:val="Listitemasbody"/>
      </w:pPr>
      <w:r w:rsidRPr="001814D2">
        <w:t xml:space="preserve">Hilda Rix Nicholas (Australia 1884–1961) </w:t>
      </w:r>
      <w:r w:rsidRPr="001814D2">
        <w:rPr>
          <w:i/>
          <w:iCs/>
        </w:rPr>
        <w:t xml:space="preserve">The Arab sheep market, Tangier </w:t>
      </w:r>
      <w:r w:rsidRPr="001814D2">
        <w:t>1914, oil on canvas on board, purchased with funds provided by the Australian Art Collection Benefactors and Edward Hamilton Stinson Fund 2020</w:t>
      </w:r>
    </w:p>
    <w:p w14:paraId="2CD5C161" w14:textId="77777777" w:rsidR="009103CC" w:rsidRPr="001814D2" w:rsidRDefault="009103CC" w:rsidP="009103CC">
      <w:pPr>
        <w:pStyle w:val="Listitemasbody"/>
      </w:pPr>
      <w:r w:rsidRPr="001814D2">
        <w:t xml:space="preserve">Lynne Roberts-Goodwin (Australia b1954), two photographs from the series </w:t>
      </w:r>
      <w:r w:rsidRPr="001814D2">
        <w:rPr>
          <w:i/>
          <w:iCs/>
        </w:rPr>
        <w:t xml:space="preserve">BEYOND THIS POINT </w:t>
      </w:r>
      <w:r w:rsidRPr="001814D2">
        <w:t xml:space="preserve">2020: </w:t>
      </w:r>
      <w:r w:rsidRPr="001814D2">
        <w:rPr>
          <w:i/>
          <w:iCs/>
        </w:rPr>
        <w:t xml:space="preserve">Everything remains 3 </w:t>
      </w:r>
      <w:r w:rsidRPr="001814D2">
        <w:t xml:space="preserve">2020, archival pigment inkjet print; </w:t>
      </w:r>
      <w:r w:rsidRPr="001814D2">
        <w:rPr>
          <w:i/>
          <w:iCs/>
        </w:rPr>
        <w:t xml:space="preserve">Everything remains 4 </w:t>
      </w:r>
      <w:r w:rsidRPr="001814D2">
        <w:t>2020, archival pigment inkjet print, purchased with funds provided by the Photography Collection Benefactors 2021</w:t>
      </w:r>
    </w:p>
    <w:p w14:paraId="1F688420" w14:textId="77777777" w:rsidR="009103CC" w:rsidRPr="001814D2" w:rsidRDefault="009103CC" w:rsidP="009103CC">
      <w:pPr>
        <w:pStyle w:val="Listitemasbody"/>
      </w:pPr>
      <w:r w:rsidRPr="001814D2">
        <w:t xml:space="preserve">Florence Rodway (Australia 1881–1971) </w:t>
      </w:r>
      <w:r w:rsidRPr="001814D2">
        <w:rPr>
          <w:i/>
          <w:iCs/>
        </w:rPr>
        <w:t>Stella Rodway</w:t>
      </w:r>
      <w:r w:rsidRPr="001814D2">
        <w:t>, watercolour on ivory, purchased with funds provided by the Australian Art Collection Benefactors 2021</w:t>
      </w:r>
    </w:p>
    <w:p w14:paraId="07A189F5" w14:textId="77777777" w:rsidR="009103CC" w:rsidRPr="001814D2" w:rsidRDefault="009103CC" w:rsidP="009103CC">
      <w:pPr>
        <w:pStyle w:val="Listitemasbody"/>
      </w:pPr>
      <w:r w:rsidRPr="001814D2">
        <w:t xml:space="preserve">Shireen Taweel (Australia b1990) </w:t>
      </w:r>
      <w:r w:rsidRPr="001814D2">
        <w:rPr>
          <w:i/>
          <w:iCs/>
        </w:rPr>
        <w:t xml:space="preserve">tracing transcendence </w:t>
      </w:r>
      <w:r w:rsidRPr="001814D2">
        <w:t>2018–21, hand-pierced copper, sound installation, purchased with funds provided by the Contemporary Collection Benefactors 2021</w:t>
      </w:r>
    </w:p>
    <w:p w14:paraId="5B3636AC" w14:textId="77777777" w:rsidR="009103CC" w:rsidRPr="001814D2" w:rsidRDefault="009103CC" w:rsidP="009103CC">
      <w:pPr>
        <w:pStyle w:val="Listitemasbody"/>
      </w:pPr>
      <w:r w:rsidRPr="001814D2">
        <w:t xml:space="preserve">Guan Wei (China/Australia b1957), three ceramics from the series </w:t>
      </w:r>
      <w:r w:rsidRPr="001814D2">
        <w:rPr>
          <w:i/>
          <w:iCs/>
        </w:rPr>
        <w:t xml:space="preserve">Return to the origin </w:t>
      </w:r>
      <w:r w:rsidRPr="001814D2">
        <w:t xml:space="preserve">2014: </w:t>
      </w:r>
      <w:r w:rsidRPr="001814D2">
        <w:rPr>
          <w:i/>
          <w:iCs/>
        </w:rPr>
        <w:t xml:space="preserve">Return to the origin, no 7 </w:t>
      </w:r>
      <w:r w:rsidRPr="001814D2">
        <w:t xml:space="preserve">2014, porcelain; </w:t>
      </w:r>
      <w:r w:rsidRPr="001814D2">
        <w:rPr>
          <w:i/>
          <w:iCs/>
        </w:rPr>
        <w:t xml:space="preserve">Return to the origin no 3 </w:t>
      </w:r>
      <w:r w:rsidRPr="001814D2">
        <w:t xml:space="preserve">2014, porcelain; </w:t>
      </w:r>
      <w:r w:rsidRPr="001814D2">
        <w:rPr>
          <w:i/>
          <w:iCs/>
        </w:rPr>
        <w:t xml:space="preserve">Return to the origin no 2 </w:t>
      </w:r>
      <w:r w:rsidRPr="001814D2">
        <w:t>2014, porcelain, purchased with funds provided by the Mollie Douglas Bequest and Silas Suen 2020</w:t>
      </w:r>
    </w:p>
    <w:p w14:paraId="49DC46F1" w14:textId="77777777" w:rsidR="009103CC" w:rsidRPr="001814D2" w:rsidRDefault="009103CC" w:rsidP="009103CC">
      <w:pPr>
        <w:pStyle w:val="ARbody"/>
      </w:pPr>
      <w:r w:rsidRPr="001814D2">
        <w:t>Subtotal: 134 works</w:t>
      </w:r>
    </w:p>
    <w:p w14:paraId="229A58F4" w14:textId="77777777" w:rsidR="009103CC" w:rsidRPr="001814D2" w:rsidRDefault="009103CC" w:rsidP="009103CC">
      <w:pPr>
        <w:pStyle w:val="ARheading5"/>
      </w:pPr>
      <w:r w:rsidRPr="001814D2">
        <w:t>Aboriginal and Torres Strait Islander art</w:t>
      </w:r>
    </w:p>
    <w:p w14:paraId="16535479" w14:textId="77777777" w:rsidR="009103CC" w:rsidRPr="001814D2" w:rsidRDefault="009103CC" w:rsidP="009103CC">
      <w:pPr>
        <w:pStyle w:val="Listitemasbody"/>
      </w:pPr>
      <w:r w:rsidRPr="001814D2">
        <w:t xml:space="preserve">Leah Brady (Australia b1962) </w:t>
      </w:r>
      <w:r w:rsidRPr="001814D2">
        <w:rPr>
          <w:i/>
          <w:iCs/>
        </w:rPr>
        <w:t xml:space="preserve">Piltarti tjukurpa </w:t>
      </w:r>
      <w:r w:rsidRPr="001814D2">
        <w:t>2020, acrylic on linen, Roberts Family Acquisition 2020</w:t>
      </w:r>
    </w:p>
    <w:p w14:paraId="15DC528B" w14:textId="77777777" w:rsidR="009103CC" w:rsidRPr="001814D2" w:rsidRDefault="009103CC" w:rsidP="009103CC">
      <w:pPr>
        <w:pStyle w:val="Listitemasbody"/>
      </w:pPr>
      <w:r w:rsidRPr="001814D2">
        <w:t xml:space="preserve">Nyunmiti Burton (Australia b1964) </w:t>
      </w:r>
      <w:r w:rsidRPr="001814D2">
        <w:rPr>
          <w:i/>
          <w:iCs/>
        </w:rPr>
        <w:t xml:space="preserve">Seven Sisters </w:t>
      </w:r>
      <w:r w:rsidRPr="001814D2">
        <w:t>2020, acrylic on linen, Roberts Family Acquisition 2020</w:t>
      </w:r>
    </w:p>
    <w:p w14:paraId="405754E5" w14:textId="77777777" w:rsidR="009103CC" w:rsidRPr="001814D2" w:rsidRDefault="009103CC" w:rsidP="009103CC">
      <w:pPr>
        <w:pStyle w:val="Listitemasbody"/>
      </w:pPr>
      <w:r w:rsidRPr="001814D2">
        <w:t xml:space="preserve">Charlene Carrington (Australia b1979) </w:t>
      </w:r>
      <w:r w:rsidRPr="001814D2">
        <w:rPr>
          <w:i/>
          <w:iCs/>
        </w:rPr>
        <w:t xml:space="preserve">My dad, Churchill Cann </w:t>
      </w:r>
      <w:r w:rsidRPr="001814D2">
        <w:t>2020, natural ochre, pigment and PVA fixative on linen, purchased with funds provided by the Aboriginal Art Collection Benefactors 2020</w:t>
      </w:r>
    </w:p>
    <w:p w14:paraId="7160AA15" w14:textId="77777777" w:rsidR="009103CC" w:rsidRPr="001814D2" w:rsidRDefault="009103CC" w:rsidP="009103CC">
      <w:pPr>
        <w:pStyle w:val="Listitemasbody"/>
      </w:pPr>
      <w:r w:rsidRPr="001814D2">
        <w:t xml:space="preserve">Joe Dhamanydji (Australia b1960) </w:t>
      </w:r>
      <w:r w:rsidRPr="001814D2">
        <w:rPr>
          <w:i/>
          <w:iCs/>
        </w:rPr>
        <w:t xml:space="preserve">Balanda crown ga Yolngu crown – Birrkuḏa Galinyin </w:t>
      </w:r>
      <w:r w:rsidRPr="001814D2">
        <w:t>2020, natural pigments on bark, purchased with funds provided by the Wendy Baron Bequest 2020</w:t>
      </w:r>
    </w:p>
    <w:p w14:paraId="2469E01E" w14:textId="77777777" w:rsidR="009103CC" w:rsidRPr="001814D2" w:rsidRDefault="009103CC" w:rsidP="009103CC">
      <w:pPr>
        <w:pStyle w:val="Listitemasbody"/>
      </w:pPr>
      <w:r w:rsidRPr="001814D2">
        <w:lastRenderedPageBreak/>
        <w:t xml:space="preserve">Helen Ganalmirriwuy (Australia b1955), one sculpture and two weavings: </w:t>
      </w:r>
      <w:r w:rsidRPr="001814D2">
        <w:rPr>
          <w:i/>
          <w:iCs/>
        </w:rPr>
        <w:t xml:space="preserve">Djirriḏiḏi (Garrawurra body paint) </w:t>
      </w:r>
      <w:r w:rsidRPr="001814D2">
        <w:t xml:space="preserve">2020, natural pigment and fixative on wood; </w:t>
      </w:r>
      <w:r w:rsidRPr="001814D2">
        <w:rPr>
          <w:i/>
          <w:iCs/>
        </w:rPr>
        <w:t xml:space="preserve">Mol mindirr (black conical basket) </w:t>
      </w:r>
      <w:r w:rsidRPr="001814D2">
        <w:t xml:space="preserve">2020, pandanus and dyes; </w:t>
      </w:r>
      <w:r w:rsidRPr="001814D2">
        <w:rPr>
          <w:i/>
          <w:iCs/>
        </w:rPr>
        <w:t xml:space="preserve">Mol mindirr (black conical basket) </w:t>
      </w:r>
      <w:r w:rsidRPr="001814D2">
        <w:t>2020, pandanus and dyes, purchased with funds provided by the Aboriginal Art Collection Benefactors 2021</w:t>
      </w:r>
    </w:p>
    <w:p w14:paraId="0CC79560" w14:textId="77777777" w:rsidR="009103CC" w:rsidRPr="001814D2" w:rsidRDefault="009103CC" w:rsidP="009103CC">
      <w:pPr>
        <w:pStyle w:val="Listitemasbody"/>
      </w:pPr>
      <w:r w:rsidRPr="001814D2">
        <w:t xml:space="preserve">Judith Inkamala (Australia b1948) </w:t>
      </w:r>
      <w:r w:rsidRPr="001814D2">
        <w:rPr>
          <w:i/>
          <w:iCs/>
        </w:rPr>
        <w:t xml:space="preserve">Ura Kngarra Mpintjama (A Big Fire is Coming) </w:t>
      </w:r>
      <w:r w:rsidRPr="001814D2">
        <w:t>2020, terracotta and underglazes, purchased with funds provided by the Mollie Douglas Bequest 2020</w:t>
      </w:r>
    </w:p>
    <w:p w14:paraId="5FBA395F" w14:textId="77777777" w:rsidR="009103CC" w:rsidRPr="001814D2" w:rsidRDefault="009103CC" w:rsidP="009103CC">
      <w:pPr>
        <w:pStyle w:val="Listitemasbody"/>
      </w:pPr>
      <w:r w:rsidRPr="001814D2">
        <w:t xml:space="preserve">Gail Mabo (Australia, b1965) </w:t>
      </w:r>
      <w:r w:rsidRPr="001814D2">
        <w:rPr>
          <w:i/>
          <w:iCs/>
        </w:rPr>
        <w:t xml:space="preserve">Tagai </w:t>
      </w:r>
      <w:r w:rsidRPr="001814D2">
        <w:t>2020, bamboo, cotton, shellac and plastic, purchased with funds provided by Vicki Olsson 2020</w:t>
      </w:r>
    </w:p>
    <w:p w14:paraId="0637E5E1" w14:textId="77777777" w:rsidR="009103CC" w:rsidRPr="001814D2" w:rsidRDefault="009103CC" w:rsidP="009103CC">
      <w:pPr>
        <w:pStyle w:val="Listitemasbody"/>
      </w:pPr>
      <w:r w:rsidRPr="001814D2">
        <w:t xml:space="preserve">Betty Muffler (Australia b1944) and Maringka Burton (Australia b1950) </w:t>
      </w:r>
      <w:r w:rsidRPr="001814D2">
        <w:rPr>
          <w:i/>
          <w:iCs/>
        </w:rPr>
        <w:t xml:space="preserve">Ngangkari Ngura (Healing Country) </w:t>
      </w:r>
      <w:r w:rsidRPr="001814D2">
        <w:t>2020, acrylic on linen, purchased with funds provided by the Aboriginal Art Collection Benefactors and Atelier 2021</w:t>
      </w:r>
    </w:p>
    <w:p w14:paraId="297A9F96" w14:textId="77777777" w:rsidR="009103CC" w:rsidRPr="001814D2" w:rsidRDefault="009103CC" w:rsidP="009103CC">
      <w:pPr>
        <w:pStyle w:val="Listitemasbody"/>
      </w:pPr>
      <w:r w:rsidRPr="001814D2">
        <w:t xml:space="preserve">Guykuḏa Munuŋgurr (Australia b1966), two sculptures: </w:t>
      </w:r>
      <w:r w:rsidRPr="001814D2">
        <w:rPr>
          <w:i/>
          <w:iCs/>
        </w:rPr>
        <w:t xml:space="preserve">Garatha </w:t>
      </w:r>
      <w:r w:rsidRPr="001814D2">
        <w:t xml:space="preserve">2016, natural pigment and PVA fixative on Beach Hibiscus (Hibiscus tiliaceus); </w:t>
      </w:r>
      <w:r w:rsidRPr="001814D2">
        <w:rPr>
          <w:i/>
          <w:iCs/>
        </w:rPr>
        <w:t xml:space="preserve">Merman </w:t>
      </w:r>
      <w:r w:rsidRPr="001814D2">
        <w:t>2016, natural pigments, shells, shark vertebra and kurrajong bark on wood, purchased with funds provided by the Aboriginal Art Collection Benefactors 2020</w:t>
      </w:r>
    </w:p>
    <w:p w14:paraId="604915D5" w14:textId="77777777" w:rsidR="009103CC" w:rsidRPr="001814D2" w:rsidRDefault="009103CC" w:rsidP="009103CC">
      <w:pPr>
        <w:pStyle w:val="Listitemasbody"/>
      </w:pPr>
      <w:r w:rsidRPr="001814D2">
        <w:t xml:space="preserve">Marrnyula Munuŋgurr (Australia b1964) </w:t>
      </w:r>
      <w:r w:rsidRPr="001814D2">
        <w:rPr>
          <w:i/>
          <w:iCs/>
        </w:rPr>
        <w:t xml:space="preserve">Djapu Miny’tji </w:t>
      </w:r>
      <w:r w:rsidRPr="001814D2">
        <w:t>2020, natural pigment and sand on bark, Mollie Gowing Acquisition Fund for Contemporary Aboriginal Art 2020</w:t>
      </w:r>
    </w:p>
    <w:p w14:paraId="6ED76C22" w14:textId="77777777" w:rsidR="009103CC" w:rsidRPr="001814D2" w:rsidRDefault="009103CC" w:rsidP="009103CC">
      <w:pPr>
        <w:pStyle w:val="Listitemasbody"/>
      </w:pPr>
      <w:r w:rsidRPr="001814D2">
        <w:t xml:space="preserve">Paul Namarinjmak Nabulumo (Australia b1971) </w:t>
      </w:r>
      <w:r w:rsidRPr="001814D2">
        <w:rPr>
          <w:i/>
          <w:iCs/>
        </w:rPr>
        <w:t xml:space="preserve">Ngalyod at Kubumi </w:t>
      </w:r>
      <w:r w:rsidRPr="001814D2">
        <w:t>2020, natural pigments and PVA fixative on bark (Eucalyptus tetradonta), Roberts Family Acquisition 2020</w:t>
      </w:r>
    </w:p>
    <w:p w14:paraId="595C59CC" w14:textId="77777777" w:rsidR="009103CC" w:rsidRPr="001814D2" w:rsidRDefault="009103CC" w:rsidP="009103CC">
      <w:pPr>
        <w:pStyle w:val="Listitemasbody"/>
      </w:pPr>
      <w:r w:rsidRPr="001814D2">
        <w:t xml:space="preserve">Vincent Namatjira (Australia b1983) </w:t>
      </w:r>
      <w:r w:rsidRPr="001814D2">
        <w:rPr>
          <w:i/>
          <w:iCs/>
        </w:rPr>
        <w:t xml:space="preserve">Stand strong for who you are </w:t>
      </w:r>
      <w:r w:rsidRPr="001814D2">
        <w:t>2020, acrylic on linen, Mollie Gowing Acquisition Fund for Contemporary Aboriginal Art 2020</w:t>
      </w:r>
    </w:p>
    <w:p w14:paraId="46EDD448" w14:textId="77777777" w:rsidR="009103CC" w:rsidRPr="001814D2" w:rsidRDefault="009103CC" w:rsidP="009103CC">
      <w:pPr>
        <w:pStyle w:val="Listitemasbody"/>
      </w:pPr>
      <w:r w:rsidRPr="001814D2">
        <w:t xml:space="preserve">Rona Panangka Rubuntja (Australia b1970) </w:t>
      </w:r>
      <w:r w:rsidRPr="001814D2">
        <w:rPr>
          <w:i/>
          <w:iCs/>
        </w:rPr>
        <w:t xml:space="preserve">Bushfires </w:t>
      </w:r>
      <w:r w:rsidRPr="001814D2">
        <w:t>2020, underglazes on terracotta, purchased with funds provided by the Mollie Douglas Bequest 2020</w:t>
      </w:r>
    </w:p>
    <w:p w14:paraId="2CF59A96" w14:textId="77777777" w:rsidR="009103CC" w:rsidRPr="001814D2" w:rsidRDefault="009103CC" w:rsidP="009103CC">
      <w:pPr>
        <w:pStyle w:val="Listitemasbody"/>
      </w:pPr>
      <w:r w:rsidRPr="001814D2">
        <w:t xml:space="preserve">Thea Anamara Perkins (Australia b1992) </w:t>
      </w:r>
      <w:r w:rsidRPr="001814D2">
        <w:rPr>
          <w:i/>
          <w:iCs/>
        </w:rPr>
        <w:t xml:space="preserve">Poppy Chicka </w:t>
      </w:r>
      <w:r w:rsidRPr="001814D2">
        <w:t>2020, acrylic on clayboard, purchased with funds provided by the Aboriginal Art Collection Benefactors 2020</w:t>
      </w:r>
    </w:p>
    <w:p w14:paraId="65382A75" w14:textId="77777777" w:rsidR="009103CC" w:rsidRPr="001814D2" w:rsidRDefault="009103CC" w:rsidP="009103CC">
      <w:pPr>
        <w:pStyle w:val="Listitemasbody"/>
      </w:pPr>
      <w:r w:rsidRPr="001814D2">
        <w:t xml:space="preserve">Margaret Rarru (Australia b1940), two weavings: </w:t>
      </w:r>
      <w:r w:rsidRPr="001814D2">
        <w:rPr>
          <w:i/>
          <w:iCs/>
        </w:rPr>
        <w:t xml:space="preserve">Garrawurra mindirr </w:t>
      </w:r>
      <w:r w:rsidRPr="001814D2">
        <w:t xml:space="preserve">2020, natural dyes on pandanus; </w:t>
      </w:r>
      <w:r w:rsidRPr="001814D2">
        <w:rPr>
          <w:i/>
          <w:iCs/>
        </w:rPr>
        <w:t xml:space="preserve">Djirriḏiḏi giwiḻirr (Garrawurra conical basket) </w:t>
      </w:r>
      <w:r w:rsidRPr="001814D2">
        <w:t>2020, pandanus and dyes, purchased with funds provided by the Aboriginal Art Collection Benefactors 2021</w:t>
      </w:r>
    </w:p>
    <w:p w14:paraId="36C1ACA9" w14:textId="77777777" w:rsidR="009103CC" w:rsidRPr="001814D2" w:rsidRDefault="009103CC" w:rsidP="009103CC">
      <w:pPr>
        <w:pStyle w:val="Listitemasbody"/>
      </w:pPr>
      <w:r w:rsidRPr="001814D2">
        <w:t xml:space="preserve">Brian Robinson (Australia b1973) </w:t>
      </w:r>
      <w:r w:rsidRPr="001814D2">
        <w:rPr>
          <w:i/>
          <w:iCs/>
        </w:rPr>
        <w:t xml:space="preserve">Moving with Rhythm of the Stars </w:t>
      </w:r>
      <w:r w:rsidRPr="001814D2">
        <w:t>2017, linocut, purchased with funds provided by the Aboriginal Art Collection Benefactors 2020</w:t>
      </w:r>
    </w:p>
    <w:p w14:paraId="3F09A749" w14:textId="77777777" w:rsidR="009103CC" w:rsidRPr="001814D2" w:rsidRDefault="009103CC" w:rsidP="009103CC">
      <w:pPr>
        <w:pStyle w:val="Listitemasbody"/>
      </w:pPr>
      <w:r w:rsidRPr="001814D2">
        <w:lastRenderedPageBreak/>
        <w:t xml:space="preserve">Ben Galmidle Ward (Australia b1949) </w:t>
      </w:r>
      <w:r w:rsidRPr="001814D2">
        <w:rPr>
          <w:i/>
          <w:iCs/>
        </w:rPr>
        <w:t xml:space="preserve">Ngunulum – Cockatoo Springs </w:t>
      </w:r>
      <w:r w:rsidRPr="001814D2">
        <w:t xml:space="preserve">2018, natural pigment on canvas, purchased with funds raised from the 2019 Foundation trip to the Kimberley 2020Kaylene Whiskey (Australia b1976) </w:t>
      </w:r>
      <w:r w:rsidRPr="001814D2">
        <w:rPr>
          <w:i/>
          <w:iCs/>
        </w:rPr>
        <w:t xml:space="preserve">Dolly visits Indulkana </w:t>
      </w:r>
      <w:r w:rsidRPr="001814D2">
        <w:t>2020, acrylic on linen with plastic jewels, purchased with funds provided by the Aboriginal Art Collection Benefactors 2020</w:t>
      </w:r>
    </w:p>
    <w:p w14:paraId="706377D4" w14:textId="77777777" w:rsidR="009103CC" w:rsidRPr="001814D2" w:rsidRDefault="009103CC" w:rsidP="009103CC">
      <w:pPr>
        <w:pStyle w:val="Listitemasbody"/>
      </w:pPr>
      <w:r w:rsidRPr="001814D2">
        <w:t xml:space="preserve">Wally Wilfred (Australia b1958) </w:t>
      </w:r>
      <w:r w:rsidRPr="001814D2">
        <w:rPr>
          <w:i/>
          <w:iCs/>
        </w:rPr>
        <w:t xml:space="preserve">After the Rescue </w:t>
      </w:r>
      <w:r w:rsidRPr="001814D2">
        <w:t>2020, mixed media, purchased with funds provided by the Aboriginal Art Collection Benefactors 2021</w:t>
      </w:r>
    </w:p>
    <w:p w14:paraId="32F8F7D4" w14:textId="77777777" w:rsidR="009103CC" w:rsidRPr="001814D2" w:rsidRDefault="009103CC" w:rsidP="009103CC">
      <w:pPr>
        <w:pStyle w:val="ARbody"/>
      </w:pPr>
      <w:r w:rsidRPr="001814D2">
        <w:t>Subtotal: 23 works</w:t>
      </w:r>
    </w:p>
    <w:p w14:paraId="14484494" w14:textId="77777777" w:rsidR="009103CC" w:rsidRPr="001814D2" w:rsidRDefault="009103CC" w:rsidP="009103CC">
      <w:pPr>
        <w:pStyle w:val="ARheading5"/>
      </w:pPr>
      <w:r w:rsidRPr="001814D2">
        <w:t>Asian art</w:t>
      </w:r>
    </w:p>
    <w:p w14:paraId="337B9CF6" w14:textId="77777777" w:rsidR="009103CC" w:rsidRPr="001814D2" w:rsidRDefault="009103CC" w:rsidP="009103CC">
      <w:pPr>
        <w:pStyle w:val="Listitemasbody"/>
      </w:pPr>
      <w:r w:rsidRPr="001814D2">
        <w:t xml:space="preserve">attrib. Devidasa (India) </w:t>
      </w:r>
      <w:r w:rsidRPr="001814D2">
        <w:rPr>
          <w:i/>
          <w:iCs/>
        </w:rPr>
        <w:t xml:space="preserve">Narasimha killing Hiranyakasipu </w:t>
      </w:r>
      <w:r w:rsidRPr="001814D2">
        <w:t>c1690–1700, opaque pigments and gold on paper, purchased with funds provided by the Peter and Pam Binnie Bequest 2020</w:t>
      </w:r>
    </w:p>
    <w:p w14:paraId="28414FE0" w14:textId="77777777" w:rsidR="009103CC" w:rsidRPr="001814D2" w:rsidRDefault="009103CC" w:rsidP="009103CC">
      <w:pPr>
        <w:pStyle w:val="Listitemasbody"/>
      </w:pPr>
      <w:r w:rsidRPr="001814D2">
        <w:t xml:space="preserve">attrib. Sugae Ryo (Japan 1762–1852) </w:t>
      </w:r>
      <w:r w:rsidRPr="001814D2">
        <w:rPr>
          <w:i/>
          <w:iCs/>
        </w:rPr>
        <w:t xml:space="preserve">Map of Japan with the five provinces and seven circuits </w:t>
      </w:r>
      <w:r w:rsidRPr="001814D2">
        <w:t>c1830, single six-panel screen; pigments and silver leaf on paper, purchased with funds provided by the Asian Art Collection Benefactors 2021</w:t>
      </w:r>
    </w:p>
    <w:p w14:paraId="6CA21B4A" w14:textId="77777777" w:rsidR="009103CC" w:rsidRPr="001814D2" w:rsidRDefault="009103CC" w:rsidP="009103CC">
      <w:pPr>
        <w:pStyle w:val="Listitemasbody"/>
      </w:pPr>
      <w:r w:rsidRPr="001814D2">
        <w:t xml:space="preserve">Guan Wei (China/Australia b1957), three ceramics from the series </w:t>
      </w:r>
      <w:r w:rsidRPr="001814D2">
        <w:rPr>
          <w:i/>
          <w:iCs/>
        </w:rPr>
        <w:t xml:space="preserve">Return to the origin </w:t>
      </w:r>
      <w:r w:rsidRPr="001814D2">
        <w:t xml:space="preserve">2014: </w:t>
      </w:r>
      <w:r w:rsidRPr="001814D2">
        <w:rPr>
          <w:i/>
          <w:iCs/>
        </w:rPr>
        <w:t xml:space="preserve">Return to the origin, no 7 </w:t>
      </w:r>
      <w:r w:rsidRPr="001814D2">
        <w:t xml:space="preserve">2014, porcelain; </w:t>
      </w:r>
      <w:r w:rsidRPr="001814D2">
        <w:rPr>
          <w:i/>
          <w:iCs/>
        </w:rPr>
        <w:t xml:space="preserve">Return to the origin no 3 </w:t>
      </w:r>
      <w:r w:rsidRPr="001814D2">
        <w:t xml:space="preserve">2014, porcelain; </w:t>
      </w:r>
      <w:r w:rsidRPr="001814D2">
        <w:rPr>
          <w:i/>
          <w:iCs/>
        </w:rPr>
        <w:t xml:space="preserve">Return to the origin no 2 </w:t>
      </w:r>
      <w:r w:rsidRPr="001814D2">
        <w:t>2014, porcelain, purchased with funds provided by the Mollie Douglas Bequest and Silas Suen 2020</w:t>
      </w:r>
    </w:p>
    <w:p w14:paraId="21FDDAB3" w14:textId="77777777" w:rsidR="009103CC" w:rsidRPr="001814D2" w:rsidRDefault="009103CC" w:rsidP="009103CC">
      <w:pPr>
        <w:pStyle w:val="Listitemasbody"/>
      </w:pPr>
      <w:r w:rsidRPr="001814D2">
        <w:t xml:space="preserve">Mizuki Shigeru (Japan 1922–2015) </w:t>
      </w:r>
      <w:r w:rsidRPr="001814D2">
        <w:rPr>
          <w:i/>
          <w:iCs/>
        </w:rPr>
        <w:t xml:space="preserve">Collected work of Mizuki Shigeru </w:t>
      </w:r>
      <w:r w:rsidRPr="001814D2">
        <w:t>2003, crêpe-paper book (chirimen-bon), Yasuko Myer Bequest 2020</w:t>
      </w:r>
    </w:p>
    <w:p w14:paraId="22BBBF66" w14:textId="77777777" w:rsidR="009103CC" w:rsidRPr="001814D2" w:rsidRDefault="009103CC" w:rsidP="009103CC">
      <w:pPr>
        <w:pStyle w:val="Listitemasbody"/>
      </w:pPr>
      <w:r w:rsidRPr="001814D2">
        <w:t xml:space="preserve">Tsukioka Yoshitoshi (Japan 1839–92) </w:t>
      </w:r>
      <w:r w:rsidRPr="001814D2">
        <w:rPr>
          <w:i/>
          <w:iCs/>
        </w:rPr>
        <w:t xml:space="preserve">Picture of the country of New Holland South Wales (Shin Oranda Minami Waruresukoku no zu) </w:t>
      </w:r>
      <w:r w:rsidRPr="001814D2">
        <w:t>1866, woodblock print; ink and colour on paper, triptych, Yasuko Myer Bequest 2020</w:t>
      </w:r>
    </w:p>
    <w:p w14:paraId="17AA72A4" w14:textId="77777777" w:rsidR="009103CC" w:rsidRPr="001814D2" w:rsidRDefault="009103CC" w:rsidP="009103CC">
      <w:pPr>
        <w:pStyle w:val="ARbody"/>
      </w:pPr>
      <w:r w:rsidRPr="001814D2">
        <w:t>Subtotal: 7 works</w:t>
      </w:r>
    </w:p>
    <w:p w14:paraId="00FCB51B" w14:textId="77777777" w:rsidR="009103CC" w:rsidRPr="001814D2" w:rsidRDefault="009103CC" w:rsidP="009103CC">
      <w:pPr>
        <w:pStyle w:val="ARheading5"/>
      </w:pPr>
      <w:r w:rsidRPr="001814D2">
        <w:t>International art</w:t>
      </w:r>
    </w:p>
    <w:p w14:paraId="79BC70C5" w14:textId="77777777" w:rsidR="009103CC" w:rsidRPr="001814D2" w:rsidRDefault="009103CC" w:rsidP="009103CC">
      <w:pPr>
        <w:pStyle w:val="Listitemasbody"/>
      </w:pPr>
      <w:r w:rsidRPr="001814D2">
        <w:t xml:space="preserve">Igshaan Adams (South Africa b1982) </w:t>
      </w:r>
      <w:r w:rsidRPr="001814D2">
        <w:rPr>
          <w:i/>
          <w:iCs/>
        </w:rPr>
        <w:t xml:space="preserve">11B Larch weg (i) </w:t>
      </w:r>
      <w:r w:rsidRPr="001814D2">
        <w:t>2019, nylon rope, cotton twine, sea shells, stones, glass, wood, plastic beads, and fabric, purchased with funds provided by the Patricia Lucille Bernard Bequest 2021</w:t>
      </w:r>
    </w:p>
    <w:p w14:paraId="4D3F3CF6" w14:textId="77777777" w:rsidR="009103CC" w:rsidRPr="001814D2" w:rsidRDefault="009103CC" w:rsidP="009103CC">
      <w:pPr>
        <w:pStyle w:val="Listitemasbody"/>
      </w:pPr>
      <w:r w:rsidRPr="001814D2">
        <w:t xml:space="preserve">Igshaan Adams (South Africa b1982) </w:t>
      </w:r>
      <w:r w:rsidRPr="001814D2">
        <w:rPr>
          <w:i/>
          <w:iCs/>
        </w:rPr>
        <w:t xml:space="preserve">Threshold </w:t>
      </w:r>
      <w:r w:rsidRPr="001814D2">
        <w:t>2019, cotton thread, stones, glass and plastic beads and tea, purchased under the terms of the Florence Turner Blake Bequest and with the support of Geoff Ainsworth and Johanna Featherstone 2021</w:t>
      </w:r>
    </w:p>
    <w:p w14:paraId="0E129771" w14:textId="77777777" w:rsidR="009103CC" w:rsidRPr="001814D2" w:rsidRDefault="009103CC" w:rsidP="009103CC">
      <w:pPr>
        <w:pStyle w:val="Listitemasbody"/>
      </w:pPr>
      <w:r w:rsidRPr="001814D2">
        <w:lastRenderedPageBreak/>
        <w:t xml:space="preserve">Meriem Bennani (Morocco/United States of America) </w:t>
      </w:r>
      <w:r w:rsidRPr="001814D2">
        <w:rPr>
          <w:i/>
          <w:iCs/>
        </w:rPr>
        <w:t xml:space="preserve">Guided Tour of a Spill (CAPS Interlude) </w:t>
      </w:r>
      <w:r w:rsidRPr="001814D2">
        <w:t>2021, single channel digital video, colour, sound, purchased with funds provided by Danny Yap, Emily Fan and Harvey Yap 2021</w:t>
      </w:r>
    </w:p>
    <w:p w14:paraId="7A487701" w14:textId="77777777" w:rsidR="009103CC" w:rsidRPr="001814D2" w:rsidRDefault="009103CC" w:rsidP="009103CC">
      <w:pPr>
        <w:pStyle w:val="Listitemasbody"/>
      </w:pPr>
      <w:r w:rsidRPr="001814D2">
        <w:t xml:space="preserve">Matt Connors (United States of America b1973) </w:t>
      </w:r>
      <w:r w:rsidRPr="001814D2">
        <w:rPr>
          <w:i/>
          <w:iCs/>
        </w:rPr>
        <w:t xml:space="preserve">Radiator </w:t>
      </w:r>
      <w:r w:rsidRPr="001814D2">
        <w:t>2021, synthetic polymer paint and pencil on canvas, purchased with funds provided by Mark Hughes 2021</w:t>
      </w:r>
    </w:p>
    <w:p w14:paraId="490A60F7" w14:textId="77777777" w:rsidR="009103CC" w:rsidRPr="001814D2" w:rsidRDefault="009103CC" w:rsidP="009103CC">
      <w:pPr>
        <w:pStyle w:val="Listitemasbody"/>
      </w:pPr>
      <w:r w:rsidRPr="001814D2">
        <w:t xml:space="preserve">Préfète Duffaut (Haiti 1923–2012), two paintings: </w:t>
      </w:r>
      <w:r w:rsidRPr="001814D2">
        <w:rPr>
          <w:i/>
          <w:iCs/>
        </w:rPr>
        <w:t xml:space="preserve">Untitled #1194 </w:t>
      </w:r>
      <w:r w:rsidRPr="001814D2">
        <w:t xml:space="preserve">2011, oil on canvas; </w:t>
      </w:r>
      <w:r w:rsidRPr="001814D2">
        <w:rPr>
          <w:i/>
          <w:iCs/>
        </w:rPr>
        <w:t xml:space="preserve">Untitled #9981 </w:t>
      </w:r>
      <w:r w:rsidRPr="001814D2">
        <w:t>1999, oil on canvas, acquisition funded by the 2019 Foundation tour to France</w:t>
      </w:r>
    </w:p>
    <w:p w14:paraId="2E36CA75" w14:textId="77777777" w:rsidR="009103CC" w:rsidRPr="001814D2" w:rsidRDefault="009103CC" w:rsidP="009103CC">
      <w:pPr>
        <w:pStyle w:val="Listitemasbody"/>
      </w:pPr>
      <w:r w:rsidRPr="001814D2">
        <w:t xml:space="preserve">Préfète Duffaut (Haiti 1923–2012) </w:t>
      </w:r>
      <w:r w:rsidRPr="001814D2">
        <w:rPr>
          <w:i/>
          <w:iCs/>
        </w:rPr>
        <w:t xml:space="preserve">Untitled #100 </w:t>
      </w:r>
      <w:r w:rsidRPr="001814D2">
        <w:t>1972, oil on canvas, purchased with funds provided by Barbara Wilby and Christopher Joyce 2020</w:t>
      </w:r>
    </w:p>
    <w:p w14:paraId="0701C578" w14:textId="77777777" w:rsidR="009103CC" w:rsidRPr="001814D2" w:rsidRDefault="009103CC" w:rsidP="009103CC">
      <w:pPr>
        <w:pStyle w:val="Listitemasbody"/>
      </w:pPr>
      <w:r w:rsidRPr="001814D2">
        <w:t xml:space="preserve">Préfète Duffaut (Haiti 1923–2012) </w:t>
      </w:r>
      <w:r w:rsidRPr="001814D2">
        <w:rPr>
          <w:i/>
          <w:iCs/>
        </w:rPr>
        <w:t xml:space="preserve">Untitled #86 </w:t>
      </w:r>
      <w:r w:rsidRPr="001814D2">
        <w:t>1982, oil on canvas, purchased with funds provided by Penelope Seidler AM 2020</w:t>
      </w:r>
    </w:p>
    <w:p w14:paraId="6A0153B3" w14:textId="77777777" w:rsidR="009103CC" w:rsidRPr="001814D2" w:rsidRDefault="009103CC" w:rsidP="009103CC">
      <w:pPr>
        <w:pStyle w:val="Listitemasbody"/>
      </w:pPr>
      <w:r w:rsidRPr="001814D2">
        <w:t xml:space="preserve">et al. (New Zealand 1900s) </w:t>
      </w:r>
      <w:r w:rsidRPr="001814D2">
        <w:rPr>
          <w:i/>
          <w:iCs/>
        </w:rPr>
        <w:t xml:space="preserve">trans_cryption [update] </w:t>
      </w:r>
      <w:r w:rsidRPr="001814D2">
        <w:t>2011, two single channel digital audio, laptop, eight speakers, newspaper and printed posters to be added to steel frame cube with hardwood walls, metal trolley, three stools, forty-one metal trays, pink ball, laptop, super 8 film shown as single channel digital video, 16mm film shown as single channel digital video, gift of the artists, Michael Lett, Auckland, and Yuill/Crowley 2016 with additional funds provided by the Friends of New Zealand art 2020</w:t>
      </w:r>
    </w:p>
    <w:p w14:paraId="4FF4E254" w14:textId="77777777" w:rsidR="009103CC" w:rsidRPr="001814D2" w:rsidRDefault="009103CC" w:rsidP="009103CC">
      <w:pPr>
        <w:pStyle w:val="Listitemasbody"/>
      </w:pPr>
      <w:r w:rsidRPr="001814D2">
        <w:t xml:space="preserve">Lafortune Felix (Haiti 1933–2016), </w:t>
      </w:r>
      <w:r w:rsidRPr="001814D2">
        <w:rPr>
          <w:i/>
          <w:iCs/>
        </w:rPr>
        <w:t xml:space="preserve">Untitled #2302 </w:t>
      </w:r>
      <w:r w:rsidRPr="001814D2">
        <w:t>1983, oil on masonite, purchased with funds provided by the Key Foundation 2020</w:t>
      </w:r>
    </w:p>
    <w:p w14:paraId="009B845D" w14:textId="77777777" w:rsidR="009103CC" w:rsidRPr="001814D2" w:rsidRDefault="009103CC" w:rsidP="009103CC">
      <w:pPr>
        <w:pStyle w:val="Listitemasbody"/>
      </w:pPr>
      <w:r w:rsidRPr="001814D2">
        <w:t xml:space="preserve">Lafortune Felix (Haiti 1933–2016) </w:t>
      </w:r>
      <w:r w:rsidRPr="001814D2">
        <w:rPr>
          <w:i/>
          <w:iCs/>
        </w:rPr>
        <w:t xml:space="preserve">Untitled #25-3-96 </w:t>
      </w:r>
      <w:r w:rsidRPr="001814D2">
        <w:t>1984, oil on masonite, purchased with funds provided by Julia and Chris Wokes 2020</w:t>
      </w:r>
    </w:p>
    <w:p w14:paraId="6931A113" w14:textId="77777777" w:rsidR="009103CC" w:rsidRPr="001814D2" w:rsidRDefault="009103CC" w:rsidP="009103CC">
      <w:pPr>
        <w:pStyle w:val="Listitemasbody"/>
      </w:pPr>
      <w:r w:rsidRPr="001814D2">
        <w:t xml:space="preserve">Lafortune Felix (Haiti 1933–2016) </w:t>
      </w:r>
      <w:r w:rsidRPr="001814D2">
        <w:rPr>
          <w:i/>
          <w:iCs/>
        </w:rPr>
        <w:t xml:space="preserve">Untitled #2-3-96 </w:t>
      </w:r>
      <w:r w:rsidRPr="001814D2">
        <w:t>1982, oil on masonite, purchased with funds provided by William and Mary Sweeney 2020</w:t>
      </w:r>
    </w:p>
    <w:p w14:paraId="2FFD4613" w14:textId="77777777" w:rsidR="009103CC" w:rsidRPr="001814D2" w:rsidRDefault="009103CC" w:rsidP="009103CC">
      <w:pPr>
        <w:pStyle w:val="Listitemasbody"/>
      </w:pPr>
      <w:r w:rsidRPr="001814D2">
        <w:t xml:space="preserve">Lafortune Felix (Haiti 1933–2016) </w:t>
      </w:r>
      <w:r w:rsidRPr="001814D2">
        <w:rPr>
          <w:i/>
          <w:iCs/>
        </w:rPr>
        <w:t xml:space="preserve">Untitled #7-3-96 </w:t>
      </w:r>
      <w:r w:rsidRPr="001814D2">
        <w:t>1984, oil on masonite, purchased with funds provided by Karen and Bill Robinson 2020</w:t>
      </w:r>
    </w:p>
    <w:p w14:paraId="2276029F" w14:textId="77777777" w:rsidR="009103CC" w:rsidRPr="001814D2" w:rsidRDefault="009103CC" w:rsidP="009103CC">
      <w:pPr>
        <w:pStyle w:val="Listitemasbody"/>
      </w:pPr>
      <w:r w:rsidRPr="001814D2">
        <w:t xml:space="preserve">John Muafangejo (Angola/Namibia 1943–87), two prints: </w:t>
      </w:r>
      <w:r w:rsidRPr="001814D2">
        <w:rPr>
          <w:i/>
          <w:iCs/>
        </w:rPr>
        <w:t xml:space="preserve">An interview of Cape Town University in 1971 </w:t>
      </w:r>
      <w:r w:rsidRPr="001814D2">
        <w:t xml:space="preserve">1974, linocut on paper; </w:t>
      </w:r>
      <w:r w:rsidRPr="001814D2">
        <w:rPr>
          <w:i/>
          <w:iCs/>
        </w:rPr>
        <w:t xml:space="preserve">Zulu Land </w:t>
      </w:r>
      <w:r w:rsidRPr="001814D2">
        <w:t>1974, linocut on paper, purchased 2021</w:t>
      </w:r>
    </w:p>
    <w:p w14:paraId="244F5EB0" w14:textId="77777777" w:rsidR="009103CC" w:rsidRPr="001814D2" w:rsidRDefault="009103CC" w:rsidP="009103CC">
      <w:pPr>
        <w:pStyle w:val="Listitemasbody"/>
      </w:pPr>
      <w:r w:rsidRPr="001814D2">
        <w:t xml:space="preserve">Carrie Mae Weems (United States of America b1953) </w:t>
      </w:r>
      <w:r w:rsidRPr="001814D2">
        <w:rPr>
          <w:i/>
          <w:iCs/>
        </w:rPr>
        <w:t xml:space="preserve">Untitled (playing harmonica) </w:t>
      </w:r>
      <w:r w:rsidRPr="001814D2">
        <w:t>from the series</w:t>
      </w:r>
      <w:r w:rsidRPr="001814D2">
        <w:rPr>
          <w:i/>
          <w:iCs/>
        </w:rPr>
        <w:t xml:space="preserve"> Kitchen Table </w:t>
      </w:r>
      <w:r w:rsidRPr="001814D2">
        <w:t>1990–99, gelatin silver photograph, purchased with funds provided by The Russell Mills Foundation 2021</w:t>
      </w:r>
    </w:p>
    <w:p w14:paraId="13F04003" w14:textId="77777777" w:rsidR="009103CC" w:rsidRPr="001814D2" w:rsidRDefault="009103CC" w:rsidP="009103CC">
      <w:pPr>
        <w:pStyle w:val="ARbody"/>
      </w:pPr>
      <w:r w:rsidRPr="001814D2">
        <w:t>Subtotal: 16 works</w:t>
      </w:r>
    </w:p>
    <w:p w14:paraId="02D45DCE" w14:textId="77777777" w:rsidR="009103CC" w:rsidRPr="001814D2" w:rsidRDefault="009103CC" w:rsidP="009103CC">
      <w:pPr>
        <w:pStyle w:val="ARbody"/>
      </w:pPr>
      <w:r w:rsidRPr="001814D2">
        <w:lastRenderedPageBreak/>
        <w:t>Total all departments: 180 works</w:t>
      </w:r>
    </w:p>
    <w:p w14:paraId="281F497B" w14:textId="77777777" w:rsidR="009103CC" w:rsidRPr="001814D2" w:rsidRDefault="009103CC" w:rsidP="009103CC">
      <w:pPr>
        <w:pStyle w:val="ARheading4"/>
      </w:pPr>
      <w:r w:rsidRPr="001814D2">
        <w:t xml:space="preserve">Collection gifts </w:t>
      </w:r>
    </w:p>
    <w:p w14:paraId="5352BC84" w14:textId="77777777" w:rsidR="009103CC" w:rsidRPr="001814D2" w:rsidRDefault="009103CC" w:rsidP="009103CC">
      <w:pPr>
        <w:pStyle w:val="ARheading5"/>
      </w:pPr>
      <w:r w:rsidRPr="001814D2">
        <w:t>Australian art</w:t>
      </w:r>
    </w:p>
    <w:p w14:paraId="2816F3B7" w14:textId="77777777" w:rsidR="009103CC" w:rsidRPr="001814D2" w:rsidRDefault="009103CC" w:rsidP="009103CC">
      <w:pPr>
        <w:pStyle w:val="Listitemasbody"/>
        <w:rPr>
          <w:b/>
          <w:bCs/>
        </w:rPr>
      </w:pPr>
      <w:r w:rsidRPr="001814D2">
        <w:rPr>
          <w:b/>
          <w:bCs/>
        </w:rPr>
        <w:t xml:space="preserve">ANZ, recognising the significant contribution David Gonski AC made to the bank as Chairman between 2014–20: </w:t>
      </w:r>
      <w:r w:rsidRPr="001814D2">
        <w:t xml:space="preserve">Conrad Martens (England/Australia 1801–78) </w:t>
      </w:r>
      <w:r w:rsidRPr="001814D2">
        <w:rPr>
          <w:i/>
          <w:iCs/>
        </w:rPr>
        <w:t xml:space="preserve">View of Sydney Cove </w:t>
      </w:r>
      <w:r w:rsidRPr="001814D2">
        <w:t>1848, oil on canvas</w:t>
      </w:r>
    </w:p>
    <w:p w14:paraId="13906C34" w14:textId="77777777" w:rsidR="009103CC" w:rsidRPr="001814D2" w:rsidRDefault="009103CC" w:rsidP="009103CC">
      <w:pPr>
        <w:pStyle w:val="Listitemasbody"/>
      </w:pPr>
      <w:r w:rsidRPr="001814D2">
        <w:rPr>
          <w:b/>
          <w:bCs/>
        </w:rPr>
        <w:t xml:space="preserve">Martin Bell: </w:t>
      </w:r>
      <w:r w:rsidRPr="001814D2">
        <w:t xml:space="preserve">Martin Bell (Australia b1978) </w:t>
      </w:r>
      <w:r w:rsidRPr="001814D2">
        <w:rPr>
          <w:i/>
          <w:iCs/>
        </w:rPr>
        <w:t xml:space="preserve">Martin Son of the Universe, what me worry (working drawing) </w:t>
      </w:r>
      <w:r w:rsidRPr="001814D2">
        <w:t>2020, pencil, black ink, fibre-tipped pens, highlighter pens, stamp ink, blue masking tape</w:t>
      </w:r>
    </w:p>
    <w:p w14:paraId="2693CDA0" w14:textId="77777777" w:rsidR="009103CC" w:rsidRPr="001814D2" w:rsidRDefault="009103CC" w:rsidP="009103CC">
      <w:pPr>
        <w:pStyle w:val="Listitemasbody"/>
      </w:pPr>
      <w:r w:rsidRPr="001814D2">
        <w:rPr>
          <w:b/>
          <w:bCs/>
        </w:rPr>
        <w:t xml:space="preserve">Bill Bowness, donated through the Australian Government’s Cultural Gifts Program: </w:t>
      </w:r>
      <w:r w:rsidRPr="001814D2">
        <w:t>Jane Burton (Australia b1966), three photographs from the series</w:t>
      </w:r>
      <w:r w:rsidRPr="001814D2">
        <w:rPr>
          <w:i/>
          <w:iCs/>
        </w:rPr>
        <w:t xml:space="preserve"> It is Midnight, Dr._ _ </w:t>
      </w:r>
      <w:r w:rsidRPr="001814D2">
        <w:t xml:space="preserve">2016: </w:t>
      </w:r>
      <w:r w:rsidRPr="001814D2">
        <w:rPr>
          <w:i/>
          <w:iCs/>
        </w:rPr>
        <w:t xml:space="preserve">It is Midnight, Dr._ _, image 2 </w:t>
      </w:r>
      <w:r w:rsidRPr="001814D2">
        <w:t xml:space="preserve">2016, type C photograph; </w:t>
      </w:r>
      <w:r w:rsidRPr="001814D2">
        <w:rPr>
          <w:i/>
          <w:iCs/>
        </w:rPr>
        <w:t xml:space="preserve">It is Midnight, Dr._ _, image 9 </w:t>
      </w:r>
      <w:r w:rsidRPr="001814D2">
        <w:t xml:space="preserve">2016, type C photograph; </w:t>
      </w:r>
      <w:r w:rsidRPr="001814D2">
        <w:rPr>
          <w:i/>
          <w:iCs/>
        </w:rPr>
        <w:t xml:space="preserve">It is Midnight, Dr._ _, image 10 </w:t>
      </w:r>
      <w:r w:rsidRPr="001814D2">
        <w:t>2016, type C photograph</w:t>
      </w:r>
    </w:p>
    <w:p w14:paraId="0F443896" w14:textId="77777777" w:rsidR="009103CC" w:rsidRPr="001814D2" w:rsidRDefault="009103CC" w:rsidP="009103CC">
      <w:pPr>
        <w:pStyle w:val="Listitemasbody"/>
      </w:pPr>
      <w:r w:rsidRPr="001814D2">
        <w:rPr>
          <w:b/>
          <w:bCs/>
        </w:rPr>
        <w:t xml:space="preserve">Sally Gray, donated through the Australian Government’s Cultural Gifts Program: </w:t>
      </w:r>
      <w:r w:rsidRPr="001814D2">
        <w:t xml:space="preserve">David McDiarmid (Australia 1952–95) </w:t>
      </w:r>
      <w:r w:rsidRPr="001814D2">
        <w:rPr>
          <w:i/>
          <w:iCs/>
        </w:rPr>
        <w:t xml:space="preserve">My country </w:t>
      </w:r>
      <w:r w:rsidRPr="001814D2">
        <w:t>1977, colour litho offset postcard on lino on wood with faux aluminium strip</w:t>
      </w:r>
    </w:p>
    <w:p w14:paraId="473B9494" w14:textId="77777777" w:rsidR="009103CC" w:rsidRPr="001814D2" w:rsidRDefault="009103CC" w:rsidP="009103CC">
      <w:pPr>
        <w:pStyle w:val="Listitemasbody"/>
      </w:pPr>
      <w:r w:rsidRPr="001814D2">
        <w:rPr>
          <w:b/>
          <w:bCs/>
        </w:rPr>
        <w:t xml:space="preserve">Hall Best family in memory of Marion Hall Best, donated through the Australian Government’s Cultural Gifts Program: </w:t>
      </w:r>
      <w:r w:rsidRPr="001814D2">
        <w:t xml:space="preserve">Justin O’Brien (Australia/Italy 1917–96) </w:t>
      </w:r>
      <w:r w:rsidRPr="001814D2">
        <w:rPr>
          <w:i/>
          <w:iCs/>
        </w:rPr>
        <w:t xml:space="preserve">The Dormition of the Virgin </w:t>
      </w:r>
      <w:r w:rsidRPr="001814D2">
        <w:t>(1947), triptych: oil on canvas laid on hardboard</w:t>
      </w:r>
    </w:p>
    <w:p w14:paraId="53BFD38C" w14:textId="77777777" w:rsidR="009103CC" w:rsidRPr="001814D2" w:rsidRDefault="009103CC" w:rsidP="009103CC">
      <w:pPr>
        <w:pStyle w:val="Listitemasbody"/>
      </w:pPr>
      <w:r w:rsidRPr="001814D2">
        <w:rPr>
          <w:b/>
          <w:bCs/>
        </w:rPr>
        <w:t xml:space="preserve">Joanna Jenkins, donated through the Australian Government’s Cultural Gifts Program: </w:t>
      </w:r>
      <w:r w:rsidRPr="001814D2">
        <w:t xml:space="preserve">Julian Ashton (England/Australia 1851–1942) </w:t>
      </w:r>
      <w:r w:rsidRPr="001814D2">
        <w:rPr>
          <w:i/>
          <w:iCs/>
        </w:rPr>
        <w:t xml:space="preserve">Richard Buttong, Coolangatta </w:t>
      </w:r>
      <w:r w:rsidRPr="001814D2">
        <w:t>late 1890s, pencil, watercolour on paper</w:t>
      </w:r>
    </w:p>
    <w:p w14:paraId="01237D47" w14:textId="77777777" w:rsidR="009103CC" w:rsidRPr="001814D2" w:rsidRDefault="009103CC" w:rsidP="009103CC">
      <w:pPr>
        <w:pStyle w:val="Listitemasbody"/>
      </w:pPr>
      <w:r w:rsidRPr="001814D2">
        <w:rPr>
          <w:b/>
          <w:bCs/>
        </w:rPr>
        <w:t xml:space="preserve">Tim Klingender, donated through the Australian Government’s Cultural Gifts Program: </w:t>
      </w:r>
      <w:r w:rsidRPr="001814D2">
        <w:t xml:space="preserve">William Sidman (England/Australia 1847–1918) </w:t>
      </w:r>
      <w:r w:rsidRPr="001814D2">
        <w:rPr>
          <w:i/>
          <w:iCs/>
        </w:rPr>
        <w:t xml:space="preserve">NSW native implements </w:t>
      </w:r>
      <w:r w:rsidRPr="001814D2">
        <w:t>1892, etching on brown wove paper</w:t>
      </w:r>
    </w:p>
    <w:p w14:paraId="4989B0FC" w14:textId="77777777" w:rsidR="009103CC" w:rsidRPr="001814D2" w:rsidRDefault="009103CC" w:rsidP="009103CC">
      <w:pPr>
        <w:pStyle w:val="Listitemasbody"/>
      </w:pPr>
      <w:r w:rsidRPr="001814D2">
        <w:rPr>
          <w:b/>
          <w:bCs/>
        </w:rPr>
        <w:t xml:space="preserve">Toni Larkings in memory of Peter Larkings: </w:t>
      </w:r>
      <w:r w:rsidRPr="001814D2">
        <w:t xml:space="preserve">Sydney Long (Australia/England 1871–1955) </w:t>
      </w:r>
      <w:r w:rsidRPr="001814D2">
        <w:rPr>
          <w:i/>
          <w:iCs/>
        </w:rPr>
        <w:t xml:space="preserve">Street scene, Alexandria </w:t>
      </w:r>
      <w:r w:rsidRPr="001814D2">
        <w:t>1925, oil on canvas</w:t>
      </w:r>
    </w:p>
    <w:p w14:paraId="4257831F" w14:textId="77777777" w:rsidR="009103CC" w:rsidRPr="001814D2" w:rsidRDefault="009103CC" w:rsidP="009103CC">
      <w:pPr>
        <w:pStyle w:val="Listitemasbody"/>
      </w:pPr>
      <w:r w:rsidRPr="001814D2">
        <w:rPr>
          <w:b/>
          <w:bCs/>
        </w:rPr>
        <w:t xml:space="preserve">Tim Maguire, donated through the Australian Government’s Cultural Gifts Program: </w:t>
      </w:r>
      <w:r w:rsidRPr="001814D2">
        <w:t xml:space="preserve">Tim Maguire (England/Australia b1958) </w:t>
      </w:r>
      <w:r w:rsidRPr="001814D2">
        <w:rPr>
          <w:i/>
          <w:iCs/>
        </w:rPr>
        <w:t xml:space="preserve">Untitled 98U99A </w:t>
      </w:r>
      <w:r w:rsidRPr="001814D2">
        <w:t>1998, oil on polyester</w:t>
      </w:r>
    </w:p>
    <w:p w14:paraId="324E1DD2" w14:textId="77777777" w:rsidR="009103CC" w:rsidRPr="001814D2" w:rsidRDefault="009103CC" w:rsidP="009103CC">
      <w:pPr>
        <w:pStyle w:val="Listitemasbody"/>
      </w:pPr>
      <w:r w:rsidRPr="001814D2">
        <w:rPr>
          <w:b/>
          <w:bCs/>
        </w:rPr>
        <w:t xml:space="preserve">John McBride: </w:t>
      </w:r>
      <w:r w:rsidRPr="001814D2">
        <w:t xml:space="preserve">Christine Dean (Australia b1963) </w:t>
      </w:r>
      <w:r w:rsidRPr="001814D2">
        <w:rPr>
          <w:i/>
          <w:iCs/>
        </w:rPr>
        <w:t xml:space="preserve">Aspic realism (blue) </w:t>
      </w:r>
      <w:r w:rsidRPr="001814D2">
        <w:t>1996, enamel on stretched chenille bedspread</w:t>
      </w:r>
    </w:p>
    <w:p w14:paraId="79DAC7CB" w14:textId="77777777" w:rsidR="009103CC" w:rsidRPr="001814D2" w:rsidRDefault="009103CC" w:rsidP="009103CC">
      <w:pPr>
        <w:pStyle w:val="Listitemasbody"/>
      </w:pPr>
      <w:r w:rsidRPr="001814D2">
        <w:rPr>
          <w:b/>
          <w:bCs/>
        </w:rPr>
        <w:lastRenderedPageBreak/>
        <w:t xml:space="preserve">Peter Norton: </w:t>
      </w:r>
      <w:r w:rsidRPr="001814D2">
        <w:t xml:space="preserve">Ricky Swallow (Australia b1974) </w:t>
      </w:r>
      <w:r w:rsidRPr="001814D2">
        <w:rPr>
          <w:i/>
          <w:iCs/>
        </w:rPr>
        <w:t xml:space="preserve">Come together </w:t>
      </w:r>
      <w:r w:rsidRPr="001814D2">
        <w:t>2002, laminated jelutong (hardwood)</w:t>
      </w:r>
    </w:p>
    <w:p w14:paraId="592FB406" w14:textId="77777777" w:rsidR="009103CC" w:rsidRPr="001814D2" w:rsidRDefault="009103CC" w:rsidP="009103CC">
      <w:pPr>
        <w:pStyle w:val="Listitemasbody"/>
      </w:pPr>
      <w:r w:rsidRPr="001814D2">
        <w:rPr>
          <w:b/>
          <w:bCs/>
        </w:rPr>
        <w:t xml:space="preserve">Gene and Brian Sherman, donated through the Australian Government’s Cultural Gifts Program: </w:t>
      </w:r>
      <w:r w:rsidRPr="001814D2">
        <w:t xml:space="preserve">Yosl Bergner (Austria/Australia/Israel 1920–2017), seven prints: </w:t>
      </w:r>
      <w:r w:rsidRPr="001814D2">
        <w:rPr>
          <w:i/>
          <w:iCs/>
        </w:rPr>
        <w:t>Visitors</w:t>
      </w:r>
      <w:r w:rsidRPr="001814D2">
        <w:t xml:space="preserve">, etching with hand-colouring; </w:t>
      </w:r>
      <w:r w:rsidRPr="001814D2">
        <w:rPr>
          <w:i/>
          <w:iCs/>
        </w:rPr>
        <w:t xml:space="preserve">Standing on a chair with trumpet </w:t>
      </w:r>
      <w:r w:rsidRPr="001814D2">
        <w:t xml:space="preserve">1956, lithograph; </w:t>
      </w:r>
      <w:r w:rsidRPr="001814D2">
        <w:rPr>
          <w:i/>
          <w:iCs/>
        </w:rPr>
        <w:t xml:space="preserve">Figures in window with lamp </w:t>
      </w:r>
      <w:r w:rsidRPr="001814D2">
        <w:t xml:space="preserve">1955, lithograph; </w:t>
      </w:r>
      <w:r w:rsidRPr="001814D2">
        <w:rPr>
          <w:i/>
          <w:iCs/>
        </w:rPr>
        <w:t>The wooden heir</w:t>
      </w:r>
      <w:r w:rsidRPr="001814D2">
        <w:t xml:space="preserve">, lithograph with hand-colouring; </w:t>
      </w:r>
      <w:r w:rsidRPr="001814D2">
        <w:rPr>
          <w:i/>
          <w:iCs/>
        </w:rPr>
        <w:t xml:space="preserve">Untitled (Two figures) </w:t>
      </w:r>
      <w:r w:rsidRPr="001814D2">
        <w:t xml:space="preserve">1961, ink on paper; </w:t>
      </w:r>
      <w:r w:rsidRPr="001814D2">
        <w:rPr>
          <w:i/>
          <w:iCs/>
        </w:rPr>
        <w:t xml:space="preserve">Untitled (Dead chickens) </w:t>
      </w:r>
      <w:r w:rsidRPr="001814D2">
        <w:t xml:space="preserve">1961, ink on paper; </w:t>
      </w:r>
      <w:r w:rsidRPr="001814D2">
        <w:rPr>
          <w:i/>
          <w:iCs/>
        </w:rPr>
        <w:t xml:space="preserve">Walls </w:t>
      </w:r>
      <w:r w:rsidRPr="001814D2">
        <w:t xml:space="preserve">1960, twelve lithographs with hand-colouring. Daniel Crooks (New Zealand/Australia b1973), six multimedia: </w:t>
      </w:r>
      <w:r w:rsidRPr="001814D2">
        <w:rPr>
          <w:i/>
          <w:iCs/>
        </w:rPr>
        <w:t xml:space="preserve">Elevator no 4 </w:t>
      </w:r>
      <w:r w:rsidRPr="001814D2">
        <w:t xml:space="preserve">2003, single channel digital video, colour, sound; </w:t>
      </w:r>
      <w:r w:rsidRPr="001814D2">
        <w:rPr>
          <w:i/>
          <w:iCs/>
        </w:rPr>
        <w:t xml:space="preserve">On perspective and motion </w:t>
      </w:r>
      <w:r w:rsidRPr="001814D2">
        <w:t>–</w:t>
      </w:r>
      <w:r w:rsidRPr="001814D2">
        <w:rPr>
          <w:i/>
          <w:iCs/>
        </w:rPr>
        <w:t xml:space="preserve"> part 1 </w:t>
      </w:r>
      <w:r w:rsidRPr="001814D2">
        <w:t xml:space="preserve">2004, single channel digital video, colour, silent; </w:t>
      </w:r>
      <w:r w:rsidRPr="001814D2">
        <w:rPr>
          <w:i/>
          <w:iCs/>
        </w:rPr>
        <w:t xml:space="preserve">Pan no 3 (Rotation isn’t movement) </w:t>
      </w:r>
      <w:r w:rsidRPr="001814D2">
        <w:t xml:space="preserve">2007, single channel digital video, colour, sound; </w:t>
      </w:r>
      <w:r w:rsidRPr="001814D2">
        <w:rPr>
          <w:i/>
          <w:iCs/>
        </w:rPr>
        <w:t xml:space="preserve">Static no 10 (Falling as a means of rising) </w:t>
      </w:r>
      <w:r w:rsidRPr="001814D2">
        <w:t xml:space="preserve">2007, single channel digital video, colour, sound; </w:t>
      </w:r>
      <w:r w:rsidRPr="001814D2">
        <w:rPr>
          <w:i/>
          <w:iCs/>
        </w:rPr>
        <w:t xml:space="preserve">Train no 9 (Shinkansen) </w:t>
      </w:r>
      <w:r w:rsidRPr="001814D2">
        <w:t xml:space="preserve">2007, single channel digital video, colour, sound; </w:t>
      </w:r>
      <w:r w:rsidRPr="001814D2">
        <w:rPr>
          <w:i/>
          <w:iCs/>
        </w:rPr>
        <w:t xml:space="preserve">Pan no 2 (One step forward, one frame backwards) </w:t>
      </w:r>
      <w:r w:rsidRPr="001814D2">
        <w:t xml:space="preserve">2007, single channel digital video, colour, sound. Shaun Gladwell (Australia b1972), five multimedia: </w:t>
      </w:r>
      <w:r w:rsidRPr="001814D2">
        <w:rPr>
          <w:i/>
          <w:iCs/>
        </w:rPr>
        <w:t xml:space="preserve">AR15 field strip </w:t>
      </w:r>
      <w:r w:rsidRPr="001814D2">
        <w:t xml:space="preserve">2015, Samsung mobile phone and VR headgear; </w:t>
      </w:r>
      <w:r w:rsidRPr="001814D2">
        <w:rPr>
          <w:i/>
          <w:iCs/>
        </w:rPr>
        <w:t xml:space="preserve">Guide to recent architecture: Fountains (excerpt) </w:t>
      </w:r>
      <w:r w:rsidRPr="001814D2">
        <w:t xml:space="preserve">2000–07, single channel digital video, colour, sound. USB flashdrive embedded into a skateboard wheel in Pelican case; </w:t>
      </w:r>
      <w:r w:rsidRPr="001814D2">
        <w:rPr>
          <w:i/>
          <w:iCs/>
        </w:rPr>
        <w:t xml:space="preserve">A portrait of Nancy-Bird Walton </w:t>
      </w:r>
      <w:r w:rsidRPr="001814D2">
        <w:t xml:space="preserve">2015, single channel digital video, colour, silent; </w:t>
      </w:r>
      <w:r w:rsidRPr="001814D2">
        <w:rPr>
          <w:i/>
          <w:iCs/>
        </w:rPr>
        <w:t xml:space="preserve">Interceptor deluge sequence </w:t>
      </w:r>
      <w:r w:rsidRPr="001814D2">
        <w:t xml:space="preserve">2015, single channel digital video, colour, silent; </w:t>
      </w:r>
      <w:r w:rsidRPr="001814D2">
        <w:rPr>
          <w:i/>
          <w:iCs/>
        </w:rPr>
        <w:t xml:space="preserve">The sunlight school </w:t>
      </w:r>
      <w:r w:rsidRPr="001814D2">
        <w:t xml:space="preserve">2015, single channel digital video, colour, silent. Todd McMillan (Australia b1979) </w:t>
      </w:r>
      <w:r w:rsidRPr="001814D2">
        <w:rPr>
          <w:i/>
          <w:iCs/>
        </w:rPr>
        <w:t xml:space="preserve">By the sea </w:t>
      </w:r>
      <w:r w:rsidRPr="001814D2">
        <w:t xml:space="preserve">2004, 16mm transferred to single channel digital video, colour, silent. Todd McMillan (Australia b1979) and Andrew Liversidge (Australia b1979) </w:t>
      </w:r>
      <w:r w:rsidRPr="001814D2">
        <w:rPr>
          <w:i/>
          <w:iCs/>
        </w:rPr>
        <w:t xml:space="preserve">Study for drowning man </w:t>
      </w:r>
      <w:r w:rsidRPr="001814D2">
        <w:t xml:space="preserve">2005, single channel digital video, colour, silent. Nasim Nasr (Iran/Australia b1984) </w:t>
      </w:r>
      <w:r w:rsidRPr="001814D2">
        <w:rPr>
          <w:i/>
          <w:iCs/>
        </w:rPr>
        <w:t xml:space="preserve">Ashob (Unrest) </w:t>
      </w:r>
      <w:r w:rsidRPr="001814D2">
        <w:t xml:space="preserve">2015, single channel video, colour, dual channel sound. Stelarc (Cyprus/Australia b1946) </w:t>
      </w:r>
      <w:r w:rsidRPr="001814D2">
        <w:rPr>
          <w:i/>
          <w:iCs/>
        </w:rPr>
        <w:t xml:space="preserve">Prosthetic head </w:t>
      </w:r>
      <w:r w:rsidRPr="001814D2">
        <w:t>2003–05, single channel interactive software program, projection, colour, sound</w:t>
      </w:r>
    </w:p>
    <w:p w14:paraId="161A3EFF" w14:textId="77777777" w:rsidR="009103CC" w:rsidRPr="001814D2" w:rsidRDefault="009103CC" w:rsidP="009103CC">
      <w:pPr>
        <w:pStyle w:val="Listitemasbody"/>
      </w:pPr>
      <w:r w:rsidRPr="001814D2">
        <w:rPr>
          <w:b/>
          <w:bCs/>
        </w:rPr>
        <w:t xml:space="preserve">Bequest of Charles Warner: </w:t>
      </w:r>
      <w:r w:rsidRPr="001814D2">
        <w:t xml:space="preserve">E Warner (Australia 1879–1968), three prints from the series </w:t>
      </w:r>
      <w:r w:rsidRPr="001814D2">
        <w:rPr>
          <w:i/>
          <w:iCs/>
        </w:rPr>
        <w:t xml:space="preserve">Australia at work </w:t>
      </w:r>
      <w:r w:rsidRPr="001814D2">
        <w:t xml:space="preserve">1935: </w:t>
      </w:r>
      <w:r w:rsidRPr="001814D2">
        <w:rPr>
          <w:i/>
          <w:iCs/>
        </w:rPr>
        <w:t xml:space="preserve">Prospector </w:t>
      </w:r>
      <w:r w:rsidRPr="001814D2">
        <w:t xml:space="preserve">1935, etching printed in black ink from one plate on cream wove paper; </w:t>
      </w:r>
      <w:r w:rsidRPr="001814D2">
        <w:rPr>
          <w:i/>
          <w:iCs/>
        </w:rPr>
        <w:t xml:space="preserve">Pressing lucerne </w:t>
      </w:r>
      <w:r w:rsidRPr="001814D2">
        <w:t xml:space="preserve">1935, etching printed in black ink from one plate on cream wove paper; </w:t>
      </w:r>
      <w:r w:rsidRPr="001814D2">
        <w:rPr>
          <w:i/>
          <w:iCs/>
        </w:rPr>
        <w:t xml:space="preserve">The camel train </w:t>
      </w:r>
      <w:r w:rsidRPr="001814D2">
        <w:t>1935, etching printed in black ink from one plate on cream wove paper</w:t>
      </w:r>
    </w:p>
    <w:p w14:paraId="07EF76EF" w14:textId="77777777" w:rsidR="009103CC" w:rsidRPr="001814D2" w:rsidRDefault="009103CC" w:rsidP="009103CC">
      <w:pPr>
        <w:pStyle w:val="Listitemasbody"/>
      </w:pPr>
      <w:r w:rsidRPr="001814D2">
        <w:rPr>
          <w:b/>
          <w:bCs/>
        </w:rPr>
        <w:t xml:space="preserve">Ken Whisson, donated through the Australian Government’s Cultural Gifts Program: </w:t>
      </w:r>
      <w:r w:rsidRPr="001814D2">
        <w:t xml:space="preserve">Ken Whisson (Australia b1927), two paintings: </w:t>
      </w:r>
      <w:r w:rsidRPr="001814D2">
        <w:rPr>
          <w:i/>
          <w:iCs/>
        </w:rPr>
        <w:t xml:space="preserve">Fields, factories and gaols </w:t>
      </w:r>
      <w:r w:rsidRPr="001814D2">
        <w:t xml:space="preserve">07 November 1988, 27 December 1988, oil on canvas; </w:t>
      </w:r>
      <w:r w:rsidRPr="001814D2">
        <w:rPr>
          <w:i/>
          <w:iCs/>
        </w:rPr>
        <w:t xml:space="preserve">By train from Perugia to Terontola &amp; landscape lines no 1, 1987, 1988 </w:t>
      </w:r>
      <w:r w:rsidRPr="001814D2">
        <w:t>1988, oil on canvas</w:t>
      </w:r>
    </w:p>
    <w:p w14:paraId="08B26E71" w14:textId="77777777" w:rsidR="009103CC" w:rsidRPr="001814D2" w:rsidRDefault="009103CC" w:rsidP="009103CC">
      <w:pPr>
        <w:pStyle w:val="Listitemasbody"/>
      </w:pPr>
      <w:r w:rsidRPr="001814D2">
        <w:rPr>
          <w:b/>
          <w:bCs/>
        </w:rPr>
        <w:t xml:space="preserve">Justene Williams, donated through the Australian Government’s Cultural Gifts Program: </w:t>
      </w:r>
      <w:r w:rsidRPr="001814D2">
        <w:t xml:space="preserve">Justene Williams (Australia b1970) </w:t>
      </w:r>
      <w:r w:rsidRPr="001814D2">
        <w:rPr>
          <w:i/>
          <w:iCs/>
        </w:rPr>
        <w:t xml:space="preserve">Concord </w:t>
      </w:r>
      <w:r w:rsidRPr="001814D2">
        <w:t xml:space="preserve">2018, fibreglass mannequin, acrylic, </w:t>
      </w:r>
      <w:r w:rsidRPr="001814D2">
        <w:lastRenderedPageBreak/>
        <w:t>plastic VR mask, steel stand</w:t>
      </w:r>
    </w:p>
    <w:p w14:paraId="4043A0B2" w14:textId="77777777" w:rsidR="009103CC" w:rsidRPr="001814D2" w:rsidRDefault="009103CC" w:rsidP="009103CC">
      <w:pPr>
        <w:pStyle w:val="ARbody"/>
      </w:pPr>
      <w:r w:rsidRPr="001814D2">
        <w:t>Subtotal: 41 works</w:t>
      </w:r>
    </w:p>
    <w:p w14:paraId="7D78969D" w14:textId="77777777" w:rsidR="009103CC" w:rsidRPr="001814D2" w:rsidRDefault="009103CC" w:rsidP="009103CC">
      <w:pPr>
        <w:pStyle w:val="ARheading5"/>
      </w:pPr>
      <w:r w:rsidRPr="001814D2">
        <w:t>Aboriginal and Torres Strait Islander art</w:t>
      </w:r>
    </w:p>
    <w:p w14:paraId="16370FF5" w14:textId="77777777" w:rsidR="009103CC" w:rsidRPr="001814D2" w:rsidRDefault="009103CC" w:rsidP="009103CC">
      <w:pPr>
        <w:pStyle w:val="Listitemasbody"/>
      </w:pPr>
      <w:r w:rsidRPr="001814D2">
        <w:rPr>
          <w:b/>
          <w:bCs/>
        </w:rPr>
        <w:t xml:space="preserve">Gabriella Roy, donated through the Australian Government’s Cultural Gifts Program: </w:t>
      </w:r>
      <w:r w:rsidRPr="001814D2">
        <w:t xml:space="preserve">Elaine Russell (Australia 1941–2017) </w:t>
      </w:r>
      <w:r w:rsidRPr="001814D2">
        <w:rPr>
          <w:i/>
          <w:iCs/>
        </w:rPr>
        <w:t xml:space="preserve">Untitled </w:t>
      </w:r>
      <w:r w:rsidRPr="001814D2">
        <w:t>1994, synthetic polymer paint on paper</w:t>
      </w:r>
    </w:p>
    <w:p w14:paraId="596BD47D" w14:textId="77777777" w:rsidR="009103CC" w:rsidRPr="001814D2" w:rsidRDefault="009103CC" w:rsidP="009103CC">
      <w:pPr>
        <w:pStyle w:val="ARbody"/>
      </w:pPr>
      <w:r w:rsidRPr="001814D2">
        <w:t>Subtotal: 1 work</w:t>
      </w:r>
    </w:p>
    <w:p w14:paraId="18C398E1" w14:textId="77777777" w:rsidR="009103CC" w:rsidRPr="001814D2" w:rsidRDefault="009103CC" w:rsidP="009103CC">
      <w:pPr>
        <w:pStyle w:val="ARheading5"/>
      </w:pPr>
      <w:r w:rsidRPr="001814D2">
        <w:t>Asian art</w:t>
      </w:r>
    </w:p>
    <w:p w14:paraId="22CC9E92" w14:textId="77777777" w:rsidR="009103CC" w:rsidRPr="001814D2" w:rsidRDefault="009103CC" w:rsidP="009103CC">
      <w:pPr>
        <w:pStyle w:val="Listitemasbody"/>
      </w:pPr>
      <w:r w:rsidRPr="001814D2">
        <w:rPr>
          <w:b/>
          <w:bCs/>
        </w:rPr>
        <w:t xml:space="preserve">Akio and Ayami Eastburn Todo: </w:t>
      </w:r>
      <w:r w:rsidRPr="001814D2">
        <w:t xml:space="preserve">Mizuki Shigeru (Japan 1922–2015) </w:t>
      </w:r>
      <w:r w:rsidRPr="001814D2">
        <w:rPr>
          <w:i/>
          <w:iCs/>
        </w:rPr>
        <w:t xml:space="preserve">Crêpe-paper picture postcards by Mizuki Shigeru (Mizuki Shigeru chirimen e-hagaki) </w:t>
      </w:r>
      <w:r w:rsidRPr="001814D2">
        <w:t>2003, set of ten postcards in a case (</w:t>
      </w:r>
      <w:r w:rsidRPr="001814D2">
        <w:rPr>
          <w:i/>
          <w:iCs/>
        </w:rPr>
        <w:t>tatō</w:t>
      </w:r>
      <w:r w:rsidRPr="001814D2">
        <w:t>); crêpe-paper on card</w:t>
      </w:r>
    </w:p>
    <w:p w14:paraId="1EEC0EAC" w14:textId="77777777" w:rsidR="009103CC" w:rsidRPr="001814D2" w:rsidRDefault="009103CC" w:rsidP="009103CC">
      <w:pPr>
        <w:pStyle w:val="Listitemasbody"/>
      </w:pPr>
      <w:r w:rsidRPr="001814D2">
        <w:rPr>
          <w:b/>
          <w:bCs/>
        </w:rPr>
        <w:t xml:space="preserve">Giuseppe Eskenazi in memory of Edmund Capon: </w:t>
      </w:r>
      <w:r w:rsidRPr="001814D2">
        <w:t xml:space="preserve">Li Huayi (China b1948) </w:t>
      </w:r>
      <w:r w:rsidRPr="001814D2">
        <w:rPr>
          <w:i/>
          <w:iCs/>
        </w:rPr>
        <w:t xml:space="preserve">Dragon </w:t>
      </w:r>
      <w:r w:rsidRPr="001814D2">
        <w:t>2009–10, ink and colours on silk</w:t>
      </w:r>
    </w:p>
    <w:p w14:paraId="60FBA8D6" w14:textId="77777777" w:rsidR="009103CC" w:rsidRPr="001814D2" w:rsidRDefault="009103CC" w:rsidP="009103CC">
      <w:pPr>
        <w:pStyle w:val="Listitemasbody"/>
      </w:pPr>
      <w:r w:rsidRPr="001814D2">
        <w:rPr>
          <w:b/>
          <w:bCs/>
        </w:rPr>
        <w:t xml:space="preserve">Lesley Kehoe: </w:t>
      </w:r>
      <w:r w:rsidRPr="001814D2">
        <w:t xml:space="preserve">Koji Hatakeyama (Japan b1956), two metalwork: </w:t>
      </w:r>
      <w:r w:rsidRPr="001814D2">
        <w:rPr>
          <w:i/>
          <w:iCs/>
        </w:rPr>
        <w:t xml:space="preserve">Six faces </w:t>
      </w:r>
      <w:r w:rsidRPr="001814D2">
        <w:t xml:space="preserve">2015, cast bronze; </w:t>
      </w:r>
      <w:r w:rsidRPr="001814D2">
        <w:rPr>
          <w:i/>
          <w:iCs/>
        </w:rPr>
        <w:t xml:space="preserve">Eight faces </w:t>
      </w:r>
      <w:r w:rsidRPr="001814D2">
        <w:t>2015, cast bronze</w:t>
      </w:r>
    </w:p>
    <w:p w14:paraId="3188F71B" w14:textId="77777777" w:rsidR="009103CC" w:rsidRPr="001814D2" w:rsidRDefault="009103CC" w:rsidP="009103CC">
      <w:pPr>
        <w:pStyle w:val="Listitemasbody"/>
      </w:pPr>
      <w:r w:rsidRPr="001814D2">
        <w:rPr>
          <w:b/>
          <w:bCs/>
        </w:rPr>
        <w:t xml:space="preserve">Ross Forman: </w:t>
      </w:r>
      <w:r w:rsidRPr="001814D2">
        <w:t xml:space="preserve">Four textiles: </w:t>
      </w:r>
      <w:r w:rsidRPr="001814D2">
        <w:rPr>
          <w:i/>
          <w:iCs/>
        </w:rPr>
        <w:t xml:space="preserve">Skirt cloth (sampot hol) </w:t>
      </w:r>
      <w:r w:rsidRPr="001814D2">
        <w:t>1900–50, silk, natural dyes; weft resist dyeing (</w:t>
      </w:r>
      <w:r w:rsidRPr="001814D2">
        <w:rPr>
          <w:i/>
          <w:iCs/>
        </w:rPr>
        <w:t>hol</w:t>
      </w:r>
      <w:r w:rsidRPr="001814D2">
        <w:t xml:space="preserve">), twill weaving; </w:t>
      </w:r>
      <w:r w:rsidRPr="001814D2">
        <w:rPr>
          <w:i/>
          <w:iCs/>
        </w:rPr>
        <w:t xml:space="preserve">Skirt cloth (sampot hol) </w:t>
      </w:r>
      <w:r w:rsidRPr="001814D2">
        <w:t>1900–50, silk, natural dyes; weft resist dyeing (</w:t>
      </w:r>
      <w:r w:rsidRPr="001814D2">
        <w:rPr>
          <w:i/>
          <w:iCs/>
        </w:rPr>
        <w:t>hol</w:t>
      </w:r>
      <w:r w:rsidRPr="001814D2">
        <w:t xml:space="preserve">), twill weaving; </w:t>
      </w:r>
      <w:r w:rsidRPr="001814D2">
        <w:rPr>
          <w:i/>
          <w:iCs/>
        </w:rPr>
        <w:t xml:space="preserve">Skirt cloth (sampot hol) </w:t>
      </w:r>
      <w:r w:rsidRPr="001814D2">
        <w:t>1900–50, silk, natural dyes; weft resist dyeing (</w:t>
      </w:r>
      <w:r w:rsidRPr="001814D2">
        <w:rPr>
          <w:i/>
          <w:iCs/>
        </w:rPr>
        <w:t>hol</w:t>
      </w:r>
      <w:r w:rsidRPr="001814D2">
        <w:t xml:space="preserve">), twill weaving; </w:t>
      </w:r>
      <w:r w:rsidRPr="001814D2">
        <w:rPr>
          <w:i/>
          <w:iCs/>
        </w:rPr>
        <w:t xml:space="preserve">Skirt cloth (sampot hol) </w:t>
      </w:r>
      <w:r w:rsidRPr="001814D2">
        <w:t>1900–50, silk, natural dyes; weft resist dyeing (</w:t>
      </w:r>
      <w:r w:rsidRPr="001814D2">
        <w:rPr>
          <w:i/>
          <w:iCs/>
        </w:rPr>
        <w:t>hol</w:t>
      </w:r>
      <w:r w:rsidRPr="001814D2">
        <w:t>), twill weaving</w:t>
      </w:r>
    </w:p>
    <w:p w14:paraId="6E7C86B8" w14:textId="77777777" w:rsidR="009103CC" w:rsidRPr="001814D2" w:rsidRDefault="009103CC" w:rsidP="009103CC">
      <w:pPr>
        <w:pStyle w:val="Listitemasbody"/>
      </w:pPr>
      <w:r w:rsidRPr="001814D2">
        <w:rPr>
          <w:b/>
          <w:bCs/>
        </w:rPr>
        <w:t xml:space="preserve">The Joy and Harold Marchant Foundation: </w:t>
      </w:r>
      <w:r w:rsidRPr="001814D2">
        <w:t xml:space="preserve">Koo Bohnchang (Korea b1953), twelve prints from the series </w:t>
      </w:r>
      <w:r w:rsidRPr="001814D2">
        <w:rPr>
          <w:i/>
          <w:iCs/>
        </w:rPr>
        <w:t xml:space="preserve">Moonrising III </w:t>
      </w:r>
      <w:r w:rsidRPr="001814D2">
        <w:t xml:space="preserve">2004–06: </w:t>
      </w:r>
      <w:r w:rsidRPr="001814D2">
        <w:rPr>
          <w:i/>
          <w:iCs/>
        </w:rPr>
        <w:t xml:space="preserve">MG 13 BW </w:t>
      </w:r>
      <w:r w:rsidRPr="001814D2">
        <w:t xml:space="preserve">2005, archival pigment print; </w:t>
      </w:r>
      <w:r w:rsidRPr="001814D2">
        <w:rPr>
          <w:i/>
          <w:iCs/>
        </w:rPr>
        <w:t xml:space="preserve">KRO 05 BW </w:t>
      </w:r>
      <w:r w:rsidRPr="001814D2">
        <w:t xml:space="preserve">2004, archival pigment print; </w:t>
      </w:r>
      <w:r w:rsidRPr="001814D2">
        <w:rPr>
          <w:i/>
          <w:iCs/>
        </w:rPr>
        <w:t xml:space="preserve">AM 10 BW </w:t>
      </w:r>
      <w:r w:rsidRPr="001814D2">
        <w:t xml:space="preserve">2006, archival pigment print; </w:t>
      </w:r>
      <w:r w:rsidRPr="001814D2">
        <w:rPr>
          <w:i/>
          <w:iCs/>
        </w:rPr>
        <w:t xml:space="preserve">AM 09 BW </w:t>
      </w:r>
      <w:r w:rsidRPr="001814D2">
        <w:t xml:space="preserve">2006, archival pigment print; </w:t>
      </w:r>
      <w:r w:rsidRPr="001814D2">
        <w:rPr>
          <w:i/>
          <w:iCs/>
        </w:rPr>
        <w:t xml:space="preserve">BM 04 BW </w:t>
      </w:r>
      <w:r w:rsidRPr="001814D2">
        <w:t xml:space="preserve">2006, archival pigment print; </w:t>
      </w:r>
      <w:r w:rsidRPr="001814D2">
        <w:rPr>
          <w:i/>
          <w:iCs/>
        </w:rPr>
        <w:t xml:space="preserve">HR 09 BW </w:t>
      </w:r>
      <w:r w:rsidRPr="001814D2">
        <w:t xml:space="preserve">2006, archival pigment print; </w:t>
      </w:r>
      <w:r w:rsidRPr="001814D2">
        <w:rPr>
          <w:i/>
          <w:iCs/>
        </w:rPr>
        <w:t xml:space="preserve">NM 01 BW </w:t>
      </w:r>
      <w:r w:rsidRPr="001814D2">
        <w:t xml:space="preserve">2006, archival pigment print; </w:t>
      </w:r>
      <w:r w:rsidRPr="001814D2">
        <w:rPr>
          <w:i/>
          <w:iCs/>
        </w:rPr>
        <w:t xml:space="preserve">MG 08 BW </w:t>
      </w:r>
      <w:r w:rsidRPr="001814D2">
        <w:t xml:space="preserve">2005, archival pigment print; </w:t>
      </w:r>
      <w:r w:rsidRPr="001814D2">
        <w:rPr>
          <w:i/>
          <w:iCs/>
        </w:rPr>
        <w:t xml:space="preserve">OSK 02 BW </w:t>
      </w:r>
      <w:r w:rsidRPr="001814D2">
        <w:t xml:space="preserve">2005, archival pigment print; </w:t>
      </w:r>
      <w:r w:rsidRPr="001814D2">
        <w:rPr>
          <w:i/>
          <w:iCs/>
        </w:rPr>
        <w:t xml:space="preserve">HA 07 BW </w:t>
      </w:r>
      <w:r w:rsidRPr="001814D2">
        <w:t xml:space="preserve">2005, archival pigment print; </w:t>
      </w:r>
      <w:r w:rsidRPr="001814D2">
        <w:rPr>
          <w:i/>
          <w:iCs/>
        </w:rPr>
        <w:t xml:space="preserve">JM 04 BW </w:t>
      </w:r>
      <w:r w:rsidRPr="001814D2">
        <w:t xml:space="preserve">2006, archival pigment print; </w:t>
      </w:r>
      <w:r w:rsidRPr="001814D2">
        <w:rPr>
          <w:i/>
          <w:iCs/>
        </w:rPr>
        <w:t xml:space="preserve">JM 05 BW from </w:t>
      </w:r>
      <w:r w:rsidRPr="001814D2">
        <w:t xml:space="preserve">2006, archival pigment print. Koo Bohnchang (Korea b1953) </w:t>
      </w:r>
      <w:r w:rsidRPr="001814D2">
        <w:rPr>
          <w:i/>
          <w:iCs/>
        </w:rPr>
        <w:t xml:space="preserve">AAM 01 </w:t>
      </w:r>
      <w:r w:rsidRPr="001814D2">
        <w:t xml:space="preserve">2011, C-print. Li Jin (China b1958), four paintings: </w:t>
      </w:r>
      <w:r w:rsidRPr="001814D2">
        <w:rPr>
          <w:i/>
          <w:iCs/>
        </w:rPr>
        <w:t xml:space="preserve">Banquet for the times </w:t>
      </w:r>
      <w:r w:rsidRPr="001814D2">
        <w:t xml:space="preserve">2020, ink and colour on Xuan paper; </w:t>
      </w:r>
      <w:r w:rsidRPr="001814D2">
        <w:rPr>
          <w:i/>
          <w:iCs/>
        </w:rPr>
        <w:t xml:space="preserve">Southern beauty </w:t>
      </w:r>
      <w:r w:rsidRPr="001814D2">
        <w:t xml:space="preserve">2019, ink and colour on Xuan paper; </w:t>
      </w:r>
      <w:r w:rsidRPr="001814D2">
        <w:rPr>
          <w:i/>
          <w:iCs/>
        </w:rPr>
        <w:t xml:space="preserve">The world is yours </w:t>
      </w:r>
      <w:r w:rsidRPr="001814D2">
        <w:t xml:space="preserve">2020, ink and colour on Yuanshu bamboo paper; </w:t>
      </w:r>
      <w:r w:rsidRPr="001814D2">
        <w:rPr>
          <w:i/>
          <w:iCs/>
        </w:rPr>
        <w:t xml:space="preserve">Room for love </w:t>
      </w:r>
      <w:r w:rsidRPr="001814D2">
        <w:t>2020, ink and colour on Yuanshu bamboo paper</w:t>
      </w:r>
    </w:p>
    <w:p w14:paraId="3A493EB9" w14:textId="77777777" w:rsidR="009103CC" w:rsidRPr="001814D2" w:rsidRDefault="009103CC" w:rsidP="009103CC">
      <w:pPr>
        <w:pStyle w:val="Listitemasbody"/>
      </w:pPr>
      <w:r w:rsidRPr="001814D2">
        <w:rPr>
          <w:b/>
          <w:bCs/>
        </w:rPr>
        <w:t xml:space="preserve">Dr Jim Masselos: </w:t>
      </w:r>
      <w:r w:rsidRPr="001814D2">
        <w:t xml:space="preserve">Nineteen paintings: </w:t>
      </w:r>
      <w:r w:rsidRPr="001814D2">
        <w:rPr>
          <w:i/>
          <w:iCs/>
        </w:rPr>
        <w:t xml:space="preserve">Lalit Ragini </w:t>
      </w:r>
      <w:r w:rsidRPr="001814D2">
        <w:t xml:space="preserve">c1690, opaque watercolour on paper; </w:t>
      </w:r>
      <w:r w:rsidRPr="001814D2">
        <w:rPr>
          <w:i/>
          <w:iCs/>
        </w:rPr>
        <w:t xml:space="preserve">Krishna and the gopis </w:t>
      </w:r>
      <w:r w:rsidRPr="001814D2">
        <w:t xml:space="preserve">c1690, opaque watercolour on paper; </w:t>
      </w:r>
      <w:r w:rsidRPr="001814D2">
        <w:rPr>
          <w:i/>
          <w:iCs/>
        </w:rPr>
        <w:t xml:space="preserve">The month of Ashvin </w:t>
      </w:r>
      <w:r w:rsidRPr="001814D2">
        <w:rPr>
          <w:i/>
          <w:iCs/>
        </w:rPr>
        <w:lastRenderedPageBreak/>
        <w:t xml:space="preserve">(September/October) </w:t>
      </w:r>
      <w:r w:rsidRPr="001814D2">
        <w:t xml:space="preserve">from </w:t>
      </w:r>
      <w:r w:rsidRPr="001814D2">
        <w:rPr>
          <w:i/>
          <w:iCs/>
        </w:rPr>
        <w:t xml:space="preserve">Baramasa series </w:t>
      </w:r>
      <w:r w:rsidRPr="001814D2">
        <w:t xml:space="preserve">c1760, opaque watercolour on paper; </w:t>
      </w:r>
      <w:r w:rsidRPr="001814D2">
        <w:rPr>
          <w:i/>
          <w:iCs/>
        </w:rPr>
        <w:t xml:space="preserve">Raja Shamsher Sen of Mandi smoking a hookah </w:t>
      </w:r>
      <w:r w:rsidRPr="001814D2">
        <w:t xml:space="preserve">c1760, opaque watercolour on paper; </w:t>
      </w:r>
      <w:r w:rsidRPr="001814D2">
        <w:rPr>
          <w:i/>
          <w:iCs/>
        </w:rPr>
        <w:t xml:space="preserve">Asavari ragini </w:t>
      </w:r>
      <w:r w:rsidRPr="001814D2">
        <w:t xml:space="preserve">c1760, opaque watercolour on paper; </w:t>
      </w:r>
      <w:r w:rsidRPr="001814D2">
        <w:rPr>
          <w:i/>
          <w:iCs/>
        </w:rPr>
        <w:t xml:space="preserve">Devi, folio from an illustrated Devi Mahatmya </w:t>
      </w:r>
      <w:r w:rsidRPr="001814D2">
        <w:t xml:space="preserve">c1760, watercolour on paper; </w:t>
      </w:r>
      <w:r w:rsidRPr="001814D2">
        <w:rPr>
          <w:i/>
          <w:iCs/>
        </w:rPr>
        <w:t xml:space="preserve">Avatars of Vishnu – the exchange of babies </w:t>
      </w:r>
      <w:r w:rsidRPr="001814D2">
        <w:t xml:space="preserve">c1775, watercolour on paper; </w:t>
      </w:r>
      <w:r w:rsidRPr="001814D2">
        <w:rPr>
          <w:i/>
          <w:iCs/>
        </w:rPr>
        <w:t xml:space="preserve">After the bath </w:t>
      </w:r>
      <w:r w:rsidRPr="001814D2">
        <w:t xml:space="preserve">c1775, opaque watercolour on paper; </w:t>
      </w:r>
      <w:r w:rsidRPr="001814D2">
        <w:rPr>
          <w:i/>
          <w:iCs/>
        </w:rPr>
        <w:t xml:space="preserve">Gormalar Ragini </w:t>
      </w:r>
      <w:r w:rsidRPr="001814D2">
        <w:t xml:space="preserve">c1780, opaque watercolour on paper; </w:t>
      </w:r>
      <w:r w:rsidRPr="001814D2">
        <w:rPr>
          <w:i/>
          <w:iCs/>
        </w:rPr>
        <w:t xml:space="preserve">Lalit Ragini </w:t>
      </w:r>
      <w:r w:rsidRPr="001814D2">
        <w:t xml:space="preserve">c1780, opaque watercolour on paper; </w:t>
      </w:r>
      <w:r w:rsidRPr="001814D2">
        <w:rPr>
          <w:i/>
          <w:iCs/>
        </w:rPr>
        <w:t xml:space="preserve">A meeting of the gods and demons (asuras) </w:t>
      </w:r>
      <w:r w:rsidRPr="001814D2">
        <w:t xml:space="preserve">c1780, opaque watercolour on paper; </w:t>
      </w:r>
      <w:r w:rsidRPr="001814D2">
        <w:rPr>
          <w:i/>
          <w:iCs/>
        </w:rPr>
        <w:t xml:space="preserve">Snake charmer </w:t>
      </w:r>
      <w:r w:rsidRPr="001814D2">
        <w:t xml:space="preserve">c1780, opaque watercolour on paper; </w:t>
      </w:r>
      <w:r w:rsidRPr="001814D2">
        <w:rPr>
          <w:i/>
          <w:iCs/>
        </w:rPr>
        <w:t xml:space="preserve">The Hindu god Vishnu in the form of a fish (Matsya avatar) </w:t>
      </w:r>
      <w:r w:rsidRPr="001814D2">
        <w:t xml:space="preserve">1700s, opaque watercolour on paper; </w:t>
      </w:r>
      <w:r w:rsidRPr="001814D2">
        <w:rPr>
          <w:i/>
          <w:iCs/>
        </w:rPr>
        <w:t xml:space="preserve">From a manuscript of the Bhagavata Purana </w:t>
      </w:r>
      <w:r w:rsidRPr="001814D2">
        <w:t xml:space="preserve">late 1700s – early 1800s, opaque watercolour and ink on paper; double-sided; </w:t>
      </w:r>
      <w:r w:rsidRPr="001814D2">
        <w:rPr>
          <w:i/>
          <w:iCs/>
        </w:rPr>
        <w:t xml:space="preserve">A Jain paradise </w:t>
      </w:r>
      <w:r w:rsidRPr="001814D2">
        <w:t xml:space="preserve">1801, opaque watercolour on cloth; </w:t>
      </w:r>
      <w:r w:rsidRPr="001814D2">
        <w:rPr>
          <w:i/>
          <w:iCs/>
        </w:rPr>
        <w:t xml:space="preserve">Krishna greeting Balarama, illustration from a Bhagavata Purana </w:t>
      </w:r>
      <w:r w:rsidRPr="001814D2">
        <w:t xml:space="preserve">c1800, opaque watercolour on paper; </w:t>
      </w:r>
      <w:r w:rsidRPr="001814D2">
        <w:rPr>
          <w:i/>
          <w:iCs/>
        </w:rPr>
        <w:t xml:space="preserve">Shrinathji’s haveli </w:t>
      </w:r>
      <w:r w:rsidRPr="001814D2">
        <w:t xml:space="preserve">c1820–50, opaque watercolour on paper; </w:t>
      </w:r>
      <w:r w:rsidRPr="001814D2">
        <w:rPr>
          <w:i/>
          <w:iCs/>
        </w:rPr>
        <w:t xml:space="preserve">Portrait of Sayyid Abdullah Khan </w:t>
      </w:r>
      <w:r w:rsidRPr="001814D2">
        <w:t xml:space="preserve">c1710, ink and watercolour on paper; </w:t>
      </w:r>
      <w:r w:rsidRPr="001814D2">
        <w:rPr>
          <w:i/>
          <w:iCs/>
        </w:rPr>
        <w:t xml:space="preserve">Portrait of a Maharaja </w:t>
      </w:r>
      <w:r w:rsidRPr="001814D2">
        <w:t xml:space="preserve">early 1800s, opaque watercolour and ink on paper. Company school (India late 1700s – late 1800s) </w:t>
      </w:r>
      <w:r w:rsidRPr="001814D2">
        <w:rPr>
          <w:i/>
          <w:iCs/>
        </w:rPr>
        <w:t xml:space="preserve">Woman with a fan (duenna?) </w:t>
      </w:r>
      <w:r w:rsidRPr="001814D2">
        <w:t xml:space="preserve">c1815, watercolour on paper. Kalighat style (India c1830–1930), two paintings: </w:t>
      </w:r>
      <w:r w:rsidRPr="001814D2">
        <w:rPr>
          <w:i/>
          <w:iCs/>
        </w:rPr>
        <w:t xml:space="preserve">Goddess Kali </w:t>
      </w:r>
      <w:r w:rsidRPr="001814D2">
        <w:t xml:space="preserve">c1890; </w:t>
      </w:r>
      <w:r w:rsidRPr="001814D2">
        <w:rPr>
          <w:i/>
          <w:iCs/>
        </w:rPr>
        <w:t xml:space="preserve">Vishnu as Narasimha </w:t>
      </w:r>
      <w:r w:rsidRPr="001814D2">
        <w:t>c1890</w:t>
      </w:r>
    </w:p>
    <w:p w14:paraId="26F81F0B" w14:textId="77777777" w:rsidR="009103CC" w:rsidRPr="001814D2" w:rsidRDefault="009103CC" w:rsidP="009103CC">
      <w:pPr>
        <w:pStyle w:val="Listitemasbody"/>
      </w:pPr>
      <w:r w:rsidRPr="001814D2">
        <w:rPr>
          <w:b/>
          <w:bCs/>
        </w:rPr>
        <w:t xml:space="preserve">Dr Jim Masselos, donated through the Australian Government’s Cultural Gifts Program: </w:t>
      </w:r>
      <w:r w:rsidRPr="001814D2">
        <w:t xml:space="preserve">Company school (India late 1700s – late 1800s) </w:t>
      </w:r>
      <w:r w:rsidRPr="001814D2">
        <w:rPr>
          <w:i/>
          <w:iCs/>
        </w:rPr>
        <w:t xml:space="preserve">A woman and two attendants </w:t>
      </w:r>
      <w:r w:rsidRPr="001814D2">
        <w:t xml:space="preserve">from </w:t>
      </w:r>
      <w:r w:rsidRPr="001814D2">
        <w:rPr>
          <w:i/>
          <w:iCs/>
        </w:rPr>
        <w:t xml:space="preserve">Fraser Album </w:t>
      </w:r>
      <w:r w:rsidRPr="001814D2">
        <w:t>c1820, watercolour on paper</w:t>
      </w:r>
    </w:p>
    <w:p w14:paraId="17CBA8B0" w14:textId="77777777" w:rsidR="009103CC" w:rsidRPr="001814D2" w:rsidRDefault="009103CC" w:rsidP="009103CC">
      <w:pPr>
        <w:pStyle w:val="Listitemasbody"/>
      </w:pPr>
      <w:r w:rsidRPr="001814D2">
        <w:rPr>
          <w:b/>
          <w:bCs/>
        </w:rPr>
        <w:t xml:space="preserve">Peter Norton: </w:t>
      </w:r>
      <w:r w:rsidRPr="001814D2">
        <w:t xml:space="preserve">Morimura Yasumasa (Japan b1951) </w:t>
      </w:r>
      <w:r w:rsidRPr="001814D2">
        <w:rPr>
          <w:i/>
          <w:iCs/>
        </w:rPr>
        <w:t xml:space="preserve">Mother (Judith II) </w:t>
      </w:r>
      <w:r w:rsidRPr="001814D2">
        <w:t>1991, colour photograph</w:t>
      </w:r>
    </w:p>
    <w:p w14:paraId="7B132A8C" w14:textId="77777777" w:rsidR="009103CC" w:rsidRPr="001814D2" w:rsidRDefault="009103CC" w:rsidP="009103CC">
      <w:pPr>
        <w:pStyle w:val="Listitemasbody"/>
      </w:pPr>
      <w:r w:rsidRPr="001814D2">
        <w:rPr>
          <w:b/>
          <w:bCs/>
        </w:rPr>
        <w:t xml:space="preserve">Brian and Gene Sherman, donated through the Australian Government’s Cultural Gifts Program: </w:t>
      </w:r>
      <w:r w:rsidRPr="001814D2">
        <w:t xml:space="preserve">Song Dong (China b1966) </w:t>
      </w:r>
      <w:r w:rsidRPr="001814D2">
        <w:rPr>
          <w:i/>
          <w:iCs/>
        </w:rPr>
        <w:t xml:space="preserve">Burning mirror (Beijing 2001) </w:t>
      </w:r>
      <w:r w:rsidRPr="001814D2">
        <w:t xml:space="preserve">2001, single channel digital video, colour. FX Harsono (Indonesia b1949), </w:t>
      </w:r>
      <w:r w:rsidRPr="001814D2">
        <w:rPr>
          <w:i/>
          <w:iCs/>
        </w:rPr>
        <w:t xml:space="preserve">Writing in the rain </w:t>
      </w:r>
      <w:r w:rsidRPr="001814D2">
        <w:t xml:space="preserve">2011, single channel video, sound, three wooden desks with 24 inch TV monitors, three chairs. Dinh Q. Lê (Vietnam b1968) </w:t>
      </w:r>
      <w:r w:rsidRPr="001814D2">
        <w:rPr>
          <w:i/>
          <w:iCs/>
        </w:rPr>
        <w:t xml:space="preserve">Light and belief </w:t>
      </w:r>
      <w:r w:rsidRPr="001814D2">
        <w:t>2012, single channel digital video, colour, sound</w:t>
      </w:r>
    </w:p>
    <w:p w14:paraId="2954290F" w14:textId="77777777" w:rsidR="009103CC" w:rsidRPr="001814D2" w:rsidRDefault="009103CC" w:rsidP="009103CC">
      <w:pPr>
        <w:pStyle w:val="Listitemasbody"/>
      </w:pPr>
      <w:r w:rsidRPr="001814D2">
        <w:rPr>
          <w:b/>
          <w:bCs/>
        </w:rPr>
        <w:t xml:space="preserve">Larry Strange: </w:t>
      </w:r>
      <w:r w:rsidRPr="001814D2">
        <w:t xml:space="preserve">Svay Ken (Cambodia 1933–2008) </w:t>
      </w:r>
      <w:r w:rsidRPr="001814D2">
        <w:rPr>
          <w:i/>
          <w:iCs/>
        </w:rPr>
        <w:t xml:space="preserve">Old bathtub </w:t>
      </w:r>
      <w:r w:rsidRPr="001814D2">
        <w:t xml:space="preserve">2006, oil on canvas </w:t>
      </w:r>
    </w:p>
    <w:p w14:paraId="1CB7E304" w14:textId="77777777" w:rsidR="009103CC" w:rsidRPr="001814D2" w:rsidRDefault="009103CC" w:rsidP="009103CC">
      <w:pPr>
        <w:pStyle w:val="Listitemasbody"/>
      </w:pPr>
      <w:r w:rsidRPr="001814D2">
        <w:rPr>
          <w:b/>
          <w:bCs/>
        </w:rPr>
        <w:t xml:space="preserve">John Yu: </w:t>
      </w:r>
      <w:r w:rsidRPr="001814D2">
        <w:t xml:space="preserve">Two textiles and one mixed media: </w:t>
      </w:r>
      <w:r w:rsidRPr="001814D2">
        <w:rPr>
          <w:i/>
          <w:iCs/>
        </w:rPr>
        <w:t>Cloth with Islamic calligraphy (kain kaligrafi) and three central medallions</w:t>
      </w:r>
      <w:r w:rsidRPr="001814D2">
        <w:t xml:space="preserve"> early 1900s, cotton, dyes; batik; </w:t>
      </w:r>
      <w:r w:rsidRPr="001814D2">
        <w:rPr>
          <w:i/>
          <w:iCs/>
        </w:rPr>
        <w:t>Cloth with Islamic calligraphy (kain kaligrafi) and image of Sumatran mosque</w:t>
      </w:r>
      <w:r w:rsidRPr="001814D2">
        <w:t xml:space="preserve"> early 1900s, cotton, dyes; batik; </w:t>
      </w:r>
      <w:r w:rsidRPr="001814D2">
        <w:rPr>
          <w:i/>
          <w:iCs/>
        </w:rPr>
        <w:t>Betel nut box</w:t>
      </w:r>
      <w:r w:rsidRPr="001814D2">
        <w:t xml:space="preserve"> late 1800s – early 1900s, silver inlay with beaded handle</w:t>
      </w:r>
    </w:p>
    <w:p w14:paraId="558CDDA1" w14:textId="77777777" w:rsidR="009103CC" w:rsidRPr="001814D2" w:rsidRDefault="009103CC" w:rsidP="009103CC">
      <w:pPr>
        <w:pStyle w:val="ARbody"/>
      </w:pPr>
      <w:r w:rsidRPr="001814D2">
        <w:t>Subtotal: 56 works</w:t>
      </w:r>
    </w:p>
    <w:p w14:paraId="181F46C7" w14:textId="77777777" w:rsidR="009103CC" w:rsidRPr="001814D2" w:rsidRDefault="009103CC" w:rsidP="009103CC">
      <w:pPr>
        <w:pStyle w:val="ARheading5"/>
      </w:pPr>
      <w:r w:rsidRPr="001814D2">
        <w:lastRenderedPageBreak/>
        <w:t>International art</w:t>
      </w:r>
    </w:p>
    <w:p w14:paraId="02EAF93E" w14:textId="77777777" w:rsidR="009103CC" w:rsidRPr="001814D2" w:rsidRDefault="009103CC" w:rsidP="009103CC">
      <w:pPr>
        <w:pStyle w:val="Listitemasbody"/>
      </w:pPr>
      <w:r w:rsidRPr="001814D2">
        <w:rPr>
          <w:b/>
          <w:bCs/>
        </w:rPr>
        <w:t xml:space="preserve">Todd Barlin, donated through the Australian Government’s Cultural Gifts Program: </w:t>
      </w:r>
      <w:r w:rsidRPr="001814D2">
        <w:t xml:space="preserve">Asmat people (Western New Guinea) </w:t>
      </w:r>
      <w:r w:rsidRPr="001814D2">
        <w:rPr>
          <w:i/>
          <w:iCs/>
        </w:rPr>
        <w:t>Jamasj (shield)</w:t>
      </w:r>
      <w:r w:rsidRPr="001814D2">
        <w:t xml:space="preserve"> mid 1900s, wood, earth pigments; latmul people (Papua New Guinea), two ceremonial objects, one weaving and one ceramic: </w:t>
      </w:r>
      <w:r w:rsidRPr="001814D2">
        <w:rPr>
          <w:i/>
          <w:iCs/>
        </w:rPr>
        <w:t>Dance mask</w:t>
      </w:r>
      <w:r w:rsidRPr="001814D2">
        <w:t xml:space="preserve"> mid 1900s, collected 1965, wood, sago palm petiole, cane, earth pigments; </w:t>
      </w:r>
      <w:r w:rsidRPr="001814D2">
        <w:rPr>
          <w:i/>
          <w:iCs/>
        </w:rPr>
        <w:t>Ambusap (wealth object)</w:t>
      </w:r>
      <w:r w:rsidRPr="001814D2">
        <w:t xml:space="preserve"> early 1900s – mid 1900s, plaited plant fibre, nassa shells, cowrie shells; </w:t>
      </w:r>
      <w:r w:rsidRPr="001814D2">
        <w:rPr>
          <w:i/>
          <w:iCs/>
        </w:rPr>
        <w:t>Woman’s rain hood</w:t>
      </w:r>
      <w:r w:rsidRPr="001814D2">
        <w:t xml:space="preserve"> early 1900s – mid 1900s, woven estuarine reeds, earth pigments; </w:t>
      </w:r>
      <w:r w:rsidRPr="001814D2">
        <w:rPr>
          <w:i/>
          <w:iCs/>
        </w:rPr>
        <w:t>Bowl</w:t>
      </w:r>
      <w:r w:rsidRPr="001814D2">
        <w:t xml:space="preserve"> late 1800s – early 1900s, earthenware. William Kaise (Western New Guinea active 1980s) </w:t>
      </w:r>
      <w:r w:rsidRPr="001814D2">
        <w:rPr>
          <w:i/>
          <w:iCs/>
        </w:rPr>
        <w:t xml:space="preserve">Kandara (drum) </w:t>
      </w:r>
      <w:r w:rsidRPr="001814D2">
        <w:t xml:space="preserve">mid 1900s, collected c1985, wood, earth pigments, plant fibre, animal skin. Kamoro (Mimika) people (Papua New Guinea) </w:t>
      </w:r>
      <w:r w:rsidRPr="001814D2">
        <w:rPr>
          <w:i/>
          <w:iCs/>
        </w:rPr>
        <w:t xml:space="preserve">Body mask </w:t>
      </w:r>
      <w:r w:rsidRPr="001814D2">
        <w:t xml:space="preserve">late 1980s, plant fibre, sago palm leaves, wood, bamboo, feathers, Coix lacryma-jobi seeds, earth pigments. Kwoma people (Papua New Guinea), two ceramics and one ceremonial object: </w:t>
      </w:r>
      <w:r w:rsidRPr="001814D2">
        <w:rPr>
          <w:i/>
          <w:iCs/>
        </w:rPr>
        <w:t xml:space="preserve">Aumer or Au’maka (ceremonial serving bowl) </w:t>
      </w:r>
      <w:r w:rsidRPr="001814D2">
        <w:t xml:space="preserve">mid 1900s, earthenware; </w:t>
      </w:r>
      <w:r w:rsidRPr="001814D2">
        <w:rPr>
          <w:i/>
          <w:iCs/>
        </w:rPr>
        <w:t xml:space="preserve">Wasau (head for yam ceremony) </w:t>
      </w:r>
      <w:r w:rsidRPr="001814D2">
        <w:t xml:space="preserve">c1970s, earthenware, natural earth pigments; </w:t>
      </w:r>
      <w:r w:rsidRPr="001814D2">
        <w:rPr>
          <w:i/>
          <w:iCs/>
        </w:rPr>
        <w:t xml:space="preserve">Wasau (head for yam ceremony) </w:t>
      </w:r>
      <w:r w:rsidRPr="001814D2">
        <w:t xml:space="preserve">c1950–60, earthenware, natural earth pigments. Muniwara people (Papua New Guinea) </w:t>
      </w:r>
      <w:r w:rsidRPr="001814D2">
        <w:rPr>
          <w:i/>
          <w:iCs/>
        </w:rPr>
        <w:t xml:space="preserve">Komogi (serving bowl) </w:t>
      </w:r>
      <w:r w:rsidRPr="001814D2">
        <w:t xml:space="preserve">mid 1900s, earthenware. Oasei (Indonesia active 1980s) </w:t>
      </w:r>
      <w:r w:rsidRPr="001814D2">
        <w:rPr>
          <w:i/>
          <w:iCs/>
        </w:rPr>
        <w:t xml:space="preserve">Omu figure </w:t>
      </w:r>
      <w:r w:rsidRPr="001814D2">
        <w:t xml:space="preserve">1980s, wood, earth pigments. Ofacan family (Indonesia active 1980s) </w:t>
      </w:r>
      <w:r w:rsidRPr="001814D2">
        <w:rPr>
          <w:i/>
          <w:iCs/>
        </w:rPr>
        <w:t xml:space="preserve">Body mask for ‘Yipae’ ceremony </w:t>
      </w:r>
      <w:r w:rsidRPr="001814D2">
        <w:t xml:space="preserve">c1988, mulberry fibre, sago palm leaves, wood, bamboo, feathers, seeds, earth pigments. Sawos people (Papua New Guinea) </w:t>
      </w:r>
      <w:r w:rsidRPr="001814D2">
        <w:rPr>
          <w:i/>
          <w:iCs/>
        </w:rPr>
        <w:t xml:space="preserve">Kámané (serving bowl) </w:t>
      </w:r>
      <w:r w:rsidRPr="001814D2">
        <w:t xml:space="preserve">mid 1900s, earthenware, natural earth pigments. Simi (Indonesia early 1900s – late 1900s) </w:t>
      </w:r>
      <w:r w:rsidRPr="001814D2">
        <w:rPr>
          <w:i/>
          <w:iCs/>
        </w:rPr>
        <w:t xml:space="preserve">Omu figure </w:t>
      </w:r>
      <w:r w:rsidRPr="001814D2">
        <w:t xml:space="preserve">1980s, wood, earth pigments. Twaf (Indonesia active 1980s) </w:t>
      </w:r>
      <w:r w:rsidRPr="001814D2">
        <w:rPr>
          <w:i/>
          <w:iCs/>
        </w:rPr>
        <w:t xml:space="preserve">Body mask for ‘Yiti’ ceremony </w:t>
      </w:r>
      <w:r w:rsidRPr="001814D2">
        <w:t xml:space="preserve">c1986, mulberry fibre, sago palm leaves, wood, bamboo, feathers, seeds, earth pigments. Usur people (Papua New Guinea) </w:t>
      </w:r>
      <w:r w:rsidRPr="001814D2">
        <w:rPr>
          <w:i/>
          <w:iCs/>
        </w:rPr>
        <w:t xml:space="preserve">Cooking pot </w:t>
      </w:r>
      <w:r w:rsidRPr="001814D2">
        <w:t>early 1900s – mid 1900s, earthenware</w:t>
      </w:r>
    </w:p>
    <w:p w14:paraId="0B6874CD" w14:textId="77777777" w:rsidR="009103CC" w:rsidRPr="001814D2" w:rsidRDefault="009103CC" w:rsidP="009103CC">
      <w:pPr>
        <w:pStyle w:val="Listitemasbody"/>
      </w:pPr>
      <w:r w:rsidRPr="001814D2">
        <w:rPr>
          <w:b/>
          <w:bCs/>
        </w:rPr>
        <w:t xml:space="preserve">Bridgestar Pty Ltd, an investment company of the late James Fairfax AC, donated through the Australian Government’s Cultural Gifts Program: </w:t>
      </w:r>
      <w:r w:rsidRPr="001814D2">
        <w:t xml:space="preserve">Sir Peter Paul Rubens (Flanders 1577–1640) </w:t>
      </w:r>
      <w:r w:rsidRPr="001814D2">
        <w:rPr>
          <w:i/>
          <w:iCs/>
        </w:rPr>
        <w:t xml:space="preserve">The Presentation in the Temple </w:t>
      </w:r>
      <w:r w:rsidRPr="001814D2">
        <w:t>c1632–33, oil on oak panel</w:t>
      </w:r>
    </w:p>
    <w:p w14:paraId="41559592" w14:textId="77777777" w:rsidR="009103CC" w:rsidRPr="001814D2" w:rsidRDefault="009103CC" w:rsidP="009103CC">
      <w:pPr>
        <w:pStyle w:val="Listitemasbody"/>
      </w:pPr>
      <w:r w:rsidRPr="001814D2">
        <w:rPr>
          <w:b/>
          <w:bCs/>
        </w:rPr>
        <w:t xml:space="preserve">Bruce and Joy Reid Foundation: </w:t>
      </w:r>
      <w:r w:rsidRPr="001814D2">
        <w:t xml:space="preserve">Karel Dujardin (Netherlands 1626–78) </w:t>
      </w:r>
      <w:r w:rsidRPr="001814D2">
        <w:rPr>
          <w:i/>
          <w:iCs/>
        </w:rPr>
        <w:t xml:space="preserve">A fresh morning </w:t>
      </w:r>
      <w:r w:rsidRPr="001814D2">
        <w:t xml:space="preserve">1657, oil on canvas. Costa Charalambous, donated through the Australian Government’s Cultural Gifts Program. Eddie Martinez (United States of America b1977) </w:t>
      </w:r>
      <w:r w:rsidRPr="001814D2">
        <w:rPr>
          <w:i/>
          <w:iCs/>
        </w:rPr>
        <w:t xml:space="preserve">Blockhead in black space </w:t>
      </w:r>
      <w:r w:rsidRPr="001814D2">
        <w:t>2020, oil, spray paint, collaged canvas and thumbtacks on canvas</w:t>
      </w:r>
    </w:p>
    <w:p w14:paraId="0B57DC3F" w14:textId="77777777" w:rsidR="009103CC" w:rsidRPr="001814D2" w:rsidRDefault="009103CC" w:rsidP="009103CC">
      <w:pPr>
        <w:pStyle w:val="Listitemasbody"/>
      </w:pPr>
      <w:r w:rsidRPr="001814D2">
        <w:rPr>
          <w:b/>
          <w:bCs/>
        </w:rPr>
        <w:t xml:space="preserve">John Clark, donated through the Australian Government’s Cultural Gifts Program: </w:t>
      </w:r>
      <w:r w:rsidRPr="001814D2">
        <w:t xml:space="preserve">Ana Maria Pacheco (Brazil/England b1943), ten prints: </w:t>
      </w:r>
      <w:r w:rsidRPr="001814D2">
        <w:rPr>
          <w:i/>
          <w:iCs/>
        </w:rPr>
        <w:t xml:space="preserve">Follies of a guardian angel 1–8 </w:t>
      </w:r>
      <w:r w:rsidRPr="001814D2">
        <w:t xml:space="preserve">1993, eight prints; drypoint; printed on Somerset TP 300gsm; </w:t>
      </w:r>
      <w:r w:rsidRPr="001814D2">
        <w:rPr>
          <w:i/>
          <w:iCs/>
        </w:rPr>
        <w:t xml:space="preserve">Sybil warns Sardine </w:t>
      </w:r>
      <w:r w:rsidRPr="001814D2">
        <w:t>from the series</w:t>
      </w:r>
      <w:r w:rsidRPr="001814D2">
        <w:rPr>
          <w:i/>
          <w:iCs/>
        </w:rPr>
        <w:t xml:space="preserve"> Misfortunes of a Sardine 5 </w:t>
      </w:r>
      <w:r w:rsidRPr="001814D2">
        <w:t xml:space="preserve">2003, drypoint; printed on Somerset Textured 300gsm; </w:t>
      </w:r>
      <w:r w:rsidRPr="001814D2">
        <w:rPr>
          <w:i/>
          <w:iCs/>
        </w:rPr>
        <w:t xml:space="preserve">Between Mitcham and Croydon – The heritage of the aged </w:t>
      </w:r>
      <w:r w:rsidRPr="001814D2">
        <w:t xml:space="preserve">1977, etching; </w:t>
      </w:r>
      <w:r w:rsidRPr="001814D2">
        <w:rPr>
          <w:i/>
          <w:iCs/>
        </w:rPr>
        <w:t xml:space="preserve">The banquet </w:t>
      </w:r>
      <w:r w:rsidRPr="001814D2">
        <w:t xml:space="preserve">1977, drypoint; </w:t>
      </w:r>
      <w:r w:rsidRPr="001814D2">
        <w:rPr>
          <w:i/>
          <w:iCs/>
        </w:rPr>
        <w:t xml:space="preserve">The banquet II </w:t>
      </w:r>
      <w:r w:rsidRPr="001814D2">
        <w:t xml:space="preserve">1978, etching; </w:t>
      </w:r>
      <w:r w:rsidRPr="001814D2">
        <w:rPr>
          <w:i/>
          <w:iCs/>
        </w:rPr>
        <w:t xml:space="preserve">Every man wears a head on his shoulder I </w:t>
      </w:r>
      <w:r w:rsidRPr="001814D2">
        <w:t xml:space="preserve">1981, etching; </w:t>
      </w:r>
      <w:r w:rsidRPr="001814D2">
        <w:rPr>
          <w:i/>
          <w:iCs/>
        </w:rPr>
        <w:lastRenderedPageBreak/>
        <w:t xml:space="preserve">Every man wears a head on his shoulder III </w:t>
      </w:r>
      <w:r w:rsidRPr="001814D2">
        <w:t xml:space="preserve">1981, etching; </w:t>
      </w:r>
      <w:r w:rsidRPr="001814D2">
        <w:rPr>
          <w:i/>
          <w:iCs/>
        </w:rPr>
        <w:t xml:space="preserve">Sculptural study for a head </w:t>
      </w:r>
      <w:r w:rsidRPr="001814D2">
        <w:t xml:space="preserve">early 1990s, polychrome wood; </w:t>
      </w:r>
      <w:r w:rsidRPr="001814D2">
        <w:rPr>
          <w:i/>
          <w:iCs/>
        </w:rPr>
        <w:t xml:space="preserve">Preparatory drawing </w:t>
      </w:r>
      <w:r w:rsidRPr="001814D2">
        <w:t xml:space="preserve">1990s, mixed media on paper; </w:t>
      </w:r>
      <w:r w:rsidRPr="001814D2">
        <w:rPr>
          <w:i/>
          <w:iCs/>
        </w:rPr>
        <w:t xml:space="preserve">Preparatory drawing </w:t>
      </w:r>
      <w:r w:rsidRPr="001814D2">
        <w:t xml:space="preserve">1990s, oil study on textured paper. Jose Dávila with additional support from the Sydney Harbour Federation Trust and the Biennale of Sydney. Jose Dávila (Mexico b1974) </w:t>
      </w:r>
      <w:r w:rsidRPr="001814D2">
        <w:rPr>
          <w:i/>
          <w:iCs/>
        </w:rPr>
        <w:t xml:space="preserve">The act of perseverance </w:t>
      </w:r>
      <w:r w:rsidRPr="001814D2">
        <w:t>2020, site-specific mixed media installation with found materials from Cockatoo Island, Sydney</w:t>
      </w:r>
    </w:p>
    <w:p w14:paraId="44A91BC0" w14:textId="77777777" w:rsidR="009103CC" w:rsidRPr="001814D2" w:rsidRDefault="009103CC" w:rsidP="009103CC">
      <w:pPr>
        <w:pStyle w:val="Listitemasbody"/>
      </w:pPr>
      <w:r w:rsidRPr="001814D2">
        <w:rPr>
          <w:b/>
          <w:bCs/>
        </w:rPr>
        <w:t xml:space="preserve">Dr Clinton Ng, donated through the Australian Government’s Cultural Gifts Program: </w:t>
      </w:r>
      <w:r w:rsidRPr="001814D2">
        <w:t xml:space="preserve">Simon Denny (New Zealand b1982) </w:t>
      </w:r>
      <w:r w:rsidRPr="001814D2">
        <w:rPr>
          <w:i/>
          <w:iCs/>
        </w:rPr>
        <w:t xml:space="preserve">Supported Video Aquarium Equivalent w./ School of Fish and Coral Double </w:t>
      </w:r>
      <w:r w:rsidRPr="001814D2">
        <w:t xml:space="preserve">2011, wood, metal, aquarium backdrop, plexiglass with protective plastic, screenprint, television casing, fluorescent lamps, faux aquarium rock. George Georgiou (England b1961), four photographs from the series </w:t>
      </w:r>
      <w:r w:rsidRPr="001814D2">
        <w:rPr>
          <w:i/>
          <w:iCs/>
        </w:rPr>
        <w:t xml:space="preserve">Fault Lines/Turkey/East/West </w:t>
      </w:r>
      <w:r w:rsidRPr="001814D2">
        <w:t xml:space="preserve">2007: </w:t>
      </w:r>
      <w:r w:rsidRPr="001814D2">
        <w:rPr>
          <w:i/>
          <w:iCs/>
        </w:rPr>
        <w:t xml:space="preserve">Ishak Pasa Sarayi, Agri </w:t>
      </w:r>
      <w:r w:rsidRPr="001814D2">
        <w:t xml:space="preserve">2007, pigmented inkjet print; </w:t>
      </w:r>
      <w:r w:rsidRPr="001814D2">
        <w:rPr>
          <w:i/>
          <w:iCs/>
        </w:rPr>
        <w:t xml:space="preserve">Hakkâri </w:t>
      </w:r>
      <w:r w:rsidRPr="001814D2">
        <w:t xml:space="preserve">2007, pigmented inkjet print; </w:t>
      </w:r>
      <w:r w:rsidRPr="001814D2">
        <w:rPr>
          <w:i/>
          <w:iCs/>
        </w:rPr>
        <w:t xml:space="preserve">Bitlis </w:t>
      </w:r>
      <w:r w:rsidRPr="001814D2">
        <w:t xml:space="preserve">2007, pigmented inkjet print; </w:t>
      </w:r>
      <w:r w:rsidRPr="001814D2">
        <w:rPr>
          <w:i/>
          <w:iCs/>
        </w:rPr>
        <w:t xml:space="preserve">Mersin </w:t>
      </w:r>
      <w:r w:rsidRPr="001814D2">
        <w:t>2007, pigmented inkjet print</w:t>
      </w:r>
    </w:p>
    <w:p w14:paraId="269A7DCD" w14:textId="77777777" w:rsidR="009103CC" w:rsidRPr="001814D2" w:rsidRDefault="009103CC" w:rsidP="009103CC">
      <w:pPr>
        <w:pStyle w:val="Listitemasbody"/>
      </w:pPr>
      <w:r w:rsidRPr="001814D2">
        <w:rPr>
          <w:b/>
          <w:bCs/>
        </w:rPr>
        <w:t xml:space="preserve">Peter Norton: </w:t>
      </w:r>
      <w:r w:rsidRPr="001814D2">
        <w:t xml:space="preserve">Richard Avedon (United States of America 1923–2004) </w:t>
      </w:r>
      <w:r w:rsidRPr="001814D2">
        <w:rPr>
          <w:i/>
          <w:iCs/>
        </w:rPr>
        <w:t xml:space="preserve">Juan Patricio Lobato, Carney, Rocky Ford, Colorado, 8/23/80 </w:t>
      </w:r>
      <w:r w:rsidRPr="001814D2">
        <w:t xml:space="preserve">1985, gelatin silver print mounted on aluminium. Jim Hodges (United States of America b1957) </w:t>
      </w:r>
      <w:r w:rsidRPr="001814D2">
        <w:rPr>
          <w:i/>
          <w:iCs/>
        </w:rPr>
        <w:t xml:space="preserve">On we go </w:t>
      </w:r>
      <w:r w:rsidRPr="001814D2">
        <w:t xml:space="preserve">1996, metal chain, pins. Sarah Sze (United States of America b1969) </w:t>
      </w:r>
      <w:r w:rsidRPr="001814D2">
        <w:rPr>
          <w:i/>
          <w:iCs/>
        </w:rPr>
        <w:t xml:space="preserve">Fractured sculpture </w:t>
      </w:r>
      <w:r w:rsidRPr="001814D2">
        <w:t>2000, mixed media</w:t>
      </w:r>
    </w:p>
    <w:p w14:paraId="0FD8EE47" w14:textId="77777777" w:rsidR="009103CC" w:rsidRPr="001814D2" w:rsidRDefault="009103CC" w:rsidP="009103CC">
      <w:pPr>
        <w:pStyle w:val="Listitemasbody"/>
      </w:pPr>
      <w:r w:rsidRPr="001814D2">
        <w:rPr>
          <w:b/>
          <w:bCs/>
        </w:rPr>
        <w:t xml:space="preserve">Brian and Gene Sherman, donated through the Australian Government’s Cultural Gifts Program: </w:t>
      </w:r>
      <w:r w:rsidRPr="001814D2">
        <w:t xml:space="preserve">Kutluğ Ataman (Turkey/England b1961) </w:t>
      </w:r>
      <w:r w:rsidRPr="001814D2">
        <w:rPr>
          <w:i/>
          <w:iCs/>
        </w:rPr>
        <w:t xml:space="preserve">Nothing </w:t>
      </w:r>
      <w:r w:rsidRPr="001814D2">
        <w:t xml:space="preserve">2003, single channel digital video, black and white. Sigalit Landau (Israel b1969) </w:t>
      </w:r>
      <w:r w:rsidRPr="001814D2">
        <w:rPr>
          <w:i/>
          <w:iCs/>
        </w:rPr>
        <w:t xml:space="preserve">3 men hula </w:t>
      </w:r>
      <w:r w:rsidRPr="001814D2">
        <w:t xml:space="preserve">1999, single channel digital video, colour. Tony Oursler (United States of America b1957) </w:t>
      </w:r>
      <w:r w:rsidRPr="001814D2">
        <w:rPr>
          <w:i/>
          <w:iCs/>
        </w:rPr>
        <w:t xml:space="preserve">Black box </w:t>
      </w:r>
      <w:r w:rsidRPr="001814D2">
        <w:t xml:space="preserve">2010, projector and video projection, tinted resin, mounted on steel armature. Michal Rovner (Israel b1957) </w:t>
      </w:r>
      <w:r w:rsidRPr="001814D2">
        <w:rPr>
          <w:i/>
          <w:iCs/>
        </w:rPr>
        <w:t xml:space="preserve">Blue land </w:t>
      </w:r>
      <w:r w:rsidRPr="001814D2">
        <w:t xml:space="preserve">2018, single channel video, colour. Mikhael Subotzky (South Africa b1981) </w:t>
      </w:r>
      <w:r w:rsidRPr="001814D2">
        <w:rPr>
          <w:i/>
          <w:iCs/>
        </w:rPr>
        <w:t>Wye</w:t>
      </w:r>
      <w:r w:rsidRPr="001814D2">
        <w:t>, three channel film, colour, sound</w:t>
      </w:r>
    </w:p>
    <w:p w14:paraId="1039D43E" w14:textId="77777777" w:rsidR="009103CC" w:rsidRPr="001814D2" w:rsidRDefault="009103CC" w:rsidP="009103CC">
      <w:pPr>
        <w:pStyle w:val="Listitemasbody"/>
      </w:pPr>
      <w:r w:rsidRPr="001814D2">
        <w:rPr>
          <w:b/>
          <w:bCs/>
        </w:rPr>
        <w:t xml:space="preserve">The late Warren Halloran AM: </w:t>
      </w:r>
      <w:r w:rsidRPr="001814D2">
        <w:t xml:space="preserve">Briton Rivière (England 1840–1920) </w:t>
      </w:r>
      <w:r w:rsidRPr="001814D2">
        <w:rPr>
          <w:i/>
          <w:iCs/>
        </w:rPr>
        <w:t xml:space="preserve">Compulsory education </w:t>
      </w:r>
      <w:r w:rsidRPr="001814D2">
        <w:t>1887, oil on canvas</w:t>
      </w:r>
    </w:p>
    <w:p w14:paraId="158FF5B7" w14:textId="77777777" w:rsidR="009103CC" w:rsidRPr="001814D2" w:rsidRDefault="009103CC" w:rsidP="009103CC">
      <w:pPr>
        <w:pStyle w:val="ARbody"/>
      </w:pPr>
      <w:r w:rsidRPr="001814D2">
        <w:t>Subtotal: 45 works</w:t>
      </w:r>
    </w:p>
    <w:p w14:paraId="4ED220E1" w14:textId="77777777" w:rsidR="009103CC" w:rsidRPr="001814D2" w:rsidRDefault="009103CC" w:rsidP="009103CC">
      <w:pPr>
        <w:pStyle w:val="ARbody"/>
      </w:pPr>
      <w:r w:rsidRPr="001814D2">
        <w:t>Total all department: 143 works</w:t>
      </w:r>
    </w:p>
    <w:p w14:paraId="6E4448CD" w14:textId="77777777" w:rsidR="009103CC" w:rsidRPr="001814D2" w:rsidRDefault="009103CC" w:rsidP="009103CC">
      <w:pPr>
        <w:pStyle w:val="ARbody"/>
      </w:pPr>
      <w:r w:rsidRPr="001814D2">
        <w:t>Total purchases and gifted in 2020–21: 323 works</w:t>
      </w:r>
    </w:p>
    <w:p w14:paraId="4CA9E459" w14:textId="77777777" w:rsidR="009103CC" w:rsidRPr="001814D2" w:rsidRDefault="009103CC" w:rsidP="009103CC">
      <w:pPr>
        <w:pStyle w:val="ARheading4"/>
      </w:pPr>
      <w:r w:rsidRPr="001814D2">
        <w:t>Deaccessioning</w:t>
      </w:r>
    </w:p>
    <w:p w14:paraId="2CA9F82F" w14:textId="77777777" w:rsidR="009103CC" w:rsidRPr="001814D2" w:rsidRDefault="009103CC" w:rsidP="009103CC">
      <w:pPr>
        <w:pStyle w:val="ARbody"/>
      </w:pPr>
      <w:r w:rsidRPr="001814D2">
        <w:t xml:space="preserve">In accordance with the </w:t>
      </w:r>
      <w:r w:rsidRPr="001814D2">
        <w:rPr>
          <w:i/>
          <w:iCs/>
        </w:rPr>
        <w:t>Art Gallery of New South Wales Act 1980</w:t>
      </w:r>
      <w:r w:rsidRPr="001814D2">
        <w:t xml:space="preserve"> and the Art Gallery’s deaccessioning policy, the disposal of selected works of art from the collection must be approved by the Board of Trustees and the Governor of New South Wales. During 2020–21, </w:t>
      </w:r>
      <w:r w:rsidRPr="001814D2">
        <w:lastRenderedPageBreak/>
        <w:t xml:space="preserve">one sculpture (William Turnbull, </w:t>
      </w:r>
      <w:r w:rsidRPr="001814D2">
        <w:rPr>
          <w:i/>
          <w:iCs/>
        </w:rPr>
        <w:t>No 5</w:t>
      </w:r>
      <w:r w:rsidRPr="001814D2">
        <w:t xml:space="preserve"> 1965) received approval for deaccession. The disposal arose after the work was erroneously accessioned to the Art Gallery collection in 1995.</w:t>
      </w:r>
    </w:p>
    <w:p w14:paraId="0FA2F25A" w14:textId="77777777" w:rsidR="009103CC" w:rsidRPr="001814D2" w:rsidRDefault="009103CC" w:rsidP="009103CC">
      <w:pPr>
        <w:pStyle w:val="ARheading4"/>
      </w:pPr>
      <w:r w:rsidRPr="001814D2">
        <w:t>National Art Archive</w:t>
      </w:r>
    </w:p>
    <w:p w14:paraId="793820E9" w14:textId="77777777" w:rsidR="009103CC" w:rsidRPr="001814D2" w:rsidRDefault="009103CC" w:rsidP="009103CC">
      <w:pPr>
        <w:pStyle w:val="ARbody"/>
      </w:pPr>
      <w:r w:rsidRPr="001814D2">
        <w:t>The National Art Archive made the following acquisitions in 2020–21.</w:t>
      </w:r>
    </w:p>
    <w:p w14:paraId="79539004" w14:textId="77777777" w:rsidR="009103CC" w:rsidRPr="001814D2" w:rsidRDefault="009103CC" w:rsidP="009103CC">
      <w:pPr>
        <w:pStyle w:val="Listitemasbody"/>
      </w:pPr>
      <w:r w:rsidRPr="001814D2">
        <w:rPr>
          <w:b/>
          <w:bCs/>
        </w:rPr>
        <w:t xml:space="preserve">Neridda and Kirsten Hutchison, donated through the Australian Government’s Cultural Gifts Program: </w:t>
      </w:r>
      <w:r w:rsidRPr="001814D2">
        <w:t>The personal archive of their father and art historian, the artist Noel Hutchison.</w:t>
      </w:r>
    </w:p>
    <w:p w14:paraId="15C8CF95" w14:textId="77777777" w:rsidR="009103CC" w:rsidRPr="001814D2" w:rsidRDefault="009103CC" w:rsidP="009103CC">
      <w:pPr>
        <w:pStyle w:val="Listitemasbody"/>
        <w:rPr>
          <w:b/>
          <w:bCs/>
        </w:rPr>
      </w:pPr>
      <w:r w:rsidRPr="001814D2">
        <w:rPr>
          <w:b/>
          <w:bCs/>
        </w:rPr>
        <w:t xml:space="preserve">Peter Kingston, donated through the Australian Government’s Cultural Gifts Program: </w:t>
      </w:r>
      <w:r w:rsidRPr="001814D2">
        <w:t>Wunderkabinet 1963–2018</w:t>
      </w:r>
    </w:p>
    <w:p w14:paraId="53D050C8" w14:textId="77777777" w:rsidR="009103CC" w:rsidRPr="001814D2" w:rsidRDefault="009103CC" w:rsidP="009103CC">
      <w:pPr>
        <w:pStyle w:val="Listitemasbody"/>
        <w:rPr>
          <w:b/>
          <w:bCs/>
        </w:rPr>
      </w:pPr>
      <w:r w:rsidRPr="001814D2">
        <w:rPr>
          <w:b/>
          <w:bCs/>
        </w:rPr>
        <w:t xml:space="preserve">Ramesh Mario Nithiyendran, donated through the Australian Government’s Cultural Gifts Program: </w:t>
      </w:r>
      <w:r w:rsidRPr="001814D2">
        <w:t>His personal archive.</w:t>
      </w:r>
    </w:p>
    <w:p w14:paraId="79B7F7B2" w14:textId="77777777" w:rsidR="009103CC" w:rsidRPr="001814D2" w:rsidRDefault="009103CC" w:rsidP="009103CC">
      <w:pPr>
        <w:pStyle w:val="Listitemasbody"/>
      </w:pPr>
      <w:r w:rsidRPr="001814D2">
        <w:rPr>
          <w:b/>
          <w:bCs/>
        </w:rPr>
        <w:t xml:space="preserve">Margaret Woodward and Britt Clapson, donated through the Australian Government’s Cultural Gifts Program: </w:t>
      </w:r>
      <w:r w:rsidRPr="001814D2">
        <w:t>The personal archive of Margaret Woodward.</w:t>
      </w:r>
    </w:p>
    <w:p w14:paraId="21A66F36" w14:textId="77777777" w:rsidR="009103CC" w:rsidRPr="001814D2" w:rsidRDefault="009103CC" w:rsidP="009103CC">
      <w:pPr>
        <w:pStyle w:val="Listitemasbody"/>
        <w:rPr>
          <w:b/>
          <w:bCs/>
        </w:rPr>
      </w:pPr>
      <w:r w:rsidRPr="001814D2">
        <w:rPr>
          <w:b/>
          <w:bCs/>
        </w:rPr>
        <w:t xml:space="preserve">Elinor Wrobel, donated through the Australian Government’s Cultural Gifts Program: </w:t>
      </w:r>
      <w:r w:rsidRPr="001814D2">
        <w:t>Her personal archive as a curator, collector and gallerist.</w:t>
      </w:r>
    </w:p>
    <w:p w14:paraId="090534BA" w14:textId="77777777" w:rsidR="009103CC" w:rsidRPr="001814D2" w:rsidRDefault="009103CC" w:rsidP="009103CC">
      <w:pPr>
        <w:pStyle w:val="ARheading3"/>
      </w:pPr>
      <w:r w:rsidRPr="001814D2">
        <w:t>Registration</w:t>
      </w:r>
    </w:p>
    <w:p w14:paraId="27C46956" w14:textId="77777777" w:rsidR="009103CC" w:rsidRPr="001814D2" w:rsidRDefault="009103CC" w:rsidP="009103CC">
      <w:pPr>
        <w:pStyle w:val="ARbody"/>
      </w:pPr>
      <w:r w:rsidRPr="001814D2">
        <w:t>During 2020–21, the Registration Department managed the acquisition process of 323 items into the collection, including the design and construction of long-term storage units. The department administered and packed the outward loan of 305 works of art from the collection to thirty national cultural institutions and three international cultural institutions.</w:t>
      </w:r>
    </w:p>
    <w:p w14:paraId="3509D0B3" w14:textId="77777777" w:rsidR="009103CC" w:rsidRPr="001814D2" w:rsidRDefault="009103CC" w:rsidP="009103CC">
      <w:pPr>
        <w:pStyle w:val="ARbody"/>
      </w:pPr>
      <w:r w:rsidRPr="001814D2">
        <w:t>Other activities included the administration and installation of twelve furnishing loans to two government offices; managing the new or renewed inward loan of 313 objects from fifteen lenders for long-term collection loan; and managing 1898 internal and external movement requests to move and relocate 9468 collection artworks.</w:t>
      </w:r>
    </w:p>
    <w:p w14:paraId="54982F4E" w14:textId="77777777" w:rsidR="009103CC" w:rsidRPr="001814D2" w:rsidRDefault="009103CC" w:rsidP="009103CC">
      <w:pPr>
        <w:pStyle w:val="ARbody"/>
      </w:pPr>
      <w:r w:rsidRPr="001814D2">
        <w:t xml:space="preserve">Registration undertook the collection inventory of 4302 works from the Asian collection and 317 ‘high value’ collection items worth over $1 million. </w:t>
      </w:r>
    </w:p>
    <w:p w14:paraId="6D5B99BA" w14:textId="77777777" w:rsidR="009103CC" w:rsidRPr="001814D2" w:rsidRDefault="009103CC" w:rsidP="009103CC">
      <w:pPr>
        <w:pStyle w:val="ARbody"/>
      </w:pPr>
      <w:r w:rsidRPr="001814D2">
        <w:t>Registration supervised visits from 105 people to the offsite store, including tertiary art students, benefactors, institutional colleagues and members of the public viewing specific works in the collection.</w:t>
      </w:r>
    </w:p>
    <w:p w14:paraId="6E255EF7" w14:textId="77777777" w:rsidR="009103CC" w:rsidRPr="001814D2" w:rsidRDefault="009103CC" w:rsidP="009103CC">
      <w:pPr>
        <w:pStyle w:val="ARbody"/>
      </w:pPr>
      <w:r w:rsidRPr="001814D2">
        <w:t>The Registration Department continues to manage the Art Gallery’s study room and works on paper store, and the offsite collection store.</w:t>
      </w:r>
    </w:p>
    <w:p w14:paraId="2AB9273D" w14:textId="77777777" w:rsidR="009103CC" w:rsidRPr="001814D2" w:rsidRDefault="009103CC" w:rsidP="009103CC">
      <w:pPr>
        <w:pStyle w:val="ARbody"/>
      </w:pPr>
      <w:r w:rsidRPr="001814D2">
        <w:lastRenderedPageBreak/>
        <w:t>The Exhibition Registration team managed 133 loaned artworks in five consignments from international lenders in the United Kingdom, Sweden, Singapore and New Zealand, including private collections and leading institutions comprising Museum of New Zealand Te Papa Tongarewa, Sarjeant Gallery Te Whare o Rehua and The Hilma af Klint Foundation.</w:t>
      </w:r>
    </w:p>
    <w:p w14:paraId="1C230C3B" w14:textId="77777777" w:rsidR="009103CC" w:rsidRPr="001814D2" w:rsidRDefault="009103CC" w:rsidP="009103CC">
      <w:pPr>
        <w:pStyle w:val="ARbody"/>
      </w:pPr>
      <w:r w:rsidRPr="001814D2">
        <w:t>The Exhibition Registration team also managed 852 loaned artworks in 254 consignments from Australian lenders, including private collections and institutions comprising Art Gallery of South Australia, Art Gallery of Ballarat, Heide Museum of Modern Art, Art Gallery of Western Australia, Artspace, Australian War Memorial, Bathurst Regional Art Gallery, Benalla Art Gallery, Bendigo Art Gallery, Buku-Larrnggay Mulka Art Centre, Cairns Art Gallery, Geelong Art Gallery, La Trobe Regional Gallery, Macquarie University, Mildura Arts Centre, National Gallery of Australia, National Library of Australia, National Portrait Gallery, New England Regional Art Museum, Newcastle Art Gallery, National Gallery of Victoria, Parliament House Canberra, Queensland Art Gallery and Gallery of Modern Art, Queensland University of Technology Art Museum, Reserve Bank Australia, Salamanca Art Centre, Shepparton Art Gallery, Tweed Regional Gallery and Margaret Olley Art Centre.</w:t>
      </w:r>
    </w:p>
    <w:p w14:paraId="0798E856" w14:textId="77777777" w:rsidR="009103CC" w:rsidRPr="001814D2" w:rsidRDefault="009103CC" w:rsidP="009103CC">
      <w:pPr>
        <w:pStyle w:val="ARbody"/>
      </w:pPr>
      <w:r w:rsidRPr="001814D2">
        <w:t>Accompanying these inward loans were three couriers from international and Australian lenders.</w:t>
      </w:r>
    </w:p>
    <w:p w14:paraId="1015E7DD" w14:textId="77777777" w:rsidR="009103CC" w:rsidRPr="001814D2" w:rsidRDefault="009103CC" w:rsidP="009103CC">
      <w:pPr>
        <w:pStyle w:val="ARbody"/>
      </w:pPr>
      <w:r w:rsidRPr="001814D2">
        <w:t>The Exhibition Registration team also received thirteen time-based artworks in eleven electronically based data transfers.</w:t>
      </w:r>
    </w:p>
    <w:p w14:paraId="336CBABD" w14:textId="77777777" w:rsidR="009103CC" w:rsidRPr="001814D2" w:rsidRDefault="009103CC" w:rsidP="009103CC">
      <w:pPr>
        <w:pStyle w:val="ARheading4"/>
      </w:pPr>
      <w:r w:rsidRPr="001814D2">
        <w:t>Touring exhibitions</w:t>
      </w:r>
    </w:p>
    <w:p w14:paraId="6D44BA00" w14:textId="77777777" w:rsidR="009103CC" w:rsidRPr="001814D2" w:rsidRDefault="009103CC" w:rsidP="009103CC">
      <w:pPr>
        <w:pStyle w:val="ARbody"/>
      </w:pPr>
      <w:r w:rsidRPr="001814D2">
        <w:t>Collection works included in Art Gallery of New South Wales touring exhibitions</w:t>
      </w:r>
    </w:p>
    <w:p w14:paraId="00A08DF0" w14:textId="77777777" w:rsidR="009103CC" w:rsidRPr="001814D2" w:rsidRDefault="009103CC" w:rsidP="009103CC">
      <w:pPr>
        <w:pStyle w:val="ARbody"/>
      </w:pPr>
      <w:r w:rsidRPr="001814D2">
        <w:t>Between July 2020 and June 2021, the Art Gallery toured six exhibitions to major regional galleries in NSW, Queensland and the Australian Capital Territory, including Bank Art Museum Moree, Bathurst Regional Art Gallery, Hawkesbury Regional Gallery, Maitland Regional Art Gallery, Coffs Harbour Regional Art Gallery, Tweed Regional Gallery and Margaret Olley Art Centre, Griffith Regional Gallery, Penrith Regional Gallery and Home of the Lewers Bequest, Lismore Regional Gallery, Museum of Art and Culture Lake Macquarie, Cairns Art Gallery, National Film and Sound Archives and National Library of Australia.</w:t>
      </w:r>
    </w:p>
    <w:p w14:paraId="2A71CE16" w14:textId="77777777" w:rsidR="009103CC" w:rsidRPr="001814D2" w:rsidRDefault="009103CC" w:rsidP="009103CC">
      <w:pPr>
        <w:pStyle w:val="ARbody"/>
      </w:pPr>
      <w:r w:rsidRPr="001814D2">
        <w:t xml:space="preserve">These exhibitions – the 2019 and 2020 Archibald Prize, </w:t>
      </w:r>
      <w:r w:rsidRPr="001814D2">
        <w:rPr>
          <w:i/>
          <w:iCs/>
        </w:rPr>
        <w:t>Real Worlds: Dobell Australian Drawing Biennial 2020, Fieldwork: Landscapes West of Sydney, Mervyn Bishop</w:t>
      </w:r>
      <w:r w:rsidRPr="001814D2">
        <w:t xml:space="preserve"> and </w:t>
      </w:r>
      <w:r w:rsidRPr="001814D2">
        <w:rPr>
          <w:i/>
          <w:iCs/>
        </w:rPr>
        <w:t>A Nation Imagined: The Artists of the Picturesque Atlas</w:t>
      </w:r>
      <w:r w:rsidRPr="001814D2">
        <w:t xml:space="preserve"> – comprised a total of 203 loaned and Art Gallery collection artworks and were seen by 128 194 visitors.</w:t>
      </w:r>
    </w:p>
    <w:p w14:paraId="6AFBE7AD" w14:textId="77777777" w:rsidR="009103CC" w:rsidRPr="001814D2" w:rsidRDefault="009103CC" w:rsidP="009103CC">
      <w:pPr>
        <w:pStyle w:val="Listitemasbody"/>
      </w:pPr>
      <w:r w:rsidRPr="001814D2">
        <w:rPr>
          <w:b/>
          <w:bCs/>
        </w:rPr>
        <w:t>Archibald Prize 2019</w:t>
      </w:r>
      <w:r w:rsidRPr="001814D2">
        <w:t xml:space="preserve"> Bank Art Museum Moree, 20 March – 24 March 2020/1 June – 26 July 2020; Bathurst Regional Art Gallery, 14 August – 11 October 2020; Coffs Harbour Regional </w:t>
      </w:r>
      <w:r w:rsidRPr="001814D2">
        <w:lastRenderedPageBreak/>
        <w:t xml:space="preserve">Gallery, 22 January – 6 March 2021: John Beard </w:t>
      </w:r>
      <w:r w:rsidRPr="001814D2">
        <w:rPr>
          <w:i/>
          <w:iCs/>
        </w:rPr>
        <w:t xml:space="preserve">Edmund (+ Bill) </w:t>
      </w:r>
      <w:r w:rsidRPr="001814D2">
        <w:t>2018, oil and wax on linen</w:t>
      </w:r>
    </w:p>
    <w:p w14:paraId="5CF3BA57" w14:textId="77777777" w:rsidR="009103CC" w:rsidRPr="001814D2" w:rsidRDefault="009103CC" w:rsidP="009103CC">
      <w:pPr>
        <w:pStyle w:val="Listitemasbody"/>
      </w:pPr>
      <w:r w:rsidRPr="001814D2">
        <w:rPr>
          <w:b/>
          <w:bCs/>
        </w:rPr>
        <w:t>Archibald Prize 2020</w:t>
      </w:r>
      <w:r w:rsidRPr="001814D2">
        <w:t xml:space="preserve"> Bank Art Museum Moree, 20 March – 24 March 2020/1 June – 26 July 2020; Tweed Regional Gallery and Margaret Olley Art Centre, 22 January – 7 March 2021; Cairns Art Gallery, 19 March – 2 May 2021; Griffith Regional Art Gallery, 14 May – 27 June 2021: Vincent Namatjira </w:t>
      </w:r>
      <w:r w:rsidRPr="001814D2">
        <w:rPr>
          <w:i/>
          <w:iCs/>
        </w:rPr>
        <w:t>Stand strong for who you are</w:t>
      </w:r>
      <w:r w:rsidRPr="001814D2">
        <w:t xml:space="preserve"> 2020, acrylic on linen, Mollie Gowing Acquisition Fund for Contemporary Aboriginal Art 2020; Kaylene Whiskey </w:t>
      </w:r>
      <w:r w:rsidRPr="001814D2">
        <w:rPr>
          <w:i/>
          <w:iCs/>
        </w:rPr>
        <w:t>Dolly visits Indulkana</w:t>
      </w:r>
      <w:r w:rsidRPr="001814D2">
        <w:t xml:space="preserve"> 2020, acrylic on linen with plastic jewels, purchased with funds provided by the Aboriginal Art Collection Benefactors 2020; Charlene Carrington </w:t>
      </w:r>
      <w:r w:rsidRPr="001814D2">
        <w:rPr>
          <w:i/>
          <w:iCs/>
        </w:rPr>
        <w:t>My dad, Churchill Cann</w:t>
      </w:r>
      <w:r w:rsidRPr="001814D2">
        <w:t xml:space="preserve"> 2020, natural ochre, pigment and PVA fixative on linen, purchased with funds provided by the Aboriginal Art Collection Benefactors 2020; Thea Anamara Perkins </w:t>
      </w:r>
      <w:r w:rsidRPr="001814D2">
        <w:rPr>
          <w:i/>
          <w:iCs/>
        </w:rPr>
        <w:t>Poppy Chicka</w:t>
      </w:r>
      <w:r w:rsidRPr="001814D2">
        <w:t xml:space="preserve"> 2020, acrylic on clayboard, purchased with funds provided by the Aboriginal Collection Benefactors 2020</w:t>
      </w:r>
    </w:p>
    <w:p w14:paraId="0D407FCA" w14:textId="77777777" w:rsidR="009103CC" w:rsidRPr="001814D2" w:rsidRDefault="009103CC" w:rsidP="009103CC">
      <w:pPr>
        <w:pStyle w:val="Listitemasbody"/>
      </w:pPr>
      <w:r w:rsidRPr="001814D2">
        <w:rPr>
          <w:b/>
          <w:bCs/>
        </w:rPr>
        <w:t>Mervyn Bishop</w:t>
      </w:r>
      <w:r w:rsidRPr="001814D2">
        <w:t xml:space="preserve"> National Film and Sound Archive, 5 March – 4 October 2021: Exhibition prints were made from these collection works so the tour could be displayed at smaller regional and remote venues. Mervyn Bishop </w:t>
      </w:r>
      <w:r w:rsidRPr="001814D2">
        <w:rPr>
          <w:i/>
          <w:iCs/>
        </w:rPr>
        <w:t>‘Bob’s catch’ Shoalhaven Heads</w:t>
      </w:r>
      <w:r w:rsidRPr="001814D2">
        <w:t xml:space="preserve"> 1974, printed 2018, ink jet print, digital exhibition copy of gelatin silver photograph; </w:t>
      </w:r>
      <w:r w:rsidRPr="001814D2">
        <w:rPr>
          <w:i/>
          <w:iCs/>
        </w:rPr>
        <w:t>Children playing in river, Mumeka</w:t>
      </w:r>
      <w:r w:rsidRPr="001814D2">
        <w:t xml:space="preserve"> 1975, printed 2018, ink jet print, digital exhibition copy of gelatin silver photograph; </w:t>
      </w:r>
      <w:r w:rsidRPr="001814D2">
        <w:rPr>
          <w:i/>
          <w:iCs/>
        </w:rPr>
        <w:t>Elders, Amata</w:t>
      </w:r>
      <w:r w:rsidRPr="001814D2">
        <w:t xml:space="preserve"> 1977, printed 2018, ink jet print, digital exhibition copy of gelatin silver photograph; </w:t>
      </w:r>
      <w:r w:rsidRPr="001814D2">
        <w:rPr>
          <w:i/>
          <w:iCs/>
        </w:rPr>
        <w:t xml:space="preserve">Girl pours tea, Burnt Bridge </w:t>
      </w:r>
      <w:r w:rsidRPr="001814D2">
        <w:t xml:space="preserve">1988 printed 2018, ink jet print, digital exhibition copy of gelatin silver photograph; </w:t>
      </w:r>
      <w:r w:rsidRPr="001814D2">
        <w:rPr>
          <w:i/>
          <w:iCs/>
        </w:rPr>
        <w:t>Life and death dash</w:t>
      </w:r>
      <w:r w:rsidRPr="001814D2">
        <w:t xml:space="preserve"> 1971, printed 2018, ink jet print, digital exhibition copy of gelatin silver photograph; </w:t>
      </w:r>
      <w:r w:rsidRPr="001814D2">
        <w:rPr>
          <w:i/>
          <w:iCs/>
        </w:rPr>
        <w:t>Lionel Rose at his press conference</w:t>
      </w:r>
      <w:r w:rsidRPr="001814D2">
        <w:t xml:space="preserve"> 1968, printed 2018, ink jet print, digital exhibition copy of gelatin silver photograph; </w:t>
      </w:r>
      <w:r w:rsidRPr="001814D2">
        <w:rPr>
          <w:i/>
          <w:iCs/>
        </w:rPr>
        <w:t>Photography cadets with model, Sydney Morning Herald</w:t>
      </w:r>
      <w:r w:rsidRPr="001814D2">
        <w:t xml:space="preserve"> 1967, printed 2018, ink jet print, digital exhibition copy of gelatin silver photograph; </w:t>
      </w:r>
      <w:r w:rsidRPr="001814D2">
        <w:rPr>
          <w:i/>
          <w:iCs/>
        </w:rPr>
        <w:t xml:space="preserve">Prime Minister Gough Whitlam pours soil into the hands of traditional land owner Vincent Lingiari, Northern Territory </w:t>
      </w:r>
      <w:r w:rsidRPr="001814D2">
        <w:t xml:space="preserve">1975, printed 2018, ink jet print, digital exhibition copy of type R3 photograph, Hallmark Cards Australian Photography Collection Fund 1991; </w:t>
      </w:r>
      <w:r w:rsidRPr="001814D2">
        <w:rPr>
          <w:i/>
          <w:iCs/>
        </w:rPr>
        <w:t xml:space="preserve">Alan Judd, ABC trainee radio announcer, Sydney </w:t>
      </w:r>
      <w:r w:rsidRPr="001814D2">
        <w:t xml:space="preserve">1968, printed 2018, ink jet print, digital exhibition copy of gelatin silver photograph; </w:t>
      </w:r>
      <w:r w:rsidRPr="001814D2">
        <w:rPr>
          <w:i/>
          <w:iCs/>
        </w:rPr>
        <w:t>The bus stop, Yalambie Reserve, Mt Isa</w:t>
      </w:r>
      <w:r w:rsidRPr="001814D2">
        <w:t xml:space="preserve"> 1974, printed 2018, ink jet print, digital exhibition copy of gelatin silver photograph; </w:t>
      </w:r>
      <w:r w:rsidRPr="001814D2">
        <w:rPr>
          <w:i/>
          <w:iCs/>
        </w:rPr>
        <w:t>Couple on veranda, Coffs Harbour</w:t>
      </w:r>
      <w:r w:rsidRPr="001814D2">
        <w:t xml:space="preserve"> 1988, printed 2018, ink jet print, digital exhibition copy of gelatin silver photograph; </w:t>
      </w:r>
      <w:r w:rsidRPr="001814D2">
        <w:rPr>
          <w:i/>
          <w:iCs/>
        </w:rPr>
        <w:t xml:space="preserve">Cousins, Ralph and Jim, Brewarrina </w:t>
      </w:r>
      <w:r w:rsidRPr="001814D2">
        <w:t xml:space="preserve">1966, printed 2018, ink jet print, digital exhibition copy of gelatin silver photograph; </w:t>
      </w:r>
      <w:r w:rsidRPr="001814D2">
        <w:rPr>
          <w:i/>
          <w:iCs/>
        </w:rPr>
        <w:t>Far West Children’s health clinic, Manly</w:t>
      </w:r>
      <w:r w:rsidRPr="001814D2">
        <w:t xml:space="preserve"> 1968, printed 2018, ink jet print, digital exhibition copy of gelatin silver photograph; </w:t>
      </w:r>
      <w:r w:rsidRPr="001814D2">
        <w:rPr>
          <w:i/>
          <w:iCs/>
        </w:rPr>
        <w:t xml:space="preserve">Fisherman Charlie Ardler, Wreck Bay </w:t>
      </w:r>
      <w:r w:rsidRPr="001814D2">
        <w:t xml:space="preserve">1975, printed 2018, ink jet print, digital exhibition copy of gelatin silver photograph; </w:t>
      </w:r>
      <w:r w:rsidRPr="001814D2">
        <w:rPr>
          <w:i/>
          <w:iCs/>
        </w:rPr>
        <w:t xml:space="preserve">Lois O’Donoghue CBA, AM, and Oodgeroo Noonuccal </w:t>
      </w:r>
      <w:r w:rsidRPr="001814D2">
        <w:t xml:space="preserve">1974, printed 2018, ink jet print, digital exhibition copy of gelatin silver photograph; </w:t>
      </w:r>
      <w:r w:rsidRPr="001814D2">
        <w:rPr>
          <w:i/>
          <w:iCs/>
        </w:rPr>
        <w:t xml:space="preserve">Pool game, Burnt Bridge </w:t>
      </w:r>
      <w:r w:rsidRPr="001814D2">
        <w:t xml:space="preserve">1988, printed 2018, ink jet print, digital exhibition copy </w:t>
      </w:r>
      <w:r w:rsidRPr="001814D2">
        <w:lastRenderedPageBreak/>
        <w:t xml:space="preserve">of gelatin silver photograph; </w:t>
      </w:r>
      <w:r w:rsidRPr="001814D2">
        <w:rPr>
          <w:i/>
          <w:iCs/>
        </w:rPr>
        <w:t>Roslyn Watson</w:t>
      </w:r>
      <w:r w:rsidRPr="001814D2">
        <w:t xml:space="preserve"> 1973, printed 2018, ink jet print, digital exhibition copy of gelatin silver photograph; </w:t>
      </w:r>
      <w:r w:rsidRPr="001814D2">
        <w:rPr>
          <w:i/>
          <w:iCs/>
        </w:rPr>
        <w:t>Save the children pre-school, Nambucca Heads</w:t>
      </w:r>
      <w:r w:rsidRPr="001814D2">
        <w:t xml:space="preserve"> 1974, printed 2018, ink jet print, digital exhibition copy of gelatin silver photograph; </w:t>
      </w:r>
      <w:r w:rsidRPr="001814D2">
        <w:rPr>
          <w:i/>
          <w:iCs/>
        </w:rPr>
        <w:t xml:space="preserve">School bus, Yarrabah </w:t>
      </w:r>
      <w:r w:rsidRPr="001814D2">
        <w:t xml:space="preserve">1974, printed 2018, ink jet print, digital exhibition copy of gelatin silver photograph; </w:t>
      </w:r>
      <w:r w:rsidRPr="001814D2">
        <w:rPr>
          <w:i/>
          <w:iCs/>
        </w:rPr>
        <w:t>Town picnic, Brewarrina</w:t>
      </w:r>
      <w:r w:rsidRPr="001814D2">
        <w:t xml:space="preserve"> 1966, printed 2018, ink jet print, digital exhibition copy of gelatin silver photograph; </w:t>
      </w:r>
      <w:r w:rsidRPr="001814D2">
        <w:rPr>
          <w:i/>
          <w:iCs/>
        </w:rPr>
        <w:t>Woman attend home management course at Yuendumu</w:t>
      </w:r>
      <w:r w:rsidRPr="001814D2">
        <w:t xml:space="preserve"> 1974, printed 2018, ink jet print, digital exhibition copy of gelatin silver photograph; </w:t>
      </w:r>
      <w:r w:rsidRPr="001814D2">
        <w:rPr>
          <w:i/>
          <w:iCs/>
        </w:rPr>
        <w:t>Woman standing near electric power cord in water, Burnt Bridge</w:t>
      </w:r>
      <w:r w:rsidRPr="001814D2">
        <w:t xml:space="preserve"> 1988, printed 2018, ink jet print, digital exhibition copy of gelatin silver photograph; </w:t>
      </w:r>
      <w:r w:rsidRPr="001814D2">
        <w:rPr>
          <w:i/>
          <w:iCs/>
        </w:rPr>
        <w:t xml:space="preserve">Womenfolk, Bowraville </w:t>
      </w:r>
      <w:r w:rsidRPr="001814D2">
        <w:t xml:space="preserve">1974, printed 2018, ink jet print, digital exhibition copy of gelatin silver photograph, purchased under the terms of the Florence Turner Blake Bequest 2008; </w:t>
      </w:r>
      <w:r w:rsidRPr="001814D2">
        <w:rPr>
          <w:i/>
          <w:iCs/>
        </w:rPr>
        <w:t>Jimmy Little – State Funeral Kwementyaye Perkins</w:t>
      </w:r>
      <w:r w:rsidRPr="001814D2">
        <w:t xml:space="preserve"> 2000, printed 2018, ink jet print, digital exhibition copy of gelatin silver photograph, purchased with funds provided by the Photography Collection Benefactors 2002 </w:t>
      </w:r>
    </w:p>
    <w:p w14:paraId="7E73163C" w14:textId="77777777" w:rsidR="009103CC" w:rsidRPr="001814D2" w:rsidRDefault="009103CC" w:rsidP="009103CC">
      <w:pPr>
        <w:pStyle w:val="Listitemasbody"/>
      </w:pPr>
      <w:r w:rsidRPr="001814D2">
        <w:rPr>
          <w:b/>
          <w:bCs/>
        </w:rPr>
        <w:t>Real Worlds: Dobell Australian Drawing Biennial 2020</w:t>
      </w:r>
      <w:r w:rsidRPr="001814D2">
        <w:t xml:space="preserve"> Lismore Regional Gallery, 6 March – 25 April 2021; Museum of Art and Culture, 15 May – 18 July 2021: Peter Mungkuri </w:t>
      </w:r>
      <w:r w:rsidRPr="001814D2">
        <w:rPr>
          <w:i/>
          <w:iCs/>
        </w:rPr>
        <w:t>Punu Ngura (Country with trees) 1</w:t>
      </w:r>
      <w:r w:rsidRPr="001814D2">
        <w:t xml:space="preserve"> 2018, black and white ink on paper; </w:t>
      </w:r>
      <w:r w:rsidRPr="001814D2">
        <w:rPr>
          <w:i/>
          <w:iCs/>
        </w:rPr>
        <w:t>Punu Ngura (Country with trees) 2</w:t>
      </w:r>
      <w:r w:rsidRPr="001814D2">
        <w:t xml:space="preserve"> 2018, black ink on paper; </w:t>
      </w:r>
      <w:r w:rsidRPr="001814D2">
        <w:rPr>
          <w:i/>
          <w:iCs/>
        </w:rPr>
        <w:t>Punu Ngura (Country with trees) 3</w:t>
      </w:r>
      <w:r w:rsidRPr="001814D2">
        <w:t xml:space="preserve"> 2019, black and white ink on paper; </w:t>
      </w:r>
      <w:r w:rsidRPr="001814D2">
        <w:rPr>
          <w:i/>
          <w:iCs/>
        </w:rPr>
        <w:t>Punu Ngura (Country with trees) 4</w:t>
      </w:r>
      <w:r w:rsidRPr="001814D2">
        <w:t xml:space="preserve"> 2019, black and white ink on paper, purchased with funds provided by the Aboriginal Art Collection Benefactors 2019; Martin Bell </w:t>
      </w:r>
      <w:r w:rsidRPr="001814D2">
        <w:rPr>
          <w:i/>
          <w:iCs/>
        </w:rPr>
        <w:t>Martin Son of the Universe, what me worry</w:t>
      </w:r>
      <w:r w:rsidRPr="001814D2">
        <w:t xml:space="preserve"> 2019, ink on BFK Rives paper, Dobell Biennial Acquisition Fund and Australian Prints, Drawings and Watercolours Benefactors 2021; Becc Orszag </w:t>
      </w:r>
      <w:r w:rsidRPr="001814D2">
        <w:rPr>
          <w:i/>
          <w:iCs/>
        </w:rPr>
        <w:t>Fantasy of virtue/ All things and nothing</w:t>
      </w:r>
      <w:r w:rsidRPr="001814D2">
        <w:t xml:space="preserve"> 2018–20, graphite pencil and 24kt gold leaf on 600gsm Fabriano watercolour paper in bespoke frames, Gil and Shay Docking Drawing Fund 2021; Nathan Hawkes </w:t>
      </w:r>
      <w:r w:rsidRPr="001814D2">
        <w:rPr>
          <w:i/>
          <w:iCs/>
        </w:rPr>
        <w:t>It is here in a worn-down province</w:t>
      </w:r>
      <w:r w:rsidRPr="001814D2">
        <w:t xml:space="preserve"> 2020, dry-pigment pastel on paper; </w:t>
      </w:r>
      <w:r w:rsidRPr="001814D2">
        <w:rPr>
          <w:i/>
          <w:iCs/>
        </w:rPr>
        <w:t>they hear the wind tell of the burned off fields but they are no children no one carries them anymore</w:t>
      </w:r>
      <w:r w:rsidRPr="001814D2">
        <w:t xml:space="preserve"> 2020, dry-pigment pastel on paper, purchased with funds provided by the Contemporary Collection Benefactors 2021 </w:t>
      </w:r>
    </w:p>
    <w:p w14:paraId="2029024C" w14:textId="77777777" w:rsidR="009103CC" w:rsidRPr="001814D2" w:rsidRDefault="009103CC" w:rsidP="009103CC">
      <w:pPr>
        <w:pStyle w:val="Listitemasbody"/>
      </w:pPr>
      <w:r w:rsidRPr="001814D2">
        <w:rPr>
          <w:b/>
          <w:bCs/>
        </w:rPr>
        <w:t>Fieldwork: Landscapes West of Sydney</w:t>
      </w:r>
      <w:r w:rsidRPr="001814D2">
        <w:t xml:space="preserve"> Hawkesbury Regional Gallery, 17 July – 20 September 2020; Maitland Regional Art Gallery, 28 November 2020 – 7 February 2021; Penrith Regional Gallery, Home of the Lewers Bequest, 12 March – 9 May 2021: Sydney Ure Smith </w:t>
      </w:r>
      <w:r w:rsidRPr="001814D2">
        <w:rPr>
          <w:i/>
          <w:iCs/>
        </w:rPr>
        <w:t>Ah Lum’s</w:t>
      </w:r>
      <w:r w:rsidRPr="001814D2">
        <w:t xml:space="preserve"> </w:t>
      </w:r>
      <w:r w:rsidRPr="001814D2">
        <w:rPr>
          <w:i/>
          <w:iCs/>
        </w:rPr>
        <w:t>farm, Windsor</w:t>
      </w:r>
      <w:r w:rsidRPr="001814D2">
        <w:t xml:space="preserve"> 1923, etching, printed in brown ink on cream laid paper; </w:t>
      </w:r>
      <w:r w:rsidRPr="001814D2">
        <w:rPr>
          <w:i/>
          <w:iCs/>
        </w:rPr>
        <w:t xml:space="preserve">The church on the hill </w:t>
      </w:r>
      <w:r w:rsidRPr="001814D2">
        <w:t xml:space="preserve">1918, etching, printed in black ink with pale plate tone on cream laid paper; </w:t>
      </w:r>
      <w:r w:rsidRPr="001814D2">
        <w:rPr>
          <w:i/>
          <w:iCs/>
        </w:rPr>
        <w:t>Deserted courtyard, Hartley</w:t>
      </w:r>
      <w:r w:rsidRPr="001814D2">
        <w:t xml:space="preserve"> 1920, etching, printed in brown-black ink with pale plate tone on cream laid paper; </w:t>
      </w:r>
      <w:r w:rsidRPr="001814D2">
        <w:rPr>
          <w:i/>
          <w:iCs/>
        </w:rPr>
        <w:t>Entrance to the farm, Campbelltown</w:t>
      </w:r>
      <w:r w:rsidRPr="001814D2">
        <w:t xml:space="preserve"> c1919, etching, printed in black ink with plate tone, hand drawn additions in pencil on cream laid paper; </w:t>
      </w:r>
      <w:r w:rsidRPr="001814D2">
        <w:rPr>
          <w:i/>
          <w:iCs/>
        </w:rPr>
        <w:t>Freezing works, Parramatta River</w:t>
      </w:r>
      <w:r w:rsidRPr="001814D2">
        <w:t xml:space="preserve"> 1914, etching, printed in black ink on cream laid paper; </w:t>
      </w:r>
      <w:r w:rsidRPr="001814D2">
        <w:rPr>
          <w:i/>
          <w:iCs/>
        </w:rPr>
        <w:t>Lennox Bridge, Parramatta</w:t>
      </w:r>
      <w:r w:rsidRPr="001814D2">
        <w:t xml:space="preserve"> 1917, etching, printed in brown/black ink with plate tone on cream laid paper; </w:t>
      </w:r>
      <w:r w:rsidRPr="001814D2">
        <w:rPr>
          <w:i/>
          <w:iCs/>
        </w:rPr>
        <w:t xml:space="preserve">The </w:t>
      </w:r>
      <w:r w:rsidRPr="001814D2">
        <w:rPr>
          <w:i/>
          <w:iCs/>
        </w:rPr>
        <w:lastRenderedPageBreak/>
        <w:t>little porch, Campbelltown</w:t>
      </w:r>
      <w:r w:rsidRPr="001814D2">
        <w:t xml:space="preserve"> 1919, etching, printed in black ink on ivory laid paper; </w:t>
      </w:r>
      <w:r w:rsidRPr="001814D2">
        <w:rPr>
          <w:i/>
          <w:iCs/>
        </w:rPr>
        <w:t>St Matthew’s church, Windsor</w:t>
      </w:r>
      <w:r w:rsidRPr="001814D2">
        <w:t xml:space="preserve"> c1919, etching, printed in black ink with pale plate tone on cream laid paper; </w:t>
      </w:r>
      <w:r w:rsidRPr="001814D2">
        <w:rPr>
          <w:i/>
          <w:iCs/>
        </w:rPr>
        <w:t>Stables of the currency lass, Parramatta</w:t>
      </w:r>
      <w:r w:rsidRPr="001814D2">
        <w:t xml:space="preserve"> 1914, etching, printed in brown/black ink with plate tone on cream laid paper; </w:t>
      </w:r>
      <w:r w:rsidRPr="001814D2">
        <w:rPr>
          <w:i/>
          <w:iCs/>
        </w:rPr>
        <w:t>The three barns, Windsor</w:t>
      </w:r>
      <w:r w:rsidRPr="001814D2">
        <w:t xml:space="preserve"> c1920s, etching, printed in black ink with plate tone on cream laid paper; </w:t>
      </w:r>
      <w:r w:rsidRPr="001814D2">
        <w:rPr>
          <w:i/>
          <w:iCs/>
        </w:rPr>
        <w:t>The Windsor farm</w:t>
      </w:r>
      <w:r w:rsidRPr="001814D2">
        <w:t xml:space="preserve"> c1919, etching, printed in black ink on ivory paper, purchased with funds provided by the Australian Prints, Drawings and Watercolours Benefactors 2016; </w:t>
      </w:r>
      <w:r w:rsidRPr="001814D2">
        <w:rPr>
          <w:i/>
          <w:iCs/>
        </w:rPr>
        <w:t>Entrance, old colonial residence, Windsor</w:t>
      </w:r>
      <w:r w:rsidRPr="001814D2">
        <w:t xml:space="preserve"> 1917, etching, printed in black ink with plate tone on cream paper, gift of Sir Kenneth Street 1962; </w:t>
      </w:r>
      <w:r w:rsidRPr="001814D2">
        <w:rPr>
          <w:i/>
          <w:iCs/>
        </w:rPr>
        <w:t>Old cottage, Hartley</w:t>
      </w:r>
      <w:r w:rsidRPr="001814D2">
        <w:t xml:space="preserve"> 1920, etching, printed in brown-black ink with pale plate tone on ivory laid paper, purchased 1921; </w:t>
      </w:r>
      <w:r w:rsidRPr="001814D2">
        <w:rPr>
          <w:i/>
          <w:iCs/>
        </w:rPr>
        <w:t>The river, Windsor</w:t>
      </w:r>
      <w:r w:rsidRPr="001814D2">
        <w:t xml:space="preserve"> 1920, etching, printed in black ink on cream laid paper, gift of Sir Kenneth Street 1962; JH Carse </w:t>
      </w:r>
      <w:r w:rsidRPr="001814D2">
        <w:rPr>
          <w:i/>
          <w:iCs/>
        </w:rPr>
        <w:t>Burragorang Valley near Picton</w:t>
      </w:r>
      <w:r w:rsidRPr="001814D2">
        <w:t xml:space="preserve"> 1879, oil on canvas, gift of Miss Phyllis M Brown 1968; Lorna Nimmo </w:t>
      </w:r>
      <w:r w:rsidRPr="001814D2">
        <w:rPr>
          <w:i/>
          <w:iCs/>
        </w:rPr>
        <w:t>The bush fire’s passage</w:t>
      </w:r>
      <w:r w:rsidRPr="001814D2">
        <w:t xml:space="preserve"> 1952, oil on aluminium, purchased 1954; </w:t>
      </w:r>
      <w:r w:rsidRPr="001814D2">
        <w:rPr>
          <w:i/>
          <w:iCs/>
        </w:rPr>
        <w:t>Collitts Inn and the dark pines</w:t>
      </w:r>
      <w:r w:rsidRPr="001814D2">
        <w:t xml:space="preserve"> 1948, watercolour, purchased 1948; JJ Hilder </w:t>
      </w:r>
      <w:r w:rsidRPr="001814D2">
        <w:rPr>
          <w:i/>
          <w:iCs/>
        </w:rPr>
        <w:t>Deviation work</w:t>
      </w:r>
      <w:r w:rsidRPr="001814D2">
        <w:t xml:space="preserve"> c1913, pencil, watercolour, Bequest of Julius Wilfred (Wilf) Hilder 2011; </w:t>
      </w:r>
      <w:r w:rsidRPr="001814D2">
        <w:rPr>
          <w:i/>
          <w:iCs/>
        </w:rPr>
        <w:t>Landscape (house in the mountains</w:t>
      </w:r>
      <w:r w:rsidRPr="001814D2">
        <w:t xml:space="preserve">) 1909, watercolour on paper, Bequest of Dr Sinclair Gillies 1952; </w:t>
      </w:r>
      <w:r w:rsidRPr="001814D2">
        <w:rPr>
          <w:i/>
          <w:iCs/>
        </w:rPr>
        <w:t>Lennox Bridge, Parramatta</w:t>
      </w:r>
      <w:r w:rsidRPr="001814D2">
        <w:t xml:space="preserve"> 1914, pencil, watercolour, gift of Howard Hinton 1917; Lucien Henry </w:t>
      </w:r>
      <w:r w:rsidRPr="001814D2">
        <w:rPr>
          <w:i/>
          <w:iCs/>
        </w:rPr>
        <w:t>Devil’s Coach-house, Fish River Caves</w:t>
      </w:r>
      <w:r w:rsidRPr="001814D2">
        <w:t xml:space="preserve"> 1883, oil on canvas, Marshall Bequest Fund 1979; Lionel Lindsay </w:t>
      </w:r>
      <w:r w:rsidRPr="001814D2">
        <w:rPr>
          <w:i/>
          <w:iCs/>
        </w:rPr>
        <w:t>The doctor’s house, Windsor</w:t>
      </w:r>
      <w:r w:rsidRPr="001814D2">
        <w:t xml:space="preserve">, watercolour, Gift of Howard Hinton 1919; </w:t>
      </w:r>
      <w:r w:rsidRPr="001814D2">
        <w:rPr>
          <w:i/>
          <w:iCs/>
        </w:rPr>
        <w:t>Kurrajong orchard</w:t>
      </w:r>
      <w:r w:rsidRPr="001814D2">
        <w:t xml:space="preserve"> 1925, wood engraving, printed in black ink on ivory wove paper, gift of Sir Kenneth Street 1962; Arthur Murch </w:t>
      </w:r>
      <w:r w:rsidRPr="001814D2">
        <w:rPr>
          <w:i/>
          <w:iCs/>
        </w:rPr>
        <w:t>The gorge</w:t>
      </w:r>
      <w:r w:rsidRPr="001814D2">
        <w:t xml:space="preserve"> 1945, oil on canvas on paperboard, Marshall Bequest Fund 1945; Sydney Long </w:t>
      </w:r>
      <w:r w:rsidRPr="001814D2">
        <w:rPr>
          <w:i/>
          <w:iCs/>
        </w:rPr>
        <w:t>Hawkesbury landscape</w:t>
      </w:r>
      <w:r w:rsidRPr="001814D2">
        <w:t xml:space="preserve"> c1925, oil on canvas, purchased 1925; </w:t>
      </w:r>
      <w:r w:rsidRPr="001814D2">
        <w:rPr>
          <w:i/>
          <w:iCs/>
        </w:rPr>
        <w:t>Midday</w:t>
      </w:r>
      <w:r w:rsidRPr="001814D2">
        <w:t xml:space="preserve"> 1896, oil on canvas, purchased 1896; </w:t>
      </w:r>
      <w:r w:rsidRPr="001814D2">
        <w:rPr>
          <w:i/>
          <w:iCs/>
        </w:rPr>
        <w:t>Reflections, McDonald River</w:t>
      </w:r>
      <w:r w:rsidRPr="001814D2">
        <w:t xml:space="preserve"> c1926, oil on canvas, purchased 1931; </w:t>
      </w:r>
      <w:r w:rsidRPr="001814D2">
        <w:rPr>
          <w:i/>
          <w:iCs/>
        </w:rPr>
        <w:t>Spring, St Albans, McDonald River</w:t>
      </w:r>
      <w:r w:rsidRPr="001814D2">
        <w:t xml:space="preserve"> c1926, oil on canvas, purchased 1926; Howard Ashton </w:t>
      </w:r>
      <w:r w:rsidRPr="001814D2">
        <w:rPr>
          <w:i/>
          <w:iCs/>
        </w:rPr>
        <w:t>Mountain steeps</w:t>
      </w:r>
      <w:r w:rsidRPr="001814D2">
        <w:t xml:space="preserve"> 1926, oil on canvas, gift of RR Dangar 1927; </w:t>
      </w:r>
      <w:r w:rsidRPr="001814D2">
        <w:rPr>
          <w:i/>
          <w:iCs/>
        </w:rPr>
        <w:t>Jamieson Valley</w:t>
      </w:r>
      <w:r w:rsidRPr="001814D2">
        <w:t xml:space="preserve"> 1931, oil on canvas, Marshall Bequest Fund 1932; WC Piguenit </w:t>
      </w:r>
      <w:r w:rsidRPr="001814D2">
        <w:rPr>
          <w:i/>
          <w:iCs/>
        </w:rPr>
        <w:t>In the valley of the Grose</w:t>
      </w:r>
      <w:r w:rsidRPr="001814D2">
        <w:t xml:space="preserve"> 1880, oil, purchased 1895; </w:t>
      </w:r>
      <w:r w:rsidRPr="001814D2">
        <w:rPr>
          <w:i/>
          <w:iCs/>
        </w:rPr>
        <w:t>The Upper Nepean</w:t>
      </w:r>
      <w:r w:rsidRPr="001814D2">
        <w:t xml:space="preserve"> 1889, oil on canvas, purchased 1889; Adelaide Perry </w:t>
      </w:r>
      <w:r w:rsidRPr="001814D2">
        <w:rPr>
          <w:i/>
          <w:iCs/>
        </w:rPr>
        <w:t xml:space="preserve">Kurrajong (The citrus orchard) </w:t>
      </w:r>
      <w:r w:rsidRPr="001814D2">
        <w:t xml:space="preserve">c1929, linocut, printed in black ink on thin ivory laid paper, purchased 1975; Gladys Owen </w:t>
      </w:r>
      <w:r w:rsidRPr="001814D2">
        <w:rPr>
          <w:i/>
          <w:iCs/>
        </w:rPr>
        <w:t xml:space="preserve">Kurrajong country </w:t>
      </w:r>
      <w:r w:rsidRPr="001814D2">
        <w:t>1930s</w:t>
      </w:r>
      <w:r w:rsidRPr="001814D2">
        <w:rPr>
          <w:i/>
          <w:iCs/>
        </w:rPr>
        <w:t xml:space="preserve">, </w:t>
      </w:r>
      <w:r w:rsidRPr="001814D2">
        <w:t xml:space="preserve">wood engraving, printed in black ink on ivory paper, purchased with funds provided by the Australian Art Collection Benefactors 1999; Desiderius Orban </w:t>
      </w:r>
      <w:r w:rsidRPr="001814D2">
        <w:rPr>
          <w:i/>
          <w:iCs/>
        </w:rPr>
        <w:t>Kurrajong Heights</w:t>
      </w:r>
      <w:r w:rsidRPr="001814D2">
        <w:t xml:space="preserve"> 1943, pastel on paper, purchased 1945; Elioth Gruner </w:t>
      </w:r>
      <w:r w:rsidRPr="001814D2">
        <w:rPr>
          <w:i/>
          <w:iCs/>
        </w:rPr>
        <w:t>Man and mountains</w:t>
      </w:r>
      <w:r w:rsidRPr="001814D2">
        <w:t xml:space="preserve"> 1926, oil on canvas, purchased 1926; </w:t>
      </w:r>
      <w:r w:rsidRPr="001814D2">
        <w:rPr>
          <w:i/>
          <w:iCs/>
        </w:rPr>
        <w:t>Morning light</w:t>
      </w:r>
      <w:r w:rsidRPr="001814D2">
        <w:t xml:space="preserve"> 1916, oil on canvas on cardboard, purchased 1916; </w:t>
      </w:r>
      <w:r w:rsidRPr="001814D2">
        <w:rPr>
          <w:i/>
          <w:iCs/>
        </w:rPr>
        <w:t>Spring frost</w:t>
      </w:r>
      <w:r w:rsidRPr="001814D2">
        <w:t xml:space="preserve"> 1919, oil on canvas, gift of FG White 1939; </w:t>
      </w:r>
      <w:r w:rsidRPr="001814D2">
        <w:rPr>
          <w:i/>
          <w:iCs/>
        </w:rPr>
        <w:t>Parramatta Park</w:t>
      </w:r>
      <w:r w:rsidRPr="001814D2">
        <w:t xml:space="preserve"> 1919, etching, printed in brown ink on ivory laid paper, gift of John Heney in memory of the artist 1939; </w:t>
      </w:r>
      <w:r w:rsidRPr="001814D2">
        <w:rPr>
          <w:i/>
          <w:iCs/>
        </w:rPr>
        <w:t>Summer morning</w:t>
      </w:r>
      <w:r w:rsidRPr="001814D2">
        <w:t xml:space="preserve"> 1916, oil on canvas, gift of Howard Hinton 1939; Roland Wakelin </w:t>
      </w:r>
      <w:r w:rsidRPr="001814D2">
        <w:rPr>
          <w:i/>
          <w:iCs/>
        </w:rPr>
        <w:t>Narellan</w:t>
      </w:r>
      <w:r w:rsidRPr="001814D2">
        <w:t xml:space="preserve"> 1917, oil on canvas on plywood, gift of Alan and Jancis Rees 2014, donated through the Australian Government’s Cultural Gifts Program; </w:t>
      </w:r>
      <w:r w:rsidRPr="001814D2">
        <w:rPr>
          <w:i/>
          <w:iCs/>
        </w:rPr>
        <w:t>The river at Windsor</w:t>
      </w:r>
      <w:r w:rsidRPr="001814D2">
        <w:t xml:space="preserve"> 1934, oil on paperboard, purchased 1967; Charles Meere </w:t>
      </w:r>
      <w:r w:rsidRPr="001814D2">
        <w:rPr>
          <w:i/>
          <w:iCs/>
        </w:rPr>
        <w:t>The old coach house yard, Brownlow Hill</w:t>
      </w:r>
      <w:r w:rsidRPr="001814D2">
        <w:t xml:space="preserve"> 1953, oil on canvas on cardboard, purchased 1953; Julian Ashton </w:t>
      </w:r>
      <w:r w:rsidRPr="001814D2">
        <w:rPr>
          <w:i/>
          <w:iCs/>
        </w:rPr>
        <w:t xml:space="preserve">A solitary </w:t>
      </w:r>
      <w:r w:rsidRPr="001814D2">
        <w:rPr>
          <w:i/>
          <w:iCs/>
        </w:rPr>
        <w:lastRenderedPageBreak/>
        <w:t>ramble</w:t>
      </w:r>
      <w:r w:rsidRPr="001814D2">
        <w:t xml:space="preserve"> 1888, watercolour, opaque white highlights on paper, purchased 1888; </w:t>
      </w:r>
      <w:r w:rsidRPr="001814D2">
        <w:rPr>
          <w:i/>
          <w:iCs/>
        </w:rPr>
        <w:t>A waterhole on the Hawkesbury River</w:t>
      </w:r>
      <w:r w:rsidRPr="001814D2">
        <w:t xml:space="preserve"> 1885, oil on canvas, transferred to the Gallery by the Colonial Secretary 1892; Howard Ashton </w:t>
      </w:r>
      <w:r w:rsidRPr="001814D2">
        <w:rPr>
          <w:i/>
          <w:iCs/>
        </w:rPr>
        <w:t>Sunlight and spaces</w:t>
      </w:r>
      <w:r w:rsidRPr="001814D2">
        <w:t xml:space="preserve"> 1919, pastel on paper, purchased 1919; Lance Solomon </w:t>
      </w:r>
      <w:r w:rsidRPr="001814D2">
        <w:rPr>
          <w:i/>
          <w:iCs/>
        </w:rPr>
        <w:t>Terminus St Liverpool</w:t>
      </w:r>
      <w:r w:rsidRPr="001814D2">
        <w:t xml:space="preserve"> 1943, oil on canvas on paperboard, Marshall Bequest Fund 1943; Penleigh Boyd </w:t>
      </w:r>
      <w:r w:rsidRPr="001814D2">
        <w:rPr>
          <w:i/>
          <w:iCs/>
        </w:rPr>
        <w:t>The three sisters</w:t>
      </w:r>
      <w:r w:rsidRPr="001814D2">
        <w:t xml:space="preserve"> 1914, watercolour, pencil, gift of Howard Hinton 1925; Hilda Rix Nicholas </w:t>
      </w:r>
      <w:r w:rsidRPr="001814D2">
        <w:rPr>
          <w:i/>
          <w:iCs/>
        </w:rPr>
        <w:t>Through the gum trees, Toongabbie</w:t>
      </w:r>
      <w:r w:rsidRPr="001814D2">
        <w:t xml:space="preserve"> c1920, oil on canvas, acquired with the support of the Art Gallery Society of NSW through the Dagmar Halas Bequest 2016; Freda Robertshaw </w:t>
      </w:r>
      <w:r w:rsidRPr="001814D2">
        <w:rPr>
          <w:i/>
          <w:iCs/>
        </w:rPr>
        <w:t>A windy day, Carlon’s Farm</w:t>
      </w:r>
      <w:r w:rsidRPr="001814D2">
        <w:t xml:space="preserve"> 1945, oil on paper on paperboard, purchased 1945; Arthur Streeton </w:t>
      </w:r>
      <w:r w:rsidRPr="001814D2">
        <w:rPr>
          <w:i/>
          <w:iCs/>
        </w:rPr>
        <w:t>Prospect reservoir</w:t>
      </w:r>
      <w:r w:rsidRPr="001814D2">
        <w:t xml:space="preserve"> 1895, oil on canvas, gift of the Metropolitan Water and Sewerage Board 1937</w:t>
      </w:r>
    </w:p>
    <w:p w14:paraId="6049D2E2" w14:textId="77777777" w:rsidR="009103CC" w:rsidRPr="001814D2" w:rsidRDefault="009103CC" w:rsidP="009103CC">
      <w:pPr>
        <w:pStyle w:val="ARheading4"/>
      </w:pPr>
      <w:r w:rsidRPr="001814D2">
        <w:t>Long-term inward loans</w:t>
      </w:r>
    </w:p>
    <w:p w14:paraId="0B2C0790" w14:textId="77777777" w:rsidR="009103CC" w:rsidRPr="001814D2" w:rsidRDefault="009103CC" w:rsidP="009103CC">
      <w:pPr>
        <w:pStyle w:val="Listitemasbody"/>
      </w:pPr>
      <w:r w:rsidRPr="001814D2">
        <w:rPr>
          <w:b/>
          <w:bCs/>
        </w:rPr>
        <w:t>John Kaldor Family Collection</w:t>
      </w:r>
      <w:r w:rsidRPr="001814D2">
        <w:t xml:space="preserve"> 26 August 2020 – 30 June 2022: Sir Eduardo Paolozzi </w:t>
      </w:r>
      <w:r w:rsidRPr="001814D2">
        <w:rPr>
          <w:i/>
          <w:iCs/>
        </w:rPr>
        <w:t xml:space="preserve">Figure </w:t>
      </w:r>
      <w:r w:rsidRPr="001814D2">
        <w:t>1958, bronze</w:t>
      </w:r>
    </w:p>
    <w:p w14:paraId="332AE286" w14:textId="77777777" w:rsidR="009103CC" w:rsidRPr="001814D2" w:rsidRDefault="009103CC" w:rsidP="009103CC">
      <w:pPr>
        <w:pStyle w:val="Listitemasbody"/>
      </w:pPr>
      <w:r w:rsidRPr="001814D2">
        <w:rPr>
          <w:b/>
          <w:bCs/>
        </w:rPr>
        <w:t>Jacobs Douwe Egberts (Au) Pty Ltd</w:t>
      </w:r>
      <w:r w:rsidRPr="001814D2">
        <w:t xml:space="preserve"> 2 September 2020 – 2 September 2021 (renewed): Jeffrey Smart </w:t>
      </w:r>
      <w:r w:rsidRPr="001814D2">
        <w:rPr>
          <w:i/>
          <w:iCs/>
        </w:rPr>
        <w:t>The surfers, Bondi</w:t>
      </w:r>
      <w:r w:rsidRPr="001814D2">
        <w:t xml:space="preserve"> 1963, oil on board</w:t>
      </w:r>
    </w:p>
    <w:p w14:paraId="0F4105E6" w14:textId="77777777" w:rsidR="009103CC" w:rsidRPr="001814D2" w:rsidRDefault="009103CC" w:rsidP="009103CC">
      <w:pPr>
        <w:pStyle w:val="Listitemasbody"/>
      </w:pPr>
      <w:r w:rsidRPr="001814D2">
        <w:rPr>
          <w:b/>
          <w:bCs/>
        </w:rPr>
        <w:t>Private collection</w:t>
      </w:r>
      <w:r w:rsidRPr="001814D2">
        <w:t xml:space="preserve"> 13 September 2020 – 12 September 2021 (renewed): Jane Sutherland </w:t>
      </w:r>
      <w:r w:rsidRPr="001814D2">
        <w:rPr>
          <w:i/>
          <w:iCs/>
        </w:rPr>
        <w:t>After autumn rains</w:t>
      </w:r>
      <w:r w:rsidRPr="001814D2">
        <w:t xml:space="preserve"> c1893, oil on canvas</w:t>
      </w:r>
    </w:p>
    <w:p w14:paraId="4C8C0C84" w14:textId="77777777" w:rsidR="009103CC" w:rsidRPr="001814D2" w:rsidRDefault="009103CC" w:rsidP="009103CC">
      <w:pPr>
        <w:pStyle w:val="Listitemasbody"/>
      </w:pPr>
      <w:r w:rsidRPr="001814D2">
        <w:rPr>
          <w:b/>
          <w:bCs/>
        </w:rPr>
        <w:t>Private collection</w:t>
      </w:r>
      <w:r w:rsidRPr="001814D2">
        <w:t xml:space="preserve"> 1 November 2020 – 1 December 2021: Francis Fowke (designer) </w:t>
      </w:r>
      <w:r w:rsidRPr="001814D2">
        <w:rPr>
          <w:i/>
          <w:iCs/>
        </w:rPr>
        <w:t>Two Victorian mahogany free-standing museum vitrines</w:t>
      </w:r>
      <w:r w:rsidRPr="001814D2">
        <w:t xml:space="preserve"> c1875</w:t>
      </w:r>
    </w:p>
    <w:p w14:paraId="33C8F421" w14:textId="77777777" w:rsidR="009103CC" w:rsidRPr="001814D2" w:rsidRDefault="009103CC" w:rsidP="009103CC">
      <w:pPr>
        <w:pStyle w:val="Listitemasbody"/>
      </w:pPr>
      <w:r w:rsidRPr="001814D2">
        <w:rPr>
          <w:b/>
          <w:bCs/>
        </w:rPr>
        <w:t>Private collection</w:t>
      </w:r>
      <w:r w:rsidRPr="001814D2">
        <w:t xml:space="preserve"> 21 November 2020 – 21 November 2023 (renewed): Wassily Kandinsky </w:t>
      </w:r>
      <w:r w:rsidRPr="001814D2">
        <w:rPr>
          <w:i/>
          <w:iCs/>
        </w:rPr>
        <w:t>Untitled</w:t>
      </w:r>
      <w:r w:rsidRPr="001814D2">
        <w:t xml:space="preserve"> 1940, gouache</w:t>
      </w:r>
    </w:p>
    <w:p w14:paraId="3F4A571A" w14:textId="77777777" w:rsidR="009103CC" w:rsidRPr="001814D2" w:rsidRDefault="009103CC" w:rsidP="009103CC">
      <w:pPr>
        <w:pStyle w:val="Listitemasbody"/>
      </w:pPr>
      <w:r w:rsidRPr="001814D2">
        <w:rPr>
          <w:b/>
          <w:bCs/>
        </w:rPr>
        <w:t>Mr Satis Arnold</w:t>
      </w:r>
      <w:r w:rsidRPr="001814D2">
        <w:t xml:space="preserve"> 16 December 2020 – 15 December 2025 (renewed): Zhang Daqian </w:t>
      </w:r>
      <w:r w:rsidRPr="001814D2">
        <w:rPr>
          <w:i/>
          <w:iCs/>
        </w:rPr>
        <w:t>Homeward passing through the stone gate at dusk</w:t>
      </w:r>
      <w:r w:rsidRPr="001814D2">
        <w:t xml:space="preserve"> 1974, colour lithograph; </w:t>
      </w:r>
      <w:r w:rsidRPr="001814D2">
        <w:rPr>
          <w:i/>
          <w:iCs/>
        </w:rPr>
        <w:t>Mountain monastery by the waterfall</w:t>
      </w:r>
      <w:r w:rsidRPr="001814D2">
        <w:t xml:space="preserve"> 1974, colour lithograph; </w:t>
      </w:r>
      <w:r w:rsidRPr="001814D2">
        <w:rPr>
          <w:i/>
          <w:iCs/>
        </w:rPr>
        <w:t>Peonies</w:t>
      </w:r>
      <w:r w:rsidRPr="001814D2">
        <w:t xml:space="preserve"> 1974, colour lithograph; </w:t>
      </w:r>
      <w:r w:rsidRPr="001814D2">
        <w:rPr>
          <w:i/>
          <w:iCs/>
        </w:rPr>
        <w:t>Shrike amidst the autumn leaves</w:t>
      </w:r>
      <w:r w:rsidRPr="001814D2">
        <w:t xml:space="preserve"> 1974, colour lithograph; </w:t>
      </w:r>
      <w:r w:rsidRPr="001814D2">
        <w:rPr>
          <w:i/>
          <w:iCs/>
        </w:rPr>
        <w:t>Hanging gibbon over the autumn stream</w:t>
      </w:r>
      <w:r w:rsidRPr="001814D2">
        <w:t xml:space="preserve"> 1974, colour lithograph; </w:t>
      </w:r>
      <w:r w:rsidRPr="001814D2">
        <w:rPr>
          <w:i/>
          <w:iCs/>
        </w:rPr>
        <w:t>Cinnabar lotus</w:t>
      </w:r>
      <w:r w:rsidRPr="001814D2">
        <w:t xml:space="preserve"> 1974, colour lithograph; </w:t>
      </w:r>
      <w:r w:rsidRPr="001814D2">
        <w:rPr>
          <w:i/>
          <w:iCs/>
        </w:rPr>
        <w:t>Lotus</w:t>
      </w:r>
      <w:r w:rsidRPr="001814D2">
        <w:t xml:space="preserve"> 1973, colour lithograph; </w:t>
      </w:r>
      <w:r w:rsidRPr="001814D2">
        <w:rPr>
          <w:i/>
          <w:iCs/>
        </w:rPr>
        <w:t>Persimmons</w:t>
      </w:r>
      <w:r w:rsidRPr="001814D2">
        <w:t xml:space="preserve"> 1973, colour lithograph; </w:t>
      </w:r>
      <w:r w:rsidRPr="001814D2">
        <w:rPr>
          <w:i/>
          <w:iCs/>
        </w:rPr>
        <w:t>Village in the mountains</w:t>
      </w:r>
      <w:r w:rsidRPr="001814D2">
        <w:t xml:space="preserve"> 1973, colour lithograph; </w:t>
      </w:r>
      <w:r w:rsidRPr="001814D2">
        <w:rPr>
          <w:i/>
          <w:iCs/>
        </w:rPr>
        <w:t>Village in the mountains</w:t>
      </w:r>
      <w:r w:rsidRPr="001814D2">
        <w:t xml:space="preserve"> 1973, colour lithograph; </w:t>
      </w:r>
      <w:r w:rsidRPr="001814D2">
        <w:rPr>
          <w:i/>
          <w:iCs/>
        </w:rPr>
        <w:t>Temple in the mountains</w:t>
      </w:r>
      <w:r w:rsidRPr="001814D2">
        <w:t xml:space="preserve"> 1973, colour lithograph; </w:t>
      </w:r>
      <w:r w:rsidRPr="001814D2">
        <w:rPr>
          <w:i/>
          <w:iCs/>
        </w:rPr>
        <w:t>Lotus</w:t>
      </w:r>
      <w:r w:rsidRPr="001814D2">
        <w:t xml:space="preserve"> 1973, colour lithograph</w:t>
      </w:r>
    </w:p>
    <w:p w14:paraId="21FC545E" w14:textId="77777777" w:rsidR="009103CC" w:rsidRPr="001814D2" w:rsidRDefault="009103CC" w:rsidP="009103CC">
      <w:pPr>
        <w:pStyle w:val="Listitemasbody"/>
      </w:pPr>
      <w:r w:rsidRPr="001814D2">
        <w:rPr>
          <w:b/>
          <w:bCs/>
        </w:rPr>
        <w:t>SH Ervin Gallery</w:t>
      </w:r>
      <w:r w:rsidRPr="001814D2">
        <w:t xml:space="preserve"> 1 January 2021 – 31 December 2025: Charles Meere </w:t>
      </w:r>
      <w:r w:rsidRPr="001814D2">
        <w:rPr>
          <w:i/>
          <w:iCs/>
        </w:rPr>
        <w:t>Atalanta’s eclipse</w:t>
      </w:r>
      <w:r w:rsidRPr="001814D2">
        <w:t xml:space="preserve"> 1938, oil on canvas</w:t>
      </w:r>
    </w:p>
    <w:p w14:paraId="683D5E68" w14:textId="77777777" w:rsidR="009103CC" w:rsidRPr="001814D2" w:rsidRDefault="009103CC" w:rsidP="009103CC">
      <w:pPr>
        <w:pStyle w:val="Listitemasbody"/>
      </w:pPr>
      <w:r w:rsidRPr="001814D2">
        <w:rPr>
          <w:b/>
          <w:bCs/>
        </w:rPr>
        <w:t>Kenneth Reed</w:t>
      </w:r>
      <w:r w:rsidRPr="001814D2">
        <w:t xml:space="preserve"> 16 January 2021 – 16 January 2026 (renewed): Italy </w:t>
      </w:r>
      <w:r w:rsidRPr="001814D2">
        <w:rPr>
          <w:i/>
          <w:iCs/>
        </w:rPr>
        <w:t>Globular jar</w:t>
      </w:r>
      <w:r w:rsidRPr="001814D2">
        <w:t>,</w:t>
      </w:r>
      <w:r w:rsidRPr="001814D2">
        <w:rPr>
          <w:i/>
          <w:iCs/>
        </w:rPr>
        <w:t xml:space="preserve"> </w:t>
      </w:r>
      <w:r w:rsidRPr="001814D2">
        <w:t xml:space="preserve">tin-glazed earthenware (maiolica); Italy </w:t>
      </w:r>
      <w:r w:rsidRPr="001814D2">
        <w:rPr>
          <w:i/>
          <w:iCs/>
        </w:rPr>
        <w:t xml:space="preserve">Albarello, </w:t>
      </w:r>
      <w:r w:rsidRPr="001814D2">
        <w:t xml:space="preserve">tin-glazed earthenware (maiolica); Italy </w:t>
      </w:r>
      <w:r w:rsidRPr="001814D2">
        <w:rPr>
          <w:i/>
          <w:iCs/>
        </w:rPr>
        <w:t>Drug bottle</w:t>
      </w:r>
      <w:r w:rsidRPr="001814D2">
        <w:t>,</w:t>
      </w:r>
      <w:r w:rsidRPr="001814D2">
        <w:rPr>
          <w:i/>
          <w:iCs/>
        </w:rPr>
        <w:t xml:space="preserve"> </w:t>
      </w:r>
      <w:r w:rsidRPr="001814D2">
        <w:lastRenderedPageBreak/>
        <w:t xml:space="preserve">tin-glazed earthenware (maiolica); Italy </w:t>
      </w:r>
      <w:r w:rsidRPr="001814D2">
        <w:rPr>
          <w:i/>
          <w:iCs/>
        </w:rPr>
        <w:t>Globular jar</w:t>
      </w:r>
      <w:r w:rsidRPr="001814D2">
        <w:t>,</w:t>
      </w:r>
      <w:r w:rsidRPr="001814D2">
        <w:rPr>
          <w:i/>
          <w:iCs/>
        </w:rPr>
        <w:t xml:space="preserve"> </w:t>
      </w:r>
      <w:r w:rsidRPr="001814D2">
        <w:t xml:space="preserve">tin-glazed earthenware (maiolica); Italy </w:t>
      </w:r>
      <w:r w:rsidRPr="001814D2">
        <w:rPr>
          <w:i/>
          <w:iCs/>
        </w:rPr>
        <w:t xml:space="preserve">Broad-rimmed bowl </w:t>
      </w:r>
      <w:r w:rsidRPr="001814D2">
        <w:t xml:space="preserve">c1490–1520, tin-glazed earthenware (maiolica); Italy </w:t>
      </w:r>
      <w:r w:rsidRPr="001814D2">
        <w:rPr>
          <w:i/>
          <w:iCs/>
        </w:rPr>
        <w:t xml:space="preserve">Spouted drug jar </w:t>
      </w:r>
      <w:r w:rsidRPr="001814D2">
        <w:t xml:space="preserve">c1500–25, tin-glazed earthenware (maiolica); Italy </w:t>
      </w:r>
      <w:r w:rsidRPr="001814D2">
        <w:rPr>
          <w:i/>
          <w:iCs/>
        </w:rPr>
        <w:t xml:space="preserve">Two-handled vase </w:t>
      </w:r>
      <w:r w:rsidRPr="001814D2">
        <w:t xml:space="preserve">c1530–40, tin-glazed earthenware (maiolica); Italy </w:t>
      </w:r>
      <w:r w:rsidRPr="001814D2">
        <w:rPr>
          <w:i/>
          <w:iCs/>
        </w:rPr>
        <w:t xml:space="preserve">Plate: Woman with a basket of fruit </w:t>
      </w:r>
      <w:r w:rsidRPr="001814D2">
        <w:t xml:space="preserve">mid 1500s, tin-glazed earthenware (maiolica); Italy </w:t>
      </w:r>
      <w:r w:rsidRPr="001814D2">
        <w:rPr>
          <w:i/>
          <w:iCs/>
        </w:rPr>
        <w:t xml:space="preserve">Plate: Orpheus clubbed to death by the frenzied Maenads of Ciconia </w:t>
      </w:r>
      <w:r w:rsidRPr="001814D2">
        <w:t xml:space="preserve">mid 1500s, tin-glazed earthenware (maiolica); Corneille de Lyon </w:t>
      </w:r>
      <w:r w:rsidRPr="001814D2">
        <w:rPr>
          <w:i/>
          <w:iCs/>
        </w:rPr>
        <w:t xml:space="preserve">Portrait of John Calvin </w:t>
      </w:r>
      <w:r w:rsidRPr="001814D2">
        <w:t xml:space="preserve">c1540?, oil on panel; Giuseppe Salviati </w:t>
      </w:r>
      <w:r w:rsidRPr="001814D2">
        <w:rPr>
          <w:i/>
          <w:iCs/>
        </w:rPr>
        <w:t xml:space="preserve">The entombment </w:t>
      </w:r>
      <w:r w:rsidRPr="001814D2">
        <w:t xml:space="preserve">early 1540s, oil on canvas; Italy </w:t>
      </w:r>
      <w:r w:rsidRPr="001814D2">
        <w:rPr>
          <w:i/>
          <w:iCs/>
        </w:rPr>
        <w:t xml:space="preserve">Fluted dish: The death of Crassus </w:t>
      </w:r>
      <w:r w:rsidRPr="001814D2">
        <w:t xml:space="preserve">c1545, tin-glazed earthenware (maiolica); Italy </w:t>
      </w:r>
      <w:r w:rsidRPr="001814D2">
        <w:rPr>
          <w:i/>
          <w:iCs/>
        </w:rPr>
        <w:t xml:space="preserve">Plate: Gaius Popilius Laenas before the King of Syria </w:t>
      </w:r>
      <w:r w:rsidRPr="001814D2">
        <w:t xml:space="preserve">c1545, tin-glazed earthenware (maiolica); Italy </w:t>
      </w:r>
      <w:r w:rsidRPr="001814D2">
        <w:rPr>
          <w:i/>
          <w:iCs/>
        </w:rPr>
        <w:t xml:space="preserve">Large plate: Hercules and the Cretan Bull </w:t>
      </w:r>
      <w:r w:rsidRPr="001814D2">
        <w:t xml:space="preserve">c1550, tin-glazed earthenware (maiolica); Italy </w:t>
      </w:r>
      <w:r w:rsidRPr="001814D2">
        <w:rPr>
          <w:i/>
          <w:iCs/>
        </w:rPr>
        <w:t xml:space="preserve">Large plate: Figures on horseback </w:t>
      </w:r>
      <w:r w:rsidRPr="001814D2">
        <w:t xml:space="preserve">c1550, tin-glazed earthenware (maiolica); Italy </w:t>
      </w:r>
      <w:r w:rsidRPr="001814D2">
        <w:rPr>
          <w:i/>
          <w:iCs/>
        </w:rPr>
        <w:t xml:space="preserve">Plate: Europa and the Bull </w:t>
      </w:r>
      <w:r w:rsidRPr="001814D2">
        <w:t xml:space="preserve">c1552–60, tin-glazed earthenware (maiolica); Italy </w:t>
      </w:r>
      <w:r w:rsidRPr="001814D2">
        <w:rPr>
          <w:i/>
          <w:iCs/>
        </w:rPr>
        <w:t xml:space="preserve">Large plate: Warrior </w:t>
      </w:r>
      <w:r w:rsidRPr="001814D2">
        <w:t xml:space="preserve">c1560–80, tin-glazed earthenware (maiolica); Andrea Schiavone </w:t>
      </w:r>
      <w:r w:rsidRPr="001814D2">
        <w:rPr>
          <w:i/>
          <w:iCs/>
        </w:rPr>
        <w:t xml:space="preserve">Mythological subject </w:t>
      </w:r>
      <w:r w:rsidRPr="001814D2">
        <w:t xml:space="preserve">c1560?, oil on panel; Italy </w:t>
      </w:r>
      <w:r w:rsidRPr="001814D2">
        <w:rPr>
          <w:i/>
          <w:iCs/>
        </w:rPr>
        <w:t xml:space="preserve">Albarello </w:t>
      </w:r>
      <w:r w:rsidRPr="001814D2">
        <w:t xml:space="preserve">c1570–90, tin-glazed earthenware (maiolica); Italy </w:t>
      </w:r>
      <w:r w:rsidRPr="001814D2">
        <w:rPr>
          <w:i/>
          <w:iCs/>
        </w:rPr>
        <w:t xml:space="preserve">Albarello </w:t>
      </w:r>
      <w:r w:rsidRPr="001814D2">
        <w:t xml:space="preserve">c1600?, tin-glazed earthenware (maiolica); Italy </w:t>
      </w:r>
      <w:r w:rsidRPr="001814D2">
        <w:rPr>
          <w:i/>
          <w:iCs/>
        </w:rPr>
        <w:t xml:space="preserve">Albarello </w:t>
      </w:r>
      <w:r w:rsidRPr="001814D2">
        <w:t xml:space="preserve">early 1600s, tin-glazed earthenware (maiolica); Italy </w:t>
      </w:r>
      <w:r w:rsidRPr="001814D2">
        <w:rPr>
          <w:i/>
          <w:iCs/>
        </w:rPr>
        <w:t xml:space="preserve">Albarello (one of a pair) </w:t>
      </w:r>
      <w:r w:rsidRPr="001814D2">
        <w:t xml:space="preserve">c1620–40, tin-glazed earthenware (maiolica); Italy </w:t>
      </w:r>
      <w:r w:rsidRPr="001814D2">
        <w:rPr>
          <w:i/>
          <w:iCs/>
        </w:rPr>
        <w:t xml:space="preserve">Albarello (one of a pair) </w:t>
      </w:r>
      <w:r w:rsidRPr="001814D2">
        <w:t xml:space="preserve">c1620–40, tin-glazed earthenware (maiolica); Andrea Camassei </w:t>
      </w:r>
      <w:r w:rsidRPr="001814D2">
        <w:rPr>
          <w:i/>
          <w:iCs/>
        </w:rPr>
        <w:t xml:space="preserve">St Peter in prison baptising Sts Processus and Martinian </w:t>
      </w:r>
      <w:r w:rsidRPr="001814D2">
        <w:t xml:space="preserve">c1631–c1633, oil on canvas; Abraham Bloemart </w:t>
      </w:r>
      <w:r w:rsidRPr="001814D2">
        <w:rPr>
          <w:i/>
          <w:iCs/>
        </w:rPr>
        <w:t xml:space="preserve">Cymon and Iphigenia </w:t>
      </w:r>
      <w:r w:rsidRPr="001814D2">
        <w:t xml:space="preserve">late 1620s, oil on panel; Cornelis van Haarlem </w:t>
      </w:r>
      <w:r w:rsidRPr="001814D2">
        <w:rPr>
          <w:i/>
          <w:iCs/>
        </w:rPr>
        <w:t xml:space="preserve">Christ triumphant </w:t>
      </w:r>
      <w:r w:rsidRPr="001814D2">
        <w:t xml:space="preserve">1632, oil on oak panel; Hans Bollongier </w:t>
      </w:r>
      <w:r w:rsidRPr="001814D2">
        <w:rPr>
          <w:i/>
          <w:iCs/>
        </w:rPr>
        <w:t xml:space="preserve">Vase of flowers with a snail and a caterpillar </w:t>
      </w:r>
      <w:r w:rsidRPr="001814D2">
        <w:t xml:space="preserve">1634, oil on oak panel; David Teniers II </w:t>
      </w:r>
      <w:r w:rsidRPr="001814D2">
        <w:rPr>
          <w:i/>
          <w:iCs/>
        </w:rPr>
        <w:t xml:space="preserve">Landscape with a man feeding chickens </w:t>
      </w:r>
      <w:r w:rsidRPr="001814D2">
        <w:t xml:space="preserve">1635, oil on panel; Sassoferrato </w:t>
      </w:r>
      <w:r w:rsidRPr="001814D2">
        <w:rPr>
          <w:i/>
          <w:iCs/>
        </w:rPr>
        <w:t xml:space="preserve">The Virgin in prayer </w:t>
      </w:r>
      <w:r w:rsidRPr="001814D2">
        <w:t xml:space="preserve">after 1640, oil on canvas; Jan van Goyen </w:t>
      </w:r>
      <w:r w:rsidRPr="001814D2">
        <w:rPr>
          <w:i/>
          <w:iCs/>
        </w:rPr>
        <w:t xml:space="preserve">Landscape with a monastery </w:t>
      </w:r>
      <w:r w:rsidRPr="001814D2">
        <w:t xml:space="preserve">1642, oil on oak panel; Italy </w:t>
      </w:r>
      <w:r w:rsidRPr="001814D2">
        <w:rPr>
          <w:i/>
          <w:iCs/>
        </w:rPr>
        <w:t xml:space="preserve">Large plate: Routing of an infidel army </w:t>
      </w:r>
      <w:r w:rsidRPr="001814D2">
        <w:t xml:space="preserve">c1655–65, tin-glazed earthenware (maiolica); Quiringh van Brekelenkam </w:t>
      </w:r>
      <w:r w:rsidRPr="001814D2">
        <w:rPr>
          <w:i/>
          <w:iCs/>
        </w:rPr>
        <w:t xml:space="preserve">Man cleaning fish with two children </w:t>
      </w:r>
      <w:r w:rsidRPr="001814D2">
        <w:t xml:space="preserve">c1660, oil on oak panel; Salomon van Ruysdael </w:t>
      </w:r>
      <w:r w:rsidRPr="001814D2">
        <w:rPr>
          <w:i/>
          <w:iCs/>
        </w:rPr>
        <w:t xml:space="preserve">River scene with a fort, sailing ships and figures </w:t>
      </w:r>
      <w:r w:rsidRPr="001814D2">
        <w:t xml:space="preserve">1659, oil on panel; Giacinto Gimignani </w:t>
      </w:r>
      <w:r w:rsidRPr="001814D2">
        <w:rPr>
          <w:i/>
          <w:iCs/>
        </w:rPr>
        <w:t xml:space="preserve">Time revealing truth </w:t>
      </w:r>
      <w:r w:rsidRPr="001814D2">
        <w:t xml:space="preserve">1669, oil on canvas; Germany, Meissen </w:t>
      </w:r>
      <w:r w:rsidRPr="001814D2">
        <w:rPr>
          <w:i/>
          <w:iCs/>
        </w:rPr>
        <w:t xml:space="preserve">Teapot and cover </w:t>
      </w:r>
      <w:r w:rsidRPr="001814D2">
        <w:t xml:space="preserve">c1715–20, c1720–30, hard-paste porcelain (Böttger porcelain); Germany, Meissen </w:t>
      </w:r>
      <w:r w:rsidRPr="001814D2">
        <w:rPr>
          <w:i/>
          <w:iCs/>
        </w:rPr>
        <w:t xml:space="preserve">Incense burner </w:t>
      </w:r>
      <w:r w:rsidRPr="001814D2">
        <w:t xml:space="preserve">c1715–20, hard-paste porcelain; Saint-Cloud porcelain factory </w:t>
      </w:r>
      <w:r w:rsidRPr="001814D2">
        <w:rPr>
          <w:i/>
          <w:iCs/>
        </w:rPr>
        <w:t xml:space="preserve">Inkstand </w:t>
      </w:r>
      <w:r w:rsidRPr="001814D2">
        <w:t xml:space="preserve">c1720–30 soft-paste porcelain; Fransesco Solimena </w:t>
      </w:r>
      <w:r w:rsidRPr="001814D2">
        <w:rPr>
          <w:i/>
          <w:iCs/>
        </w:rPr>
        <w:t xml:space="preserve">Noli me tangere </w:t>
      </w:r>
      <w:r w:rsidRPr="001814D2">
        <w:t xml:space="preserve">1718–20, oil on canvas; Germany, Meissen </w:t>
      </w:r>
      <w:r w:rsidRPr="001814D2">
        <w:rPr>
          <w:i/>
          <w:iCs/>
        </w:rPr>
        <w:t xml:space="preserve">Tea canister and cover </w:t>
      </w:r>
      <w:r w:rsidRPr="001814D2">
        <w:t xml:space="preserve">c1728, hard-paste porcelain; Germany, Meissen </w:t>
      </w:r>
      <w:r w:rsidRPr="001814D2">
        <w:rPr>
          <w:i/>
          <w:iCs/>
        </w:rPr>
        <w:t xml:space="preserve">Tureen cover and stand </w:t>
      </w:r>
      <w:r w:rsidRPr="001814D2">
        <w:t xml:space="preserve">c1730–35, hard-paste porcelain; Germany, Meissen </w:t>
      </w:r>
      <w:r w:rsidRPr="001814D2">
        <w:rPr>
          <w:i/>
          <w:iCs/>
        </w:rPr>
        <w:t xml:space="preserve">Slop bowl </w:t>
      </w:r>
      <w:r w:rsidRPr="001814D2">
        <w:t xml:space="preserve">c1730, hard-paste porcelain; Germany, Meissen </w:t>
      </w:r>
      <w:r w:rsidRPr="001814D2">
        <w:rPr>
          <w:i/>
          <w:iCs/>
        </w:rPr>
        <w:t xml:space="preserve">Tea canister and cover </w:t>
      </w:r>
      <w:r w:rsidRPr="001814D2">
        <w:t xml:space="preserve">c1730, hard-paste porcelain; France, Chantilly porcelain manufactory </w:t>
      </w:r>
      <w:r w:rsidRPr="001814D2">
        <w:rPr>
          <w:i/>
          <w:iCs/>
        </w:rPr>
        <w:t xml:space="preserve">Pair of tea bowls and saucers and a sugar bowl and cover </w:t>
      </w:r>
      <w:r w:rsidRPr="001814D2">
        <w:t xml:space="preserve">c1730–35, hard-paste porcelain; Du Paquier </w:t>
      </w:r>
      <w:r w:rsidRPr="001814D2">
        <w:rPr>
          <w:i/>
          <w:iCs/>
        </w:rPr>
        <w:t xml:space="preserve">Ollio tureen and cover </w:t>
      </w:r>
      <w:r w:rsidRPr="001814D2">
        <w:t xml:space="preserve">c1735, hard-paste porcelain; Germany, Meissen </w:t>
      </w:r>
      <w:r w:rsidRPr="001814D2">
        <w:rPr>
          <w:i/>
          <w:iCs/>
        </w:rPr>
        <w:t xml:space="preserve">Tureen and cover </w:t>
      </w:r>
      <w:r w:rsidRPr="001814D2">
        <w:t xml:space="preserve">c1735–40, hard-paste porcelain; Germany, Meissen </w:t>
      </w:r>
      <w:r w:rsidRPr="001814D2">
        <w:rPr>
          <w:i/>
          <w:iCs/>
        </w:rPr>
        <w:t xml:space="preserve">Dog on kennel </w:t>
      </w:r>
      <w:r w:rsidRPr="001814D2">
        <w:t xml:space="preserve">c1735–40, hard-paste porcelain; Germany, Meissen </w:t>
      </w:r>
      <w:r w:rsidRPr="001814D2">
        <w:rPr>
          <w:i/>
          <w:iCs/>
        </w:rPr>
        <w:t xml:space="preserve">The Spanish lovers, model </w:t>
      </w:r>
      <w:r w:rsidRPr="001814D2">
        <w:t xml:space="preserve">c1740, hard-paste porcelain; France, Saint-Cloud porcelain factory </w:t>
      </w:r>
      <w:r w:rsidRPr="001814D2">
        <w:rPr>
          <w:i/>
          <w:iCs/>
        </w:rPr>
        <w:t xml:space="preserve">Covered bowl and stand </w:t>
      </w:r>
      <w:r w:rsidRPr="001814D2">
        <w:t xml:space="preserve">c1740–50, soft-paste porcelain; Germany, Meissen </w:t>
      </w:r>
      <w:r w:rsidRPr="001814D2">
        <w:rPr>
          <w:i/>
          <w:iCs/>
        </w:rPr>
        <w:t xml:space="preserve">Cup and saucer </w:t>
      </w:r>
      <w:r w:rsidRPr="001814D2">
        <w:t xml:space="preserve">c1740, hard-paste </w:t>
      </w:r>
      <w:r w:rsidRPr="001814D2">
        <w:lastRenderedPageBreak/>
        <w:t xml:space="preserve">porcelain; Germany, Meissen </w:t>
      </w:r>
      <w:r w:rsidRPr="001814D2">
        <w:rPr>
          <w:i/>
          <w:iCs/>
        </w:rPr>
        <w:t xml:space="preserve">Two-handled beaker and saucer </w:t>
      </w:r>
      <w:r w:rsidRPr="001814D2">
        <w:t xml:space="preserve">c1740, hard-paste porcelain; Germany, Meissen </w:t>
      </w:r>
      <w:r w:rsidRPr="001814D2">
        <w:rPr>
          <w:i/>
          <w:iCs/>
        </w:rPr>
        <w:t xml:space="preserve">Two-handled soup bowl and cover </w:t>
      </w:r>
      <w:r w:rsidRPr="001814D2">
        <w:t xml:space="preserve">c1740, hard-paste porcelain; Germany, Meissen </w:t>
      </w:r>
      <w:r w:rsidRPr="001814D2">
        <w:rPr>
          <w:i/>
          <w:iCs/>
        </w:rPr>
        <w:t xml:space="preserve">Cup and saucer </w:t>
      </w:r>
      <w:r w:rsidRPr="001814D2">
        <w:t xml:space="preserve">c1740–45, hard-paste porcelain; Germany, Meissen </w:t>
      </w:r>
      <w:r w:rsidRPr="001814D2">
        <w:rPr>
          <w:i/>
          <w:iCs/>
        </w:rPr>
        <w:t xml:space="preserve">Cellist </w:t>
      </w:r>
      <w:r w:rsidRPr="001814D2">
        <w:t xml:space="preserve">c1740–45, hard-paste porcelain; Francesco Fontebasso </w:t>
      </w:r>
      <w:r w:rsidRPr="001814D2">
        <w:rPr>
          <w:i/>
          <w:iCs/>
        </w:rPr>
        <w:t xml:space="preserve">Rachel hiding the idols from Laban </w:t>
      </w:r>
      <w:r w:rsidRPr="001814D2">
        <w:t xml:space="preserve">c1740–60, oil on canvas; Jacques de Lajoue </w:t>
      </w:r>
      <w:r w:rsidRPr="001814D2">
        <w:rPr>
          <w:i/>
          <w:iCs/>
        </w:rPr>
        <w:t xml:space="preserve">Landscape with pyramid </w:t>
      </w:r>
      <w:r w:rsidRPr="001814D2">
        <w:t xml:space="preserve">c1740, oil on canvas; Germany, Meissen </w:t>
      </w:r>
      <w:r w:rsidRPr="001814D2">
        <w:rPr>
          <w:i/>
          <w:iCs/>
        </w:rPr>
        <w:t xml:space="preserve">Greyhound </w:t>
      </w:r>
      <w:r w:rsidRPr="001814D2">
        <w:t xml:space="preserve">c1742, hard-paste porcelain; Germany, Meissen </w:t>
      </w:r>
      <w:r w:rsidRPr="001814D2">
        <w:rPr>
          <w:i/>
          <w:iCs/>
        </w:rPr>
        <w:t xml:space="preserve">Male gardener, model </w:t>
      </w:r>
      <w:r w:rsidRPr="001814D2">
        <w:t xml:space="preserve">c1743–49, hard-paste porcelain; Germany, Meissen </w:t>
      </w:r>
      <w:r w:rsidRPr="001814D2">
        <w:rPr>
          <w:i/>
          <w:iCs/>
        </w:rPr>
        <w:t xml:space="preserve">Female gardener, model </w:t>
      </w:r>
      <w:r w:rsidRPr="001814D2">
        <w:t xml:space="preserve">c1743–49, hard-paste porcelain; England, Chelsea, </w:t>
      </w:r>
      <w:r w:rsidRPr="001814D2">
        <w:rPr>
          <w:i/>
          <w:iCs/>
        </w:rPr>
        <w:t xml:space="preserve">Goat and bee jug </w:t>
      </w:r>
      <w:r w:rsidRPr="001814D2">
        <w:t xml:space="preserve">c1745–c1749, soft-paste porcelain; Germany, Meissen </w:t>
      </w:r>
      <w:r w:rsidRPr="001814D2">
        <w:rPr>
          <w:i/>
          <w:iCs/>
        </w:rPr>
        <w:t xml:space="preserve">Cup and saucer </w:t>
      </w:r>
      <w:r w:rsidRPr="001814D2">
        <w:t xml:space="preserve">c1745, hard-paste porcelain; Germany, Meissen </w:t>
      </w:r>
      <w:r w:rsidRPr="001814D2">
        <w:rPr>
          <w:i/>
          <w:iCs/>
        </w:rPr>
        <w:t xml:space="preserve">Cup and saucer </w:t>
      </w:r>
      <w:r w:rsidRPr="001814D2">
        <w:t xml:space="preserve">c1745, hard-paste porcelain; Germany, Meissen </w:t>
      </w:r>
      <w:r w:rsidRPr="001814D2">
        <w:rPr>
          <w:i/>
          <w:iCs/>
        </w:rPr>
        <w:t xml:space="preserve">Two-handled soup bowl and cover </w:t>
      </w:r>
      <w:r w:rsidRPr="001814D2">
        <w:t xml:space="preserve">c1745, hard-paste porcelain; Germany, Meissen </w:t>
      </w:r>
      <w:r w:rsidRPr="001814D2">
        <w:rPr>
          <w:i/>
          <w:iCs/>
        </w:rPr>
        <w:t xml:space="preserve">Hungarian </w:t>
      </w:r>
      <w:r w:rsidRPr="001814D2">
        <w:t xml:space="preserve">c1745, 1750, hard-paste porcelain; Germany, Meissen </w:t>
      </w:r>
      <w:r w:rsidRPr="001814D2">
        <w:rPr>
          <w:i/>
          <w:iCs/>
        </w:rPr>
        <w:t xml:space="preserve">Persian lady </w:t>
      </w:r>
      <w:r w:rsidRPr="001814D2">
        <w:t xml:space="preserve">c1745–50, hard-paste porcelain; Germany, Meissen </w:t>
      </w:r>
      <w:r w:rsidRPr="001814D2">
        <w:rPr>
          <w:i/>
          <w:iCs/>
        </w:rPr>
        <w:t xml:space="preserve">Crimean Tatar </w:t>
      </w:r>
      <w:r w:rsidRPr="001814D2">
        <w:t xml:space="preserve">c1745–50, hard-paste porcelain; Germany, Meissen </w:t>
      </w:r>
      <w:r w:rsidRPr="001814D2">
        <w:rPr>
          <w:i/>
          <w:iCs/>
        </w:rPr>
        <w:t xml:space="preserve">Bagpipe player, model </w:t>
      </w:r>
      <w:r w:rsidRPr="001814D2">
        <w:t xml:space="preserve">1741, hard-paste porcelain; Germany, Meissen </w:t>
      </w:r>
      <w:r w:rsidRPr="001814D2">
        <w:rPr>
          <w:i/>
          <w:iCs/>
        </w:rPr>
        <w:t xml:space="preserve">Bohemian waxwing, model </w:t>
      </w:r>
      <w:r w:rsidRPr="001814D2">
        <w:t xml:space="preserve">1741, hard-paste porcelain; Antonio Joli </w:t>
      </w:r>
      <w:r w:rsidRPr="001814D2">
        <w:rPr>
          <w:i/>
          <w:iCs/>
        </w:rPr>
        <w:t xml:space="preserve">Venice: the Dogana and San Giorgio Maggiore </w:t>
      </w:r>
      <w:r w:rsidRPr="001814D2">
        <w:t xml:space="preserve">c1746–c1748, oil on canvas; England, Bow </w:t>
      </w:r>
      <w:r w:rsidRPr="001814D2">
        <w:rPr>
          <w:i/>
          <w:iCs/>
        </w:rPr>
        <w:t xml:space="preserve">Small jug or sauce boat </w:t>
      </w:r>
      <w:r w:rsidRPr="001814D2">
        <w:t xml:space="preserve">c1747–c1748, soft-paste porcelain; France, Vincennes </w:t>
      </w:r>
      <w:r w:rsidRPr="001814D2">
        <w:rPr>
          <w:i/>
          <w:iCs/>
        </w:rPr>
        <w:t xml:space="preserve">Cup and saucer (tasse à qustre pans ronds) </w:t>
      </w:r>
      <w:r w:rsidRPr="001814D2">
        <w:t xml:space="preserve">c1748–c1749, soft-paste porcelain; Germany, Meissen </w:t>
      </w:r>
      <w:r w:rsidRPr="001814D2">
        <w:rPr>
          <w:i/>
          <w:iCs/>
        </w:rPr>
        <w:t xml:space="preserve">Jodelet </w:t>
      </w:r>
      <w:r w:rsidRPr="001814D2">
        <w:t xml:space="preserve">c1748, hard-paste porcelain; Germany, Meissen </w:t>
      </w:r>
      <w:r w:rsidRPr="001814D2">
        <w:rPr>
          <w:i/>
          <w:iCs/>
        </w:rPr>
        <w:t xml:space="preserve">Capitano, model </w:t>
      </w:r>
      <w:r w:rsidRPr="001814D2">
        <w:t xml:space="preserve">1744, hard-paste porcelain; Germany, Meissen, </w:t>
      </w:r>
      <w:r w:rsidRPr="001814D2">
        <w:rPr>
          <w:i/>
          <w:iCs/>
        </w:rPr>
        <w:t xml:space="preserve">Parrots, model </w:t>
      </w:r>
      <w:r w:rsidRPr="001814D2">
        <w:t xml:space="preserve">1745, hard-paste porcelain; Germany, Meissen </w:t>
      </w:r>
      <w:r w:rsidRPr="001814D2">
        <w:rPr>
          <w:i/>
          <w:iCs/>
        </w:rPr>
        <w:t xml:space="preserve">Harlequin and a lady with parrots, model </w:t>
      </w:r>
      <w:r w:rsidRPr="001814D2">
        <w:t xml:space="preserve">1745, hard-paste porcelain; Germany, Meissen </w:t>
      </w:r>
      <w:r w:rsidRPr="001814D2">
        <w:rPr>
          <w:i/>
          <w:iCs/>
        </w:rPr>
        <w:t xml:space="preserve">Dancers, model </w:t>
      </w:r>
      <w:r w:rsidRPr="001814D2">
        <w:t xml:space="preserve">1745, hard-paste porcelain; Italy, Capodimonte </w:t>
      </w:r>
      <w:r w:rsidRPr="001814D2">
        <w:rPr>
          <w:i/>
          <w:iCs/>
        </w:rPr>
        <w:t xml:space="preserve">A fisherman and his companion </w:t>
      </w:r>
      <w:r w:rsidRPr="001814D2">
        <w:t xml:space="preserve">c1750, soft-paste porcelain; England, Chelsea </w:t>
      </w:r>
      <w:r w:rsidRPr="001814D2">
        <w:rPr>
          <w:i/>
          <w:iCs/>
        </w:rPr>
        <w:t xml:space="preserve">Black and white Chinese cock pheasant </w:t>
      </w:r>
      <w:r w:rsidRPr="001814D2">
        <w:t xml:space="preserve">c1750–c1752, soft-paste porcelain; Germany, Meissen </w:t>
      </w:r>
      <w:r w:rsidRPr="001814D2">
        <w:rPr>
          <w:i/>
          <w:iCs/>
        </w:rPr>
        <w:t xml:space="preserve">Plate </w:t>
      </w:r>
      <w:r w:rsidRPr="001814D2">
        <w:t xml:space="preserve">c1750–55, hard-paste porcelain; Germany, Meissen </w:t>
      </w:r>
      <w:r w:rsidRPr="001814D2">
        <w:rPr>
          <w:i/>
          <w:iCs/>
        </w:rPr>
        <w:t xml:space="preserve">The delights of childhood (Les delices d’enfance), model </w:t>
      </w:r>
      <w:r w:rsidRPr="001814D2">
        <w:t xml:space="preserve">c1750, hard-paste porcelain; Germany, Meissen </w:t>
      </w:r>
      <w:r w:rsidRPr="001814D2">
        <w:rPr>
          <w:i/>
          <w:iCs/>
        </w:rPr>
        <w:t xml:space="preserve">Atlas </w:t>
      </w:r>
      <w:r w:rsidRPr="001814D2">
        <w:t xml:space="preserve">c1750–60, hard-paste porcelain; France, Vincennes </w:t>
      </w:r>
      <w:r w:rsidRPr="001814D2">
        <w:rPr>
          <w:i/>
          <w:iCs/>
        </w:rPr>
        <w:t xml:space="preserve">Jug (pot à eau ordinarie) </w:t>
      </w:r>
      <w:r w:rsidRPr="001814D2">
        <w:t xml:space="preserve">c1750–c1752, soft-paste porcelain with silver-gilt mounts; England, Derby </w:t>
      </w:r>
      <w:r w:rsidRPr="001814D2">
        <w:rPr>
          <w:i/>
          <w:iCs/>
        </w:rPr>
        <w:t xml:space="preserve">Winter from the rustic seasons </w:t>
      </w:r>
      <w:r w:rsidRPr="001814D2">
        <w:t xml:space="preserve">c1750–c1755, soft-paste porcelain; England, Derby </w:t>
      </w:r>
      <w:r w:rsidRPr="001814D2">
        <w:rPr>
          <w:i/>
          <w:iCs/>
        </w:rPr>
        <w:t xml:space="preserve">Spring from the rustic seasons </w:t>
      </w:r>
      <w:r w:rsidRPr="001814D2">
        <w:t xml:space="preserve">c1750–55, soft-paste porcelain; Mennecy-Villeroy porcelain </w:t>
      </w:r>
      <w:r w:rsidRPr="001814D2">
        <w:rPr>
          <w:i/>
          <w:iCs/>
        </w:rPr>
        <w:t xml:space="preserve">Boy playing the pipe </w:t>
      </w:r>
      <w:r w:rsidRPr="001814D2">
        <w:t xml:space="preserve">c1750, soft-paste porcelain; France, Mennecy-Villeroy porcelain </w:t>
      </w:r>
      <w:r w:rsidRPr="001814D2">
        <w:rPr>
          <w:i/>
          <w:iCs/>
        </w:rPr>
        <w:t xml:space="preserve">Girl playing the hurdy-gurdy </w:t>
      </w:r>
      <w:r w:rsidRPr="001814D2">
        <w:t xml:space="preserve">c1750, soft-paste porcelain; England, St James’s </w:t>
      </w:r>
      <w:r w:rsidRPr="001814D2">
        <w:rPr>
          <w:i/>
          <w:iCs/>
        </w:rPr>
        <w:t xml:space="preserve">Scent bottle in the form of Cupid holding the globe </w:t>
      </w:r>
      <w:r w:rsidRPr="001814D2">
        <w:t xml:space="preserve">c1751–c1759, porcelain; England, Chelsea </w:t>
      </w:r>
      <w:r w:rsidRPr="001814D2">
        <w:rPr>
          <w:i/>
          <w:iCs/>
        </w:rPr>
        <w:t xml:space="preserve">Tea bowl and saucer </w:t>
      </w:r>
      <w:r w:rsidRPr="001814D2">
        <w:t xml:space="preserve">c1752–c1753, soft-paste porcelain; England, Bow </w:t>
      </w:r>
      <w:r w:rsidRPr="001814D2">
        <w:rPr>
          <w:i/>
          <w:iCs/>
        </w:rPr>
        <w:t xml:space="preserve">Neptune or water </w:t>
      </w:r>
      <w:r w:rsidRPr="001814D2">
        <w:t xml:space="preserve">c1752–c1755, soft-paste porcelain; England, Chelsea </w:t>
      </w:r>
      <w:r w:rsidRPr="001814D2">
        <w:rPr>
          <w:i/>
          <w:iCs/>
        </w:rPr>
        <w:t xml:space="preserve">Dish </w:t>
      </w:r>
      <w:r w:rsidRPr="001814D2">
        <w:t xml:space="preserve">c1752–c1753, soft-paste porcelain; France, Strasbourg porcelain factory </w:t>
      </w:r>
      <w:r w:rsidRPr="001814D2">
        <w:rPr>
          <w:i/>
          <w:iCs/>
        </w:rPr>
        <w:t xml:space="preserve">Girl with squirrel </w:t>
      </w:r>
      <w:r w:rsidRPr="001814D2">
        <w:t xml:space="preserve">c1752–c1754, hard-paste porcelain; Germany, Meissen </w:t>
      </w:r>
      <w:r w:rsidRPr="001814D2">
        <w:rPr>
          <w:i/>
          <w:iCs/>
        </w:rPr>
        <w:t xml:space="preserve">Savoyard woman with cradle model </w:t>
      </w:r>
      <w:r w:rsidRPr="001814D2">
        <w:t xml:space="preserve">c1753–c1754, hard-paste porcelain; Germany, Meissen </w:t>
      </w:r>
      <w:r w:rsidRPr="001814D2">
        <w:rPr>
          <w:i/>
          <w:iCs/>
        </w:rPr>
        <w:t xml:space="preserve">Aeneas rescuing Anchises and Ascanius, model </w:t>
      </w:r>
      <w:r w:rsidRPr="001814D2">
        <w:t xml:space="preserve">c1753–c1755, hard-paste porcelain; England, Chelsea </w:t>
      </w:r>
      <w:r w:rsidRPr="001814D2">
        <w:rPr>
          <w:i/>
          <w:iCs/>
        </w:rPr>
        <w:t xml:space="preserve">Italian beggar </w:t>
      </w:r>
      <w:r w:rsidRPr="001814D2">
        <w:t xml:space="preserve">c1753–c1755, soft-paste porcelain; England, Chelsea </w:t>
      </w:r>
      <w:r w:rsidRPr="001814D2">
        <w:rPr>
          <w:i/>
          <w:iCs/>
        </w:rPr>
        <w:t xml:space="preserve">Scent bottle in the form of a pug </w:t>
      </w:r>
      <w:r w:rsidRPr="001814D2">
        <w:t xml:space="preserve">c1754–c1755, soft-paste porcelain; England, </w:t>
      </w:r>
      <w:r w:rsidRPr="001814D2">
        <w:lastRenderedPageBreak/>
        <w:t xml:space="preserve">Chelsea </w:t>
      </w:r>
      <w:r w:rsidRPr="001814D2">
        <w:rPr>
          <w:i/>
          <w:iCs/>
        </w:rPr>
        <w:t xml:space="preserve">Tea bowl and saucer </w:t>
      </w:r>
      <w:r w:rsidRPr="001814D2">
        <w:t xml:space="preserve">c1755, soft-paste porcelain; England, Bow </w:t>
      </w:r>
      <w:r w:rsidRPr="001814D2">
        <w:rPr>
          <w:i/>
          <w:iCs/>
        </w:rPr>
        <w:t xml:space="preserve">Dancing shepherdess </w:t>
      </w:r>
      <w:r w:rsidRPr="001814D2">
        <w:t xml:space="preserve">c1755–60, soft-paste porcelain; England, Bow </w:t>
      </w:r>
      <w:r w:rsidRPr="001814D2">
        <w:rPr>
          <w:i/>
          <w:iCs/>
        </w:rPr>
        <w:t xml:space="preserve">Spring from the seated rustic seasons </w:t>
      </w:r>
      <w:r w:rsidRPr="001814D2">
        <w:t xml:space="preserve">c1755–c1758, soft-paste porcelain; England, Bow </w:t>
      </w:r>
      <w:r w:rsidRPr="001814D2">
        <w:rPr>
          <w:i/>
          <w:iCs/>
        </w:rPr>
        <w:t xml:space="preserve">Summer from the seated rustic seasons </w:t>
      </w:r>
      <w:r w:rsidRPr="001814D2">
        <w:t xml:space="preserve">c1755–c1758, soft-paste porcelain; England, Bow </w:t>
      </w:r>
      <w:r w:rsidRPr="001814D2">
        <w:rPr>
          <w:i/>
          <w:iCs/>
        </w:rPr>
        <w:t xml:space="preserve">Autumn from the seated rustic seasons </w:t>
      </w:r>
      <w:r w:rsidRPr="001814D2">
        <w:t xml:space="preserve">c1755–c1758, soft-paste porcelain; England, Bow </w:t>
      </w:r>
      <w:r w:rsidRPr="001814D2">
        <w:rPr>
          <w:i/>
          <w:iCs/>
        </w:rPr>
        <w:t xml:space="preserve">Winter from the seated rustic seasons </w:t>
      </w:r>
      <w:r w:rsidRPr="001814D2">
        <w:t xml:space="preserve">c1755–c1758, soft-paste porcelain; England, Bow </w:t>
      </w:r>
      <w:r w:rsidRPr="001814D2">
        <w:rPr>
          <w:i/>
          <w:iCs/>
        </w:rPr>
        <w:t xml:space="preserve">Shepherd boy piper </w:t>
      </w:r>
      <w:r w:rsidRPr="001814D2">
        <w:t xml:space="preserve">c1755–60, soft-paste porcelain; England, Bow </w:t>
      </w:r>
      <w:r w:rsidRPr="001814D2">
        <w:rPr>
          <w:i/>
          <w:iCs/>
        </w:rPr>
        <w:t xml:space="preserve">Girl fish seller </w:t>
      </w:r>
      <w:r w:rsidRPr="001814D2">
        <w:t xml:space="preserve">c1755–60, soft-paste porcelain; England, Bow </w:t>
      </w:r>
      <w:r w:rsidRPr="001814D2">
        <w:rPr>
          <w:i/>
          <w:iCs/>
        </w:rPr>
        <w:t xml:space="preserve">Boy fish seller </w:t>
      </w:r>
      <w:r w:rsidRPr="001814D2">
        <w:t xml:space="preserve">c1755–60, soft-paste porcelain; England, Chelsea </w:t>
      </w:r>
      <w:r w:rsidRPr="001814D2">
        <w:rPr>
          <w:i/>
          <w:iCs/>
        </w:rPr>
        <w:t xml:space="preserve">Tryolean dancers </w:t>
      </w:r>
      <w:r w:rsidRPr="001814D2">
        <w:t xml:space="preserve">c1755–c1758, soft-paste porcelain; England, Longton Hall </w:t>
      </w:r>
      <w:r w:rsidRPr="001814D2">
        <w:rPr>
          <w:i/>
          <w:iCs/>
        </w:rPr>
        <w:t>Plate</w:t>
      </w:r>
      <w:r w:rsidRPr="001814D2">
        <w:t xml:space="preserve"> c1755–c1760, porcelain; England, Longton Hall </w:t>
      </w:r>
      <w:r w:rsidRPr="001814D2">
        <w:rPr>
          <w:i/>
          <w:iCs/>
        </w:rPr>
        <w:t xml:space="preserve">Plate </w:t>
      </w:r>
      <w:r w:rsidRPr="001814D2">
        <w:t xml:space="preserve">c1755–c1757, porcelain; England, Longton Hall </w:t>
      </w:r>
      <w:r w:rsidRPr="001814D2">
        <w:rPr>
          <w:i/>
          <w:iCs/>
        </w:rPr>
        <w:t xml:space="preserve">Plate </w:t>
      </w:r>
      <w:r w:rsidRPr="001814D2">
        <w:t xml:space="preserve">c1755–c1757, porcelain; England, Longton Hall </w:t>
      </w:r>
      <w:r w:rsidRPr="001814D2">
        <w:rPr>
          <w:i/>
          <w:iCs/>
        </w:rPr>
        <w:t xml:space="preserve">Plate </w:t>
      </w:r>
      <w:r w:rsidRPr="001814D2">
        <w:t xml:space="preserve">c1755–c1757, porcelain; England, Longton Hall </w:t>
      </w:r>
      <w:r w:rsidRPr="001814D2">
        <w:rPr>
          <w:i/>
          <w:iCs/>
        </w:rPr>
        <w:t xml:space="preserve">Plate </w:t>
      </w:r>
      <w:r w:rsidRPr="001814D2">
        <w:t xml:space="preserve">c1755–c1757, porcelain; Germany, Höchst </w:t>
      </w:r>
      <w:r w:rsidRPr="001814D2">
        <w:rPr>
          <w:i/>
          <w:iCs/>
        </w:rPr>
        <w:t xml:space="preserve">Sportsman </w:t>
      </w:r>
      <w:r w:rsidRPr="001814D2">
        <w:t xml:space="preserve">1751, hard-paste porcelain; England, Chelsea </w:t>
      </w:r>
      <w:r w:rsidRPr="001814D2">
        <w:rPr>
          <w:i/>
          <w:iCs/>
        </w:rPr>
        <w:t xml:space="preserve">Covered bowl and cover </w:t>
      </w:r>
      <w:r w:rsidRPr="001814D2">
        <w:t xml:space="preserve">c1756–c1758, soft-paste porcelain; England, Chelsea </w:t>
      </w:r>
      <w:r w:rsidRPr="001814D2">
        <w:rPr>
          <w:i/>
          <w:iCs/>
        </w:rPr>
        <w:t xml:space="preserve">Large dish </w:t>
      </w:r>
      <w:r w:rsidRPr="001814D2">
        <w:t xml:space="preserve">c1756, soft-paste porcelain; Germany, Frankenthal </w:t>
      </w:r>
      <w:r w:rsidRPr="001814D2">
        <w:rPr>
          <w:i/>
          <w:iCs/>
        </w:rPr>
        <w:t xml:space="preserve">Cup and saucer </w:t>
      </w:r>
      <w:r w:rsidRPr="001814D2">
        <w:t xml:space="preserve">c1756–c1759, hard-paste porcelain; England, Bow </w:t>
      </w:r>
      <w:r w:rsidRPr="001814D2">
        <w:rPr>
          <w:i/>
          <w:iCs/>
        </w:rPr>
        <w:t xml:space="preserve">Woodcutter splitting logs with an axe </w:t>
      </w:r>
      <w:r w:rsidRPr="001814D2">
        <w:t xml:space="preserve">c1758–c1760, soft-paste porcelain; Bow </w:t>
      </w:r>
      <w:r w:rsidRPr="001814D2">
        <w:rPr>
          <w:i/>
          <w:iCs/>
        </w:rPr>
        <w:t xml:space="preserve">Sweetmeat container with female monkey </w:t>
      </w:r>
      <w:r w:rsidRPr="001814D2">
        <w:t xml:space="preserve">c1758–c1762, soft-paste porcelain; England, Bow </w:t>
      </w:r>
      <w:r w:rsidRPr="001814D2">
        <w:rPr>
          <w:i/>
          <w:iCs/>
        </w:rPr>
        <w:t xml:space="preserve">Sweetmeat container with male monkey </w:t>
      </w:r>
      <w:r w:rsidRPr="001814D2">
        <w:t xml:space="preserve">c1758–c1762, soft-paste porcelain; England, Chelsea, </w:t>
      </w:r>
      <w:r w:rsidRPr="001814D2">
        <w:rPr>
          <w:i/>
          <w:iCs/>
        </w:rPr>
        <w:t xml:space="preserve">Plate </w:t>
      </w:r>
      <w:r w:rsidRPr="001814D2">
        <w:t xml:space="preserve">c1758–c1760, soft-paste porcelain; England, Derby, </w:t>
      </w:r>
      <w:r w:rsidRPr="001814D2">
        <w:rPr>
          <w:i/>
          <w:iCs/>
        </w:rPr>
        <w:t xml:space="preserve">Vase and cover </w:t>
      </w:r>
      <w:r w:rsidRPr="001814D2">
        <w:t xml:space="preserve">c1758, soft-paste porcelain; France, Vincennes </w:t>
      </w:r>
      <w:r w:rsidRPr="001814D2">
        <w:rPr>
          <w:i/>
          <w:iCs/>
        </w:rPr>
        <w:t xml:space="preserve">Pair of vases </w:t>
      </w:r>
      <w:r w:rsidRPr="001814D2">
        <w:t xml:space="preserve">1754–55, soft-paste porcelain; France, Vincennes </w:t>
      </w:r>
      <w:r w:rsidRPr="001814D2">
        <w:rPr>
          <w:i/>
          <w:iCs/>
        </w:rPr>
        <w:t xml:space="preserve">Teapot </w:t>
      </w:r>
      <w:r w:rsidRPr="001814D2">
        <w:t xml:space="preserve">1754–55, soft-paste porcelain; Germany, Meissen </w:t>
      </w:r>
      <w:r w:rsidRPr="001814D2">
        <w:rPr>
          <w:i/>
          <w:iCs/>
        </w:rPr>
        <w:t xml:space="preserve">The squire of Alsatia, model </w:t>
      </w:r>
      <w:r w:rsidRPr="001814D2">
        <w:t xml:space="preserve">1754, hard-paste porcelain; Germany, Meissen </w:t>
      </w:r>
      <w:r w:rsidRPr="001814D2">
        <w:rPr>
          <w:i/>
          <w:iCs/>
        </w:rPr>
        <w:t xml:space="preserve">A London courtesan, model </w:t>
      </w:r>
      <w:r w:rsidRPr="001814D2">
        <w:t xml:space="preserve">1754, hard-paste porcelain; Germany, Meissen </w:t>
      </w:r>
      <w:r w:rsidRPr="001814D2">
        <w:rPr>
          <w:i/>
          <w:iCs/>
        </w:rPr>
        <w:t xml:space="preserve">Snuff box </w:t>
      </w:r>
      <w:r w:rsidRPr="001814D2">
        <w:t xml:space="preserve">c1760–70, hard-paste porcelain; England, Worcester </w:t>
      </w:r>
      <w:r w:rsidRPr="001814D2">
        <w:rPr>
          <w:i/>
          <w:iCs/>
        </w:rPr>
        <w:t xml:space="preserve">Tureen and cover in the form of a partridge </w:t>
      </w:r>
      <w:r w:rsidRPr="001814D2">
        <w:t xml:space="preserve">c1760–65, soft-paste porcelain; England, Bow </w:t>
      </w:r>
      <w:r w:rsidRPr="001814D2">
        <w:rPr>
          <w:i/>
          <w:iCs/>
        </w:rPr>
        <w:t xml:space="preserve">Abess seated reading the divine office </w:t>
      </w:r>
      <w:r w:rsidRPr="001814D2">
        <w:t xml:space="preserve">c1760, soft-paste porcelain; England, Bow </w:t>
      </w:r>
      <w:r w:rsidRPr="001814D2">
        <w:rPr>
          <w:i/>
          <w:iCs/>
        </w:rPr>
        <w:t xml:space="preserve">Winter from the seated rustic seasons </w:t>
      </w:r>
      <w:r w:rsidRPr="001814D2">
        <w:t xml:space="preserve">c1760–65, soft-paste porcelain; England, Chelsea </w:t>
      </w:r>
      <w:r w:rsidRPr="001814D2">
        <w:rPr>
          <w:i/>
          <w:iCs/>
        </w:rPr>
        <w:t xml:space="preserve">Plate </w:t>
      </w:r>
      <w:r w:rsidRPr="001814D2">
        <w:t xml:space="preserve">c1760–65, soft-paste porcelain; England, Chelsea </w:t>
      </w:r>
      <w:r w:rsidRPr="001814D2">
        <w:rPr>
          <w:i/>
          <w:iCs/>
        </w:rPr>
        <w:t xml:space="preserve">Plate </w:t>
      </w:r>
      <w:r w:rsidRPr="001814D2">
        <w:t xml:space="preserve">c1760–65, soft-paste porcelain; England, Chelsea </w:t>
      </w:r>
      <w:r w:rsidRPr="001814D2">
        <w:rPr>
          <w:i/>
          <w:iCs/>
        </w:rPr>
        <w:t xml:space="preserve">Plate </w:t>
      </w:r>
      <w:r w:rsidRPr="001814D2">
        <w:t xml:space="preserve">c1760–65, soft-paste porcelain; England, Derby </w:t>
      </w:r>
      <w:r w:rsidRPr="001814D2">
        <w:rPr>
          <w:i/>
          <w:iCs/>
        </w:rPr>
        <w:t xml:space="preserve">Violinist </w:t>
      </w:r>
      <w:r w:rsidRPr="001814D2">
        <w:t xml:space="preserve">c1760–65, soft-paste porcelain; Germany, Fürstenberg </w:t>
      </w:r>
      <w:r w:rsidRPr="001814D2">
        <w:rPr>
          <w:i/>
          <w:iCs/>
        </w:rPr>
        <w:t xml:space="preserve">Tea canister and cover </w:t>
      </w:r>
      <w:r w:rsidRPr="001814D2">
        <w:t xml:space="preserve">c1760–65, hard-paste porcelain; England, Worcester </w:t>
      </w:r>
      <w:r w:rsidRPr="001814D2">
        <w:rPr>
          <w:i/>
          <w:iCs/>
        </w:rPr>
        <w:t xml:space="preserve">Teapot and cover </w:t>
      </w:r>
      <w:r w:rsidRPr="001814D2">
        <w:t xml:space="preserve">c1760–65, soft-paste porcelain; England, Worcester </w:t>
      </w:r>
      <w:r w:rsidRPr="001814D2">
        <w:rPr>
          <w:i/>
          <w:iCs/>
        </w:rPr>
        <w:t xml:space="preserve">Junket dish </w:t>
      </w:r>
      <w:r w:rsidRPr="001814D2">
        <w:t xml:space="preserve">c1760–65, soft-paste porcelain; England, Worcester </w:t>
      </w:r>
      <w:r w:rsidRPr="001814D2">
        <w:rPr>
          <w:i/>
          <w:iCs/>
        </w:rPr>
        <w:t xml:space="preserve">Jug </w:t>
      </w:r>
      <w:r w:rsidRPr="001814D2">
        <w:t xml:space="preserve">c1760–65, soft-paste porcelain; Germany, Frankenthal </w:t>
      </w:r>
      <w:r w:rsidRPr="001814D2">
        <w:rPr>
          <w:i/>
          <w:iCs/>
        </w:rPr>
        <w:t xml:space="preserve">Piper </w:t>
      </w:r>
      <w:r w:rsidRPr="001814D2">
        <w:t xml:space="preserve">c1760, hard-paste porcelain; Germany, Ludwigsburg </w:t>
      </w:r>
      <w:r w:rsidRPr="001814D2">
        <w:rPr>
          <w:i/>
          <w:iCs/>
        </w:rPr>
        <w:t xml:space="preserve">Male dancer </w:t>
      </w:r>
      <w:r w:rsidRPr="001814D2">
        <w:t xml:space="preserve">c1760–65, hard-paste porcelain; Germany, Ludwigsburg </w:t>
      </w:r>
      <w:r w:rsidRPr="001814D2">
        <w:rPr>
          <w:i/>
          <w:iCs/>
        </w:rPr>
        <w:t xml:space="preserve">Female dancer </w:t>
      </w:r>
      <w:r w:rsidRPr="001814D2">
        <w:t xml:space="preserve">c1760–65, hard-paste porcelain; Austria, Vienna porcelain </w:t>
      </w:r>
      <w:r w:rsidRPr="001814D2">
        <w:rPr>
          <w:i/>
          <w:iCs/>
        </w:rPr>
        <w:t xml:space="preserve">Snuff box </w:t>
      </w:r>
      <w:r w:rsidRPr="001814D2">
        <w:t xml:space="preserve">c1760–c1770, hard-paste porcelain with guilt-metal mounts; France, Sèvres </w:t>
      </w:r>
      <w:r w:rsidRPr="001814D2">
        <w:rPr>
          <w:i/>
          <w:iCs/>
        </w:rPr>
        <w:t xml:space="preserve">Square dish </w:t>
      </w:r>
      <w:r w:rsidRPr="001814D2">
        <w:t xml:space="preserve">1757–58, soft-paste porcelain; France, Sèvres </w:t>
      </w:r>
      <w:r w:rsidRPr="001814D2">
        <w:rPr>
          <w:i/>
          <w:iCs/>
        </w:rPr>
        <w:t xml:space="preserve">Square dish </w:t>
      </w:r>
      <w:r w:rsidRPr="001814D2">
        <w:t xml:space="preserve">1757–58, soft-paste porcelain; England, Chelsea </w:t>
      </w:r>
      <w:r w:rsidRPr="001814D2">
        <w:rPr>
          <w:i/>
          <w:iCs/>
        </w:rPr>
        <w:t xml:space="preserve">Girl holding a nest of chicks (summer?) </w:t>
      </w:r>
      <w:r w:rsidRPr="001814D2">
        <w:t xml:space="preserve">c1762–c1765, soft-paste porcelain; England, Chelsea, </w:t>
      </w:r>
      <w:r w:rsidRPr="001814D2">
        <w:rPr>
          <w:i/>
          <w:iCs/>
        </w:rPr>
        <w:t xml:space="preserve">Shepherd with dog </w:t>
      </w:r>
      <w:r w:rsidRPr="001814D2">
        <w:t xml:space="preserve">c1762–c1765, soft-paste porcelain; England, Chelsea </w:t>
      </w:r>
      <w:r w:rsidRPr="001814D2">
        <w:rPr>
          <w:i/>
          <w:iCs/>
        </w:rPr>
        <w:t xml:space="preserve">Vase </w:t>
      </w:r>
      <w:r w:rsidRPr="001814D2">
        <w:t xml:space="preserve">c1762–68, soft-paste porcelain; England, Chelsea </w:t>
      </w:r>
      <w:r w:rsidRPr="001814D2">
        <w:rPr>
          <w:i/>
          <w:iCs/>
        </w:rPr>
        <w:t xml:space="preserve">Potpourri vase (one of pair) </w:t>
      </w:r>
      <w:r w:rsidRPr="001814D2">
        <w:t xml:space="preserve">c1762–68, soft-paste </w:t>
      </w:r>
      <w:r w:rsidRPr="001814D2">
        <w:lastRenderedPageBreak/>
        <w:t xml:space="preserve">porcelain; England, Chelsea </w:t>
      </w:r>
      <w:r w:rsidRPr="001814D2">
        <w:rPr>
          <w:i/>
          <w:iCs/>
        </w:rPr>
        <w:t xml:space="preserve">Potpourri vase (one of pair) </w:t>
      </w:r>
      <w:r w:rsidRPr="001814D2">
        <w:t xml:space="preserve">c1762–68, soft-paste porcelain; France, Sèvres </w:t>
      </w:r>
      <w:r w:rsidRPr="001814D2">
        <w:rPr>
          <w:i/>
          <w:iCs/>
        </w:rPr>
        <w:t xml:space="preserve">Bust of Louis XV </w:t>
      </w:r>
      <w:r w:rsidRPr="001814D2">
        <w:t xml:space="preserve">c1762–c1763, hard-paste porcelain; France, Sèvres </w:t>
      </w:r>
      <w:r w:rsidRPr="001814D2">
        <w:rPr>
          <w:i/>
          <w:iCs/>
        </w:rPr>
        <w:t xml:space="preserve">Tray (Plateau carre) </w:t>
      </w:r>
      <w:r w:rsidRPr="001814D2">
        <w:t xml:space="preserve">1758–59, soft-paste porcelain; France, Sèvres </w:t>
      </w:r>
      <w:r w:rsidRPr="001814D2">
        <w:rPr>
          <w:i/>
          <w:iCs/>
        </w:rPr>
        <w:t xml:space="preserve">Tea canister and cover </w:t>
      </w:r>
      <w:r w:rsidRPr="001814D2">
        <w:t xml:space="preserve">1759–60, soft-paste porcelain; England, Worcester </w:t>
      </w:r>
      <w:r w:rsidRPr="001814D2">
        <w:rPr>
          <w:i/>
          <w:iCs/>
        </w:rPr>
        <w:t xml:space="preserve">Pair of cups and saucers </w:t>
      </w:r>
      <w:r w:rsidRPr="001814D2">
        <w:t xml:space="preserve">c1765–70, soft-paste porcelain; England, Bow </w:t>
      </w:r>
      <w:r w:rsidRPr="001814D2">
        <w:rPr>
          <w:i/>
          <w:iCs/>
        </w:rPr>
        <w:t xml:space="preserve">Vulcan or fire </w:t>
      </w:r>
      <w:r w:rsidRPr="001814D2">
        <w:t xml:space="preserve">c1765–70, soft-paste porcelain; England, Chelsea </w:t>
      </w:r>
      <w:r w:rsidRPr="001814D2">
        <w:rPr>
          <w:i/>
          <w:iCs/>
        </w:rPr>
        <w:t xml:space="preserve">Urania </w:t>
      </w:r>
      <w:r w:rsidRPr="001814D2">
        <w:t xml:space="preserve">c1765, soft-paste porcelain; England, Chelsea </w:t>
      </w:r>
      <w:r w:rsidRPr="001814D2">
        <w:rPr>
          <w:i/>
          <w:iCs/>
        </w:rPr>
        <w:t xml:space="preserve">Male gardener (one of a pair) </w:t>
      </w:r>
      <w:r w:rsidRPr="001814D2">
        <w:t xml:space="preserve">c1765–c1769, soft-paste porcelain; England, Chelsea </w:t>
      </w:r>
      <w:r w:rsidRPr="001814D2">
        <w:rPr>
          <w:i/>
          <w:iCs/>
        </w:rPr>
        <w:t xml:space="preserve">Female gardener (one of a pair) </w:t>
      </w:r>
      <w:r w:rsidRPr="001814D2">
        <w:t xml:space="preserve">c1765–c1769, soft-paste porcelain; England, Derby </w:t>
      </w:r>
      <w:r w:rsidRPr="001814D2">
        <w:rPr>
          <w:i/>
          <w:iCs/>
        </w:rPr>
        <w:t xml:space="preserve">Frill vase (one of pair) </w:t>
      </w:r>
      <w:r w:rsidRPr="001814D2">
        <w:t xml:space="preserve">c1765, soft-paste porcelain; England, Derby </w:t>
      </w:r>
      <w:r w:rsidRPr="001814D2">
        <w:rPr>
          <w:i/>
          <w:iCs/>
        </w:rPr>
        <w:t xml:space="preserve">Frill vase (one of pair) </w:t>
      </w:r>
      <w:r w:rsidRPr="001814D2">
        <w:t xml:space="preserve">c1765, soft-paste porcelain; England, Derby </w:t>
      </w:r>
      <w:r w:rsidRPr="001814D2">
        <w:rPr>
          <w:i/>
          <w:iCs/>
        </w:rPr>
        <w:t xml:space="preserve">Lady with hunting dog (one of a pair) </w:t>
      </w:r>
      <w:r w:rsidRPr="001814D2">
        <w:t xml:space="preserve">c1765–70, soft-paste porcelain; England, Derby, </w:t>
      </w:r>
      <w:r w:rsidRPr="001814D2">
        <w:rPr>
          <w:i/>
          <w:iCs/>
        </w:rPr>
        <w:t xml:space="preserve">Gentleman with hunting dog (one of a pair) </w:t>
      </w:r>
      <w:r w:rsidRPr="001814D2">
        <w:t xml:space="preserve">c1765–70, soft-paste porcelain; England, Derby </w:t>
      </w:r>
      <w:r w:rsidRPr="001814D2">
        <w:rPr>
          <w:i/>
          <w:iCs/>
        </w:rPr>
        <w:t xml:space="preserve">Birds in branches’ candlestick (one of a pair) </w:t>
      </w:r>
      <w:r w:rsidRPr="001814D2">
        <w:t xml:space="preserve">c1765–70, soft-paste porcelain; England, Worcester </w:t>
      </w:r>
      <w:r w:rsidRPr="001814D2">
        <w:rPr>
          <w:i/>
          <w:iCs/>
        </w:rPr>
        <w:t xml:space="preserve">Milk jug </w:t>
      </w:r>
      <w:r w:rsidRPr="001814D2">
        <w:t xml:space="preserve">c1765–70, soft-paste porcelain; England, Worcester </w:t>
      </w:r>
      <w:r w:rsidRPr="001814D2">
        <w:rPr>
          <w:i/>
          <w:iCs/>
        </w:rPr>
        <w:t xml:space="preserve">Teapot and cover </w:t>
      </w:r>
      <w:r w:rsidRPr="001814D2">
        <w:t xml:space="preserve">c1765–70, soft-paste porcelain; England, Worcester </w:t>
      </w:r>
      <w:r w:rsidRPr="001814D2">
        <w:rPr>
          <w:i/>
          <w:iCs/>
        </w:rPr>
        <w:t xml:space="preserve">Mustard pot and cover </w:t>
      </w:r>
      <w:r w:rsidRPr="001814D2">
        <w:t xml:space="preserve">c1765–70, soft-paste porcelain; England, Worcester </w:t>
      </w:r>
      <w:r w:rsidRPr="001814D2">
        <w:rPr>
          <w:i/>
          <w:iCs/>
        </w:rPr>
        <w:t xml:space="preserve">Jug </w:t>
      </w:r>
      <w:r w:rsidRPr="001814D2">
        <w:t xml:space="preserve">c1765–70, soft-paste porcelain; England, Worcester </w:t>
      </w:r>
      <w:r w:rsidRPr="001814D2">
        <w:rPr>
          <w:i/>
          <w:iCs/>
        </w:rPr>
        <w:t xml:space="preserve">Basket </w:t>
      </w:r>
      <w:r w:rsidRPr="001814D2">
        <w:t xml:space="preserve">c1765–70, soft-paste porcelain; France, Sèvres </w:t>
      </w:r>
      <w:r w:rsidRPr="001814D2">
        <w:rPr>
          <w:i/>
          <w:iCs/>
        </w:rPr>
        <w:t xml:space="preserve">Milk jug (pot a lait a trois pieds) </w:t>
      </w:r>
      <w:r w:rsidRPr="001814D2">
        <w:t xml:space="preserve">c1765–70, soft-paste porcelain; England, Derby </w:t>
      </w:r>
      <w:r w:rsidRPr="001814D2">
        <w:rPr>
          <w:i/>
          <w:iCs/>
        </w:rPr>
        <w:t xml:space="preserve">Birds in branches’ candlestick (one of a pair) </w:t>
      </w:r>
      <w:r w:rsidRPr="001814D2">
        <w:t xml:space="preserve">c1765–c1770, soft-paste porcelain; Hubert Robert </w:t>
      </w:r>
      <w:r w:rsidRPr="001814D2">
        <w:rPr>
          <w:i/>
          <w:iCs/>
        </w:rPr>
        <w:t xml:space="preserve">Landscape with temple </w:t>
      </w:r>
      <w:r w:rsidRPr="001814D2">
        <w:t xml:space="preserve">c1765, oil on canvas; France, Sèvres </w:t>
      </w:r>
      <w:r w:rsidRPr="001814D2">
        <w:rPr>
          <w:i/>
          <w:iCs/>
        </w:rPr>
        <w:t xml:space="preserve">Flower vase (cuvette Courteille) </w:t>
      </w:r>
      <w:r w:rsidRPr="001814D2">
        <w:t xml:space="preserve">1761?, soft-paste porcelain; France, Sèvres </w:t>
      </w:r>
      <w:r w:rsidRPr="001814D2">
        <w:rPr>
          <w:i/>
          <w:iCs/>
        </w:rPr>
        <w:t xml:space="preserve">Girl offering flowers </w:t>
      </w:r>
      <w:r w:rsidRPr="001814D2">
        <w:t xml:space="preserve">c1766–73, soft-paste porcelain; France, Sèvres </w:t>
      </w:r>
      <w:r w:rsidRPr="001814D2">
        <w:rPr>
          <w:i/>
          <w:iCs/>
        </w:rPr>
        <w:t xml:space="preserve">Boy offering flowers </w:t>
      </w:r>
      <w:r w:rsidRPr="001814D2">
        <w:t xml:space="preserve">c1766–73, soft-paste porcelain; France, Sèvres </w:t>
      </w:r>
      <w:r w:rsidRPr="001814D2">
        <w:rPr>
          <w:i/>
          <w:iCs/>
        </w:rPr>
        <w:t xml:space="preserve">Tea service </w:t>
      </w:r>
      <w:r w:rsidRPr="001814D2">
        <w:t xml:space="preserve">1762, soft-paste porcelain; Höchst </w:t>
      </w:r>
      <w:r w:rsidRPr="001814D2">
        <w:rPr>
          <w:i/>
          <w:iCs/>
        </w:rPr>
        <w:t xml:space="preserve">Boy with kennel, model </w:t>
      </w:r>
      <w:r w:rsidRPr="001814D2">
        <w:t xml:space="preserve">c1767–c1770, hard-paste porcelain; England, Worcester </w:t>
      </w:r>
      <w:r w:rsidRPr="001814D2">
        <w:rPr>
          <w:i/>
          <w:iCs/>
        </w:rPr>
        <w:t xml:space="preserve">Cream basin, cover and stand (one of a pair) </w:t>
      </w:r>
      <w:r w:rsidRPr="001814D2">
        <w:t xml:space="preserve">c1768–c1772, soft-paste porcelain; England, Worcester </w:t>
      </w:r>
      <w:r w:rsidRPr="001814D2">
        <w:rPr>
          <w:i/>
          <w:iCs/>
        </w:rPr>
        <w:t xml:space="preserve">Cream basin, cover and stand (one of a pair) </w:t>
      </w:r>
      <w:r w:rsidRPr="001814D2">
        <w:t xml:space="preserve">c1768–c1772, soft-paste porcelain; England, Worcester </w:t>
      </w:r>
      <w:r w:rsidRPr="001814D2">
        <w:rPr>
          <w:i/>
          <w:iCs/>
        </w:rPr>
        <w:t xml:space="preserve">Vase (one of a pair) </w:t>
      </w:r>
      <w:r w:rsidRPr="001814D2">
        <w:t xml:space="preserve">c1768–c1772, soft-paste porcelain; Worcester </w:t>
      </w:r>
      <w:r w:rsidRPr="001814D2">
        <w:rPr>
          <w:i/>
          <w:iCs/>
        </w:rPr>
        <w:t xml:space="preserve">Tureen, cover and stand </w:t>
      </w:r>
      <w:r w:rsidRPr="001814D2">
        <w:t xml:space="preserve">c1768–c1772, soft-paste porcelain; England, Worcester </w:t>
      </w:r>
      <w:r w:rsidRPr="001814D2">
        <w:rPr>
          <w:i/>
          <w:iCs/>
        </w:rPr>
        <w:t xml:space="preserve">Dish </w:t>
      </w:r>
      <w:r w:rsidRPr="001814D2">
        <w:t xml:space="preserve">c1768–c1772, soft-paste porcelain; England, Worcester </w:t>
      </w:r>
      <w:r w:rsidRPr="001814D2">
        <w:rPr>
          <w:i/>
          <w:iCs/>
        </w:rPr>
        <w:t xml:space="preserve">Vase (one of a pair) </w:t>
      </w:r>
      <w:r w:rsidRPr="001814D2">
        <w:t xml:space="preserve">c1768–c1772, soft-paste porcelain; France, Sèvres </w:t>
      </w:r>
      <w:r w:rsidRPr="001814D2">
        <w:rPr>
          <w:i/>
          <w:iCs/>
        </w:rPr>
        <w:t xml:space="preserve">Cup and saucer (gobelet Hebert) </w:t>
      </w:r>
      <w:r w:rsidRPr="001814D2">
        <w:t xml:space="preserve">1764, soft-paste porcelain; France, Sèvres </w:t>
      </w:r>
      <w:r w:rsidRPr="001814D2">
        <w:rPr>
          <w:i/>
          <w:iCs/>
        </w:rPr>
        <w:t xml:space="preserve">Cup and saucer </w:t>
      </w:r>
      <w:r w:rsidRPr="001814D2">
        <w:t xml:space="preserve">1765, soft-paste porcelain; Italy, Doccia </w:t>
      </w:r>
      <w:r w:rsidRPr="001814D2">
        <w:rPr>
          <w:i/>
          <w:iCs/>
        </w:rPr>
        <w:t xml:space="preserve">Flower gatherers </w:t>
      </w:r>
      <w:r w:rsidRPr="001814D2">
        <w:t xml:space="preserve">c1770–80, hard-paste porcelain; England, Bow </w:t>
      </w:r>
      <w:r w:rsidRPr="001814D2">
        <w:rPr>
          <w:i/>
          <w:iCs/>
        </w:rPr>
        <w:t xml:space="preserve">Plate </w:t>
      </w:r>
      <w:r w:rsidRPr="001814D2">
        <w:t xml:space="preserve">c1770, soft-paste porcelain; Germany, Höchst </w:t>
      </w:r>
      <w:r w:rsidRPr="001814D2">
        <w:rPr>
          <w:i/>
          <w:iCs/>
        </w:rPr>
        <w:t xml:space="preserve">Tea service </w:t>
      </w:r>
      <w:r w:rsidRPr="001814D2">
        <w:t xml:space="preserve">c1770, hard-paste porcelain; Germany, Höchst </w:t>
      </w:r>
      <w:r w:rsidRPr="001814D2">
        <w:rPr>
          <w:i/>
          <w:iCs/>
        </w:rPr>
        <w:t xml:space="preserve">Resting boy with helmet, model </w:t>
      </w:r>
      <w:r w:rsidRPr="001814D2">
        <w:t xml:space="preserve">c1770, hard-paste porcelain; Germany, Höchst </w:t>
      </w:r>
      <w:r w:rsidRPr="001814D2">
        <w:rPr>
          <w:i/>
          <w:iCs/>
        </w:rPr>
        <w:t xml:space="preserve">Girl carrying a pitcher, model </w:t>
      </w:r>
      <w:r w:rsidRPr="001814D2">
        <w:t xml:space="preserve">c1770–75, hard-paste porcelain; Germany, Höchst </w:t>
      </w:r>
      <w:r w:rsidRPr="001814D2">
        <w:rPr>
          <w:i/>
          <w:iCs/>
        </w:rPr>
        <w:t xml:space="preserve">Girl crying over spilt milk, model </w:t>
      </w:r>
      <w:r w:rsidRPr="001814D2">
        <w:t xml:space="preserve">c1770–75, hard-paste porcelain; England, Worcester </w:t>
      </w:r>
      <w:r w:rsidRPr="001814D2">
        <w:rPr>
          <w:i/>
          <w:iCs/>
        </w:rPr>
        <w:t xml:space="preserve">Dish </w:t>
      </w:r>
      <w:r w:rsidRPr="001814D2">
        <w:t xml:space="preserve">c1770–75, soft-paste porcelain; Germany, Ludwigsburg </w:t>
      </w:r>
      <w:r w:rsidRPr="001814D2">
        <w:rPr>
          <w:i/>
          <w:iCs/>
        </w:rPr>
        <w:t xml:space="preserve">Putto as hussar </w:t>
      </w:r>
      <w:r w:rsidRPr="001814D2">
        <w:t xml:space="preserve">c1770, hard-paste porcelain; Switzerland, Zurich Porcelain Manufactory </w:t>
      </w:r>
      <w:r w:rsidRPr="001814D2">
        <w:rPr>
          <w:i/>
          <w:iCs/>
        </w:rPr>
        <w:t xml:space="preserve">Drink seller </w:t>
      </w:r>
      <w:r w:rsidRPr="001814D2">
        <w:t xml:space="preserve">c1770, hard-paste porcelain; Germany, Ottweiler </w:t>
      </w:r>
      <w:r w:rsidRPr="001814D2">
        <w:rPr>
          <w:i/>
          <w:iCs/>
        </w:rPr>
        <w:t xml:space="preserve">Coffee pot </w:t>
      </w:r>
      <w:r w:rsidRPr="001814D2">
        <w:t xml:space="preserve">c1770–c1771, hard-paste porcelain; Germany, Wallendorf </w:t>
      </w:r>
      <w:r w:rsidRPr="001814D2">
        <w:rPr>
          <w:i/>
          <w:iCs/>
        </w:rPr>
        <w:t xml:space="preserve">Saturn </w:t>
      </w:r>
      <w:r w:rsidRPr="001814D2">
        <w:t xml:space="preserve">c1770, hard-paste porcelain; Germany, Wallendorf </w:t>
      </w:r>
      <w:r w:rsidRPr="001814D2">
        <w:rPr>
          <w:i/>
          <w:iCs/>
        </w:rPr>
        <w:t xml:space="preserve">Jupiter </w:t>
      </w:r>
      <w:r w:rsidRPr="001814D2">
        <w:t xml:space="preserve">c1770, hard-paste porcelain, Germany, Wallendorf </w:t>
      </w:r>
      <w:r w:rsidRPr="001814D2">
        <w:rPr>
          <w:i/>
          <w:iCs/>
        </w:rPr>
        <w:t xml:space="preserve">Juno </w:t>
      </w:r>
      <w:r w:rsidRPr="001814D2">
        <w:t xml:space="preserve">c1770, hard-paste porcelain; Germany, Wallendorf </w:t>
      </w:r>
      <w:r w:rsidRPr="001814D2">
        <w:rPr>
          <w:i/>
          <w:iCs/>
        </w:rPr>
        <w:t xml:space="preserve">Apollo </w:t>
      </w:r>
      <w:r w:rsidRPr="001814D2">
        <w:t>c1770, hard-</w:t>
      </w:r>
      <w:r w:rsidRPr="001814D2">
        <w:lastRenderedPageBreak/>
        <w:t xml:space="preserve">paste porcelain; Germany, Wallendorf </w:t>
      </w:r>
      <w:r w:rsidRPr="001814D2">
        <w:rPr>
          <w:i/>
          <w:iCs/>
        </w:rPr>
        <w:t xml:space="preserve">Diana </w:t>
      </w:r>
      <w:r w:rsidRPr="001814D2">
        <w:t xml:space="preserve">c1770, hard-paste porcelain; Germany, Wallendorf </w:t>
      </w:r>
      <w:r w:rsidRPr="001814D2">
        <w:rPr>
          <w:i/>
          <w:iCs/>
        </w:rPr>
        <w:t xml:space="preserve">Mercury </w:t>
      </w:r>
      <w:r w:rsidRPr="001814D2">
        <w:t xml:space="preserve">c1770, hard-paste porcelain; England, Bristol porcelain factory </w:t>
      </w:r>
      <w:r w:rsidRPr="001814D2">
        <w:rPr>
          <w:i/>
          <w:iCs/>
        </w:rPr>
        <w:t xml:space="preserve">Shepherdess holding a posy </w:t>
      </w:r>
      <w:r w:rsidRPr="001814D2">
        <w:t xml:space="preserve">c1770–c1773, hard-paste porcelain; Germany, Höchst </w:t>
      </w:r>
      <w:r w:rsidRPr="001814D2">
        <w:rPr>
          <w:i/>
          <w:iCs/>
        </w:rPr>
        <w:t xml:space="preserve">Seated shepherdess with lamb, model </w:t>
      </w:r>
      <w:r w:rsidRPr="001814D2">
        <w:t xml:space="preserve">c1770, hard-paste porcelain; France, Sèvres </w:t>
      </w:r>
      <w:r w:rsidRPr="001814D2">
        <w:rPr>
          <w:i/>
          <w:iCs/>
        </w:rPr>
        <w:t xml:space="preserve">Ice-cream cooler (seau à glace) </w:t>
      </w:r>
      <w:r w:rsidRPr="001814D2">
        <w:t xml:space="preserve">1767, soft-paste porcelain; France, Sèvres </w:t>
      </w:r>
      <w:r w:rsidRPr="001814D2">
        <w:rPr>
          <w:i/>
          <w:iCs/>
        </w:rPr>
        <w:t xml:space="preserve">Square dish (compotier carré) </w:t>
      </w:r>
      <w:r w:rsidRPr="001814D2">
        <w:t xml:space="preserve">1767, soft-paste porcelain; France, Sèvres </w:t>
      </w:r>
      <w:r w:rsidRPr="001814D2">
        <w:rPr>
          <w:i/>
          <w:iCs/>
        </w:rPr>
        <w:t xml:space="preserve">Square dish (compotier carré) </w:t>
      </w:r>
      <w:r w:rsidRPr="001814D2">
        <w:t xml:space="preserve">1767, soft-paste porcelain; France, Sèvres </w:t>
      </w:r>
      <w:r w:rsidRPr="001814D2">
        <w:rPr>
          <w:i/>
          <w:iCs/>
        </w:rPr>
        <w:t xml:space="preserve">Square dish (compotier carré) </w:t>
      </w:r>
      <w:r w:rsidRPr="001814D2">
        <w:t xml:space="preserve">1767, soft-paste porcelain; France, Sèvres </w:t>
      </w:r>
      <w:r w:rsidRPr="001814D2">
        <w:rPr>
          <w:i/>
          <w:iCs/>
        </w:rPr>
        <w:t xml:space="preserve">Square dish (compotier carré) </w:t>
      </w:r>
      <w:r w:rsidRPr="001814D2">
        <w:t xml:space="preserve">1767, soft-paste porcelain; France, Sèvres </w:t>
      </w:r>
      <w:r w:rsidRPr="001814D2">
        <w:rPr>
          <w:i/>
          <w:iCs/>
        </w:rPr>
        <w:t xml:space="preserve">Mortar (morteir) </w:t>
      </w:r>
      <w:r w:rsidRPr="001814D2">
        <w:t xml:space="preserve">1767, soft-paste porcelain; France, Sèvres </w:t>
      </w:r>
      <w:r w:rsidRPr="001814D2">
        <w:rPr>
          <w:i/>
          <w:iCs/>
        </w:rPr>
        <w:t xml:space="preserve">Cup and saucer (gobelet Bouillard) </w:t>
      </w:r>
      <w:r w:rsidRPr="001814D2">
        <w:t xml:space="preserve">1767, soft-paste porcelain; France, Sèvres </w:t>
      </w:r>
      <w:r w:rsidRPr="001814D2">
        <w:rPr>
          <w:i/>
          <w:iCs/>
        </w:rPr>
        <w:t xml:space="preserve">Cup and saucer (gobelet Bouillard) </w:t>
      </w:r>
      <w:r w:rsidRPr="001814D2">
        <w:t xml:space="preserve">1767, soft-paste porcelain; France, Bourg-la-Reine porcelain factory </w:t>
      </w:r>
      <w:r w:rsidRPr="001814D2">
        <w:rPr>
          <w:i/>
          <w:iCs/>
        </w:rPr>
        <w:t xml:space="preserve">Group of musicians </w:t>
      </w:r>
      <w:r w:rsidRPr="001814D2">
        <w:t xml:space="preserve">c1772–c1775, porcelain; England, Derby </w:t>
      </w:r>
      <w:r w:rsidRPr="001814D2">
        <w:rPr>
          <w:i/>
          <w:iCs/>
        </w:rPr>
        <w:t xml:space="preserve">Harlequin </w:t>
      </w:r>
      <w:r w:rsidRPr="001814D2">
        <w:t xml:space="preserve">c1772–c1775, soft-paste porcelain; England, Derby </w:t>
      </w:r>
      <w:r w:rsidRPr="001814D2">
        <w:rPr>
          <w:i/>
          <w:iCs/>
        </w:rPr>
        <w:t xml:space="preserve">Columbine </w:t>
      </w:r>
      <w:r w:rsidRPr="001814D2">
        <w:t xml:space="preserve">c1772–c1775, soft-paste porcelain; France, Sèvres </w:t>
      </w:r>
      <w:r w:rsidRPr="001814D2">
        <w:rPr>
          <w:i/>
          <w:iCs/>
        </w:rPr>
        <w:t xml:space="preserve">Cup and saucer (gobelet Bouillard) </w:t>
      </w:r>
      <w:r w:rsidRPr="001814D2">
        <w:t xml:space="preserve">1768, soft-paste porcelain; Switzerland, Zurich porcelain manufactory </w:t>
      </w:r>
      <w:r w:rsidRPr="001814D2">
        <w:rPr>
          <w:i/>
          <w:iCs/>
        </w:rPr>
        <w:t xml:space="preserve">Fisherfolk </w:t>
      </w:r>
      <w:r w:rsidRPr="001814D2">
        <w:t xml:space="preserve">c1773, hard-paste porcelain; England, Bristol porcelain factory </w:t>
      </w:r>
      <w:r w:rsidRPr="001814D2">
        <w:rPr>
          <w:i/>
          <w:iCs/>
        </w:rPr>
        <w:t xml:space="preserve">Vase and cover </w:t>
      </w:r>
      <w:r w:rsidRPr="001814D2">
        <w:t xml:space="preserve">c1773, hard-paste porcelain; England, Bristol porcelain factory </w:t>
      </w:r>
      <w:r w:rsidRPr="001814D2">
        <w:rPr>
          <w:i/>
          <w:iCs/>
        </w:rPr>
        <w:t xml:space="preserve">Vase and cover </w:t>
      </w:r>
      <w:r w:rsidRPr="001814D2">
        <w:t xml:space="preserve">c1773, hard-paste porcelain; France, Sres </w:t>
      </w:r>
      <w:r w:rsidRPr="001814D2">
        <w:rPr>
          <w:i/>
          <w:iCs/>
        </w:rPr>
        <w:t xml:space="preserve">Salt (saliere simple) </w:t>
      </w:r>
      <w:r w:rsidRPr="001814D2">
        <w:t xml:space="preserve">1769, soft-paste porcelain; France, Sèvres </w:t>
      </w:r>
      <w:r w:rsidRPr="001814D2">
        <w:rPr>
          <w:i/>
          <w:iCs/>
        </w:rPr>
        <w:t xml:space="preserve">Salt (saliere simple) </w:t>
      </w:r>
      <w:r w:rsidRPr="001814D2">
        <w:t xml:space="preserve">1769, soft-paste porcelain; France, Sèvres </w:t>
      </w:r>
      <w:r w:rsidRPr="001814D2">
        <w:rPr>
          <w:i/>
          <w:iCs/>
        </w:rPr>
        <w:t xml:space="preserve">Monteith (Seau crennele) </w:t>
      </w:r>
      <w:r w:rsidRPr="001814D2">
        <w:t xml:space="preserve">1770, soft-paste porcelain; Germany, Höchst </w:t>
      </w:r>
      <w:r w:rsidRPr="001814D2">
        <w:rPr>
          <w:i/>
          <w:iCs/>
        </w:rPr>
        <w:t xml:space="preserve">Boy with poodle </w:t>
      </w:r>
      <w:r w:rsidRPr="001814D2">
        <w:t xml:space="preserve">c1775–85, hard-paste porcelain; Germany, Fürstenberg </w:t>
      </w:r>
      <w:r w:rsidRPr="001814D2">
        <w:rPr>
          <w:i/>
          <w:iCs/>
        </w:rPr>
        <w:t xml:space="preserve">Sugar bowl and cover </w:t>
      </w:r>
      <w:r w:rsidRPr="001814D2">
        <w:t xml:space="preserve">c1775–80, hard-paste porcelain; England, Worcester </w:t>
      </w:r>
      <w:r w:rsidRPr="001814D2">
        <w:rPr>
          <w:i/>
          <w:iCs/>
        </w:rPr>
        <w:t xml:space="preserve">Small dish </w:t>
      </w:r>
      <w:r w:rsidRPr="001814D2">
        <w:t xml:space="preserve">c1775–80, soft-paste porcelain; England, Worcester </w:t>
      </w:r>
      <w:r w:rsidRPr="001814D2">
        <w:rPr>
          <w:i/>
          <w:iCs/>
        </w:rPr>
        <w:t xml:space="preserve">Cup and saucer </w:t>
      </w:r>
      <w:r w:rsidRPr="001814D2">
        <w:t xml:space="preserve">c1775–85, soft-paste porcelain; France, Sèvres </w:t>
      </w:r>
      <w:r w:rsidRPr="001814D2">
        <w:rPr>
          <w:i/>
          <w:iCs/>
        </w:rPr>
        <w:t xml:space="preserve">Milk jug (pot a lait a trois pieds) </w:t>
      </w:r>
      <w:r w:rsidRPr="001814D2">
        <w:t xml:space="preserve">c1775–80, soft-paste porcelain; England, Worcester </w:t>
      </w:r>
      <w:r w:rsidRPr="001814D2">
        <w:rPr>
          <w:i/>
          <w:iCs/>
        </w:rPr>
        <w:t xml:space="preserve">Small oval tureen, cover and stand </w:t>
      </w:r>
      <w:r w:rsidRPr="001814D2">
        <w:t xml:space="preserve">c1775–c1780, soft-paste porcelain; England, Chelsea </w:t>
      </w:r>
      <w:r w:rsidRPr="001814D2">
        <w:rPr>
          <w:i/>
          <w:iCs/>
        </w:rPr>
        <w:t xml:space="preserve">Teapot and cover </w:t>
      </w:r>
      <w:r w:rsidRPr="001814D2">
        <w:t xml:space="preserve">c1775, soft-paste porcelain; France, Sèvres </w:t>
      </w:r>
      <w:r w:rsidRPr="001814D2">
        <w:rPr>
          <w:i/>
          <w:iCs/>
        </w:rPr>
        <w:t>Cup and socketed saucer (gobelet et soucoupe enfonce)</w:t>
      </w:r>
      <w:r w:rsidRPr="001814D2">
        <w:t xml:space="preserve"> 1771, soft-paste porcelain; France, Sèvres </w:t>
      </w:r>
      <w:r w:rsidRPr="001814D2">
        <w:rPr>
          <w:i/>
          <w:iCs/>
        </w:rPr>
        <w:t xml:space="preserve">Soup plate (assiette à potage) </w:t>
      </w:r>
      <w:r w:rsidRPr="001814D2">
        <w:t xml:space="preserve">1773, soft-paste porcelain; France, Sèvres </w:t>
      </w:r>
      <w:r w:rsidRPr="001814D2">
        <w:rPr>
          <w:i/>
          <w:iCs/>
        </w:rPr>
        <w:t xml:space="preserve">Soup plate (assiette à potage) </w:t>
      </w:r>
      <w:r w:rsidRPr="001814D2">
        <w:t xml:space="preserve">1773, soft-paste porcelain; France, Sèvres </w:t>
      </w:r>
      <w:r w:rsidRPr="001814D2">
        <w:rPr>
          <w:i/>
          <w:iCs/>
        </w:rPr>
        <w:t xml:space="preserve">Cup and saucer (gobelet litron) </w:t>
      </w:r>
      <w:r w:rsidRPr="001814D2">
        <w:t xml:space="preserve">1775, soft-paste porcelain; France, Sèvres </w:t>
      </w:r>
      <w:r w:rsidRPr="001814D2">
        <w:rPr>
          <w:i/>
          <w:iCs/>
        </w:rPr>
        <w:t xml:space="preserve">Tea canister and cover </w:t>
      </w:r>
      <w:r w:rsidRPr="001814D2">
        <w:t xml:space="preserve">1776, soft-paste porcelain; France, Sèvres </w:t>
      </w:r>
      <w:r w:rsidRPr="001814D2">
        <w:rPr>
          <w:i/>
          <w:iCs/>
        </w:rPr>
        <w:t xml:space="preserve">Vase (one of pair) </w:t>
      </w:r>
      <w:r w:rsidRPr="001814D2">
        <w:t xml:space="preserve">1777, soft-paste porcelain; France, Sèvres </w:t>
      </w:r>
      <w:r w:rsidRPr="001814D2">
        <w:rPr>
          <w:i/>
          <w:iCs/>
        </w:rPr>
        <w:t xml:space="preserve">Vase (one of pair) </w:t>
      </w:r>
      <w:r w:rsidRPr="001814D2">
        <w:t xml:space="preserve">1777, soft-paste porcelain; George Romney </w:t>
      </w:r>
      <w:r w:rsidRPr="001814D2">
        <w:rPr>
          <w:i/>
          <w:iCs/>
        </w:rPr>
        <w:t xml:space="preserve">Portrait of William Hamilton </w:t>
      </w:r>
      <w:r w:rsidRPr="001814D2">
        <w:t xml:space="preserve">1779, oil on canvas; France, Sèvres </w:t>
      </w:r>
      <w:r w:rsidRPr="001814D2">
        <w:rPr>
          <w:i/>
          <w:iCs/>
        </w:rPr>
        <w:t xml:space="preserve">Sugar bowl and lid (pot à sucre Bouret) </w:t>
      </w:r>
      <w:r w:rsidRPr="001814D2">
        <w:t xml:space="preserve">c1785, soft-paste porcelain; Germany, Frankenthal </w:t>
      </w:r>
      <w:r w:rsidRPr="001814D2">
        <w:rPr>
          <w:i/>
          <w:iCs/>
        </w:rPr>
        <w:t xml:space="preserve">Boy with dog kennel </w:t>
      </w:r>
      <w:r w:rsidRPr="001814D2">
        <w:t xml:space="preserve">1781, hard-paste porcelain; Sir Joshua Reynolds </w:t>
      </w:r>
      <w:r w:rsidRPr="001814D2">
        <w:rPr>
          <w:i/>
          <w:iCs/>
        </w:rPr>
        <w:t xml:space="preserve">The Holy Family </w:t>
      </w:r>
      <w:r w:rsidRPr="001814D2">
        <w:t xml:space="preserve">c1789, oil on canvas; France, Sèvres </w:t>
      </w:r>
      <w:r w:rsidRPr="001814D2">
        <w:rPr>
          <w:i/>
          <w:iCs/>
        </w:rPr>
        <w:t xml:space="preserve">Cup and saucer (gobelet litron) </w:t>
      </w:r>
      <w:r w:rsidRPr="001814D2">
        <w:t xml:space="preserve">1785, soft-paste porcelain; France, Sèvres </w:t>
      </w:r>
      <w:r w:rsidRPr="001814D2">
        <w:rPr>
          <w:i/>
          <w:iCs/>
        </w:rPr>
        <w:t xml:space="preserve">Plate (assiette uni) </w:t>
      </w:r>
      <w:r w:rsidRPr="001814D2">
        <w:t xml:space="preserve">1785, soft-paste porcelain; France, Sèvres </w:t>
      </w:r>
      <w:r w:rsidRPr="001814D2">
        <w:rPr>
          <w:i/>
          <w:iCs/>
        </w:rPr>
        <w:t xml:space="preserve">Plate (assiette uni) </w:t>
      </w:r>
      <w:r w:rsidRPr="001814D2">
        <w:t xml:space="preserve">1785, soft-paste porcelain; France, Sèvres </w:t>
      </w:r>
      <w:r w:rsidRPr="001814D2">
        <w:rPr>
          <w:i/>
          <w:iCs/>
        </w:rPr>
        <w:t xml:space="preserve">Cup and saucer </w:t>
      </w:r>
      <w:r w:rsidRPr="001814D2">
        <w:t>c1791–c1793, hard-paste porcelain</w:t>
      </w:r>
    </w:p>
    <w:p w14:paraId="155BA7D5" w14:textId="77777777" w:rsidR="009103CC" w:rsidRPr="001814D2" w:rsidRDefault="009103CC" w:rsidP="009103CC">
      <w:pPr>
        <w:pStyle w:val="Listitemasbody"/>
      </w:pPr>
      <w:r w:rsidRPr="001814D2">
        <w:rPr>
          <w:b/>
          <w:bCs/>
        </w:rPr>
        <w:t>The Lewis Collection</w:t>
      </w:r>
      <w:r w:rsidRPr="001814D2">
        <w:t xml:space="preserve"> 1 February 2021 – 1 February 2026 (renewed): Francis Bacon </w:t>
      </w:r>
      <w:r w:rsidRPr="001814D2">
        <w:rPr>
          <w:i/>
          <w:iCs/>
        </w:rPr>
        <w:t xml:space="preserve">Study </w:t>
      </w:r>
      <w:r w:rsidRPr="001814D2">
        <w:rPr>
          <w:i/>
          <w:iCs/>
        </w:rPr>
        <w:lastRenderedPageBreak/>
        <w:t>from Portrait of Pope Innocent X by Velazquez</w:t>
      </w:r>
      <w:r w:rsidRPr="001814D2">
        <w:t xml:space="preserve"> 1959, oil on canvas; </w:t>
      </w:r>
      <w:r w:rsidRPr="001814D2">
        <w:rPr>
          <w:i/>
          <w:iCs/>
        </w:rPr>
        <w:t>Triptych</w:t>
      </w:r>
      <w:r w:rsidRPr="001814D2">
        <w:t xml:space="preserve"> 1974–77, reworked 1977 oil, pastel and dry transfer lettering; Lucian Freud </w:t>
      </w:r>
      <w:r w:rsidRPr="001814D2">
        <w:rPr>
          <w:i/>
          <w:iCs/>
        </w:rPr>
        <w:t>And the bridegroom</w:t>
      </w:r>
      <w:r w:rsidRPr="001814D2">
        <w:t xml:space="preserve"> 1993, oil on canvas; </w:t>
      </w:r>
      <w:r w:rsidRPr="001814D2">
        <w:rPr>
          <w:i/>
          <w:iCs/>
        </w:rPr>
        <w:t xml:space="preserve">Susie </w:t>
      </w:r>
      <w:r w:rsidRPr="001814D2">
        <w:t xml:space="preserve">1988–89, oil on canvas; </w:t>
      </w:r>
      <w:r w:rsidRPr="001814D2">
        <w:rPr>
          <w:i/>
          <w:iCs/>
        </w:rPr>
        <w:t>Two men in the studio</w:t>
      </w:r>
      <w:r w:rsidRPr="001814D2">
        <w:t xml:space="preserve"> 1987–89, oil on canvas; Fang Lijun </w:t>
      </w:r>
      <w:r w:rsidRPr="001814D2">
        <w:rPr>
          <w:i/>
          <w:iCs/>
        </w:rPr>
        <w:t>Swimming no 1</w:t>
      </w:r>
      <w:r w:rsidRPr="001814D2">
        <w:t xml:space="preserve"> 1994, oil on canvas; Yan Peiming </w:t>
      </w:r>
      <w:r w:rsidRPr="001814D2">
        <w:rPr>
          <w:i/>
          <w:iCs/>
        </w:rPr>
        <w:t>Untitled (Mao triptych)</w:t>
      </w:r>
      <w:r w:rsidRPr="001814D2">
        <w:t xml:space="preserve"> 1998, oil on canvas, triptych; Pablo Picasso </w:t>
      </w:r>
      <w:r w:rsidRPr="001814D2">
        <w:rPr>
          <w:i/>
          <w:iCs/>
        </w:rPr>
        <w:t>Femme allongée sur un canapé (Dora Maar)</w:t>
      </w:r>
      <w:r w:rsidRPr="001814D2">
        <w:t xml:space="preserve"> 1939, oil on canvas; Chaïm Soutine </w:t>
      </w:r>
      <w:r w:rsidRPr="001814D2">
        <w:rPr>
          <w:i/>
          <w:iCs/>
        </w:rPr>
        <w:t>L’homme au foulard rouge</w:t>
      </w:r>
      <w:r w:rsidRPr="001814D2">
        <w:t xml:space="preserve"> c1921, oil on canvas; Zhang Xiaogang </w:t>
      </w:r>
      <w:r w:rsidRPr="001814D2">
        <w:rPr>
          <w:i/>
          <w:iCs/>
        </w:rPr>
        <w:t>Mother with three sons (Bloodline series)</w:t>
      </w:r>
      <w:r w:rsidRPr="001814D2">
        <w:t xml:space="preserve"> 1993, oil on canvas; </w:t>
      </w:r>
      <w:r w:rsidRPr="001814D2">
        <w:rPr>
          <w:i/>
          <w:iCs/>
        </w:rPr>
        <w:t>Portrait in Red</w:t>
      </w:r>
      <w:r w:rsidRPr="001814D2">
        <w:t xml:space="preserve"> 1993, oil on canvas; Amedeo Modigliani </w:t>
      </w:r>
      <w:r w:rsidRPr="001814D2">
        <w:rPr>
          <w:i/>
          <w:iCs/>
        </w:rPr>
        <w:t>Nu assis au collier</w:t>
      </w:r>
      <w:r w:rsidRPr="001814D2">
        <w:t xml:space="preserve"> 1917, oil on canvas; Njideka Akunyili Crosby </w:t>
      </w:r>
      <w:r w:rsidRPr="001814D2">
        <w:rPr>
          <w:i/>
          <w:iCs/>
        </w:rPr>
        <w:t xml:space="preserve">Drown </w:t>
      </w:r>
      <w:r w:rsidRPr="001814D2">
        <w:t xml:space="preserve">2012, acrylic, coloured pencil and solvent transfer on paper; Jenny Saville </w:t>
      </w:r>
      <w:r w:rsidRPr="001814D2">
        <w:rPr>
          <w:i/>
          <w:iCs/>
        </w:rPr>
        <w:t>Vis and Ramin II</w:t>
      </w:r>
      <w:r w:rsidRPr="001814D2">
        <w:t xml:space="preserve"> 2018, oil on canvas</w:t>
      </w:r>
    </w:p>
    <w:p w14:paraId="78424701" w14:textId="77777777" w:rsidR="009103CC" w:rsidRPr="001814D2" w:rsidRDefault="009103CC" w:rsidP="009103CC">
      <w:pPr>
        <w:pStyle w:val="Listitemasbody"/>
      </w:pPr>
      <w:r w:rsidRPr="001814D2">
        <w:rPr>
          <w:b/>
          <w:bCs/>
        </w:rPr>
        <w:t>Private collection</w:t>
      </w:r>
      <w:r w:rsidRPr="001814D2">
        <w:t xml:space="preserve"> 28 February 2021 – 28 February 2024 (renewed): Tony Oursler </w:t>
      </w:r>
      <w:r w:rsidRPr="001814D2">
        <w:rPr>
          <w:i/>
          <w:iCs/>
        </w:rPr>
        <w:t>Blue</w:t>
      </w:r>
      <w:r w:rsidRPr="001814D2">
        <w:t xml:space="preserve"> 2006, fiberglass sculpture, single channel digital video projection, colour, sound</w:t>
      </w:r>
    </w:p>
    <w:p w14:paraId="21AAED26" w14:textId="77777777" w:rsidR="009103CC" w:rsidRPr="001814D2" w:rsidRDefault="009103CC" w:rsidP="009103CC">
      <w:pPr>
        <w:pStyle w:val="Listitemasbody"/>
      </w:pPr>
      <w:r w:rsidRPr="001814D2">
        <w:rPr>
          <w:b/>
          <w:bCs/>
        </w:rPr>
        <w:t>Collection of Dr Clinton Ng</w:t>
      </w:r>
      <w:r w:rsidRPr="001814D2">
        <w:t xml:space="preserve"> 30 March 2021 – 29 March 2026: Daniel Boyd </w:t>
      </w:r>
      <w:r w:rsidRPr="001814D2">
        <w:rPr>
          <w:i/>
          <w:iCs/>
        </w:rPr>
        <w:t xml:space="preserve">Untitled (ZVDG) </w:t>
      </w:r>
      <w:r w:rsidRPr="001814D2">
        <w:t>2014, oil and archival glue on linen</w:t>
      </w:r>
    </w:p>
    <w:p w14:paraId="355880FB" w14:textId="77777777" w:rsidR="009103CC" w:rsidRPr="001814D2" w:rsidRDefault="009103CC" w:rsidP="009103CC">
      <w:pPr>
        <w:pStyle w:val="Listitemasbody"/>
      </w:pPr>
      <w:r w:rsidRPr="001814D2">
        <w:rPr>
          <w:b/>
          <w:bCs/>
        </w:rPr>
        <w:t>Goldie Sternberg Collection</w:t>
      </w:r>
      <w:r w:rsidRPr="001814D2">
        <w:t xml:space="preserve"> 1 April 2021 – 31 March 2024 (renewed): Utagawa Kunisada II </w:t>
      </w:r>
      <w:r w:rsidRPr="001814D2">
        <w:rPr>
          <w:i/>
          <w:iCs/>
        </w:rPr>
        <w:t>Actor Bandô Hikosaburô</w:t>
      </w:r>
      <w:r w:rsidRPr="001814D2">
        <w:t xml:space="preserve">, woodblock print; ink and colour on paper; Japan </w:t>
      </w:r>
      <w:r w:rsidRPr="001814D2">
        <w:rPr>
          <w:i/>
          <w:iCs/>
        </w:rPr>
        <w:t>Porcelain tray</w:t>
      </w:r>
      <w:r w:rsidRPr="001814D2">
        <w:t>,</w:t>
      </w:r>
      <w:r w:rsidRPr="001814D2">
        <w:rPr>
          <w:i/>
          <w:iCs/>
        </w:rPr>
        <w:t xml:space="preserve"> </w:t>
      </w:r>
      <w:r w:rsidRPr="001814D2">
        <w:t>porcelain with enamel decoration; Lopburi/Thailand</w:t>
      </w:r>
      <w:r w:rsidRPr="001814D2">
        <w:rPr>
          <w:i/>
          <w:iCs/>
        </w:rPr>
        <w:t xml:space="preserve"> Guardian figure</w:t>
      </w:r>
      <w:r w:rsidRPr="001814D2">
        <w:t>,</w:t>
      </w:r>
      <w:r w:rsidRPr="001814D2">
        <w:rPr>
          <w:i/>
          <w:iCs/>
        </w:rPr>
        <w:t xml:space="preserve"> </w:t>
      </w:r>
      <w:r w:rsidRPr="001814D2">
        <w:t xml:space="preserve">stone; Thailand </w:t>
      </w:r>
      <w:r w:rsidRPr="001814D2">
        <w:rPr>
          <w:i/>
          <w:iCs/>
        </w:rPr>
        <w:t>Head of Buddha</w:t>
      </w:r>
      <w:r w:rsidRPr="001814D2">
        <w:t xml:space="preserve">, bronze; Fu Xiaoshi </w:t>
      </w:r>
      <w:r w:rsidRPr="001814D2">
        <w:rPr>
          <w:i/>
          <w:iCs/>
        </w:rPr>
        <w:t>Seated lady drinking</w:t>
      </w:r>
      <w:r w:rsidRPr="001814D2">
        <w:t xml:space="preserve">, hanging scroll; ink and colour on paper; ZI Qing </w:t>
      </w:r>
      <w:r w:rsidRPr="001814D2">
        <w:rPr>
          <w:i/>
          <w:iCs/>
        </w:rPr>
        <w:t>Ladies standing under a tree</w:t>
      </w:r>
      <w:r w:rsidRPr="001814D2">
        <w:t>,</w:t>
      </w:r>
      <w:r w:rsidRPr="001814D2">
        <w:rPr>
          <w:i/>
          <w:iCs/>
        </w:rPr>
        <w:t xml:space="preserve"> </w:t>
      </w:r>
      <w:r w:rsidRPr="001814D2">
        <w:t xml:space="preserve">hanging scroll ink and colour on silk; Xie Zhiliu </w:t>
      </w:r>
      <w:r w:rsidRPr="001814D2">
        <w:rPr>
          <w:i/>
          <w:iCs/>
        </w:rPr>
        <w:t>Pure dew in a pond</w:t>
      </w:r>
      <w:r w:rsidRPr="001814D2">
        <w:t>,</w:t>
      </w:r>
      <w:r w:rsidRPr="001814D2">
        <w:rPr>
          <w:i/>
          <w:iCs/>
        </w:rPr>
        <w:t xml:space="preserve"> </w:t>
      </w:r>
      <w:r w:rsidRPr="001814D2">
        <w:t xml:space="preserve">hanging scroll, ink and colour on paper; Okada Beisanjin </w:t>
      </w:r>
      <w:r w:rsidRPr="001814D2">
        <w:rPr>
          <w:i/>
          <w:iCs/>
        </w:rPr>
        <w:t>Landscape with immortal crane</w:t>
      </w:r>
      <w:r w:rsidRPr="001814D2">
        <w:t>,</w:t>
      </w:r>
      <w:r w:rsidRPr="001814D2">
        <w:rPr>
          <w:i/>
          <w:iCs/>
        </w:rPr>
        <w:t xml:space="preserve"> </w:t>
      </w:r>
      <w:r w:rsidRPr="001814D2">
        <w:t xml:space="preserve">hanging scroll, ink on paper; China </w:t>
      </w:r>
      <w:r w:rsidRPr="001814D2">
        <w:rPr>
          <w:i/>
          <w:iCs/>
        </w:rPr>
        <w:t>Painted figure of dancing lady</w:t>
      </w:r>
      <w:r w:rsidRPr="001814D2">
        <w:t>,</w:t>
      </w:r>
      <w:r w:rsidRPr="001814D2">
        <w:rPr>
          <w:i/>
          <w:iCs/>
        </w:rPr>
        <w:t xml:space="preserve"> </w:t>
      </w:r>
      <w:r w:rsidRPr="001814D2">
        <w:t xml:space="preserve">earthenware; China </w:t>
      </w:r>
      <w:r w:rsidRPr="001814D2">
        <w:rPr>
          <w:i/>
          <w:iCs/>
        </w:rPr>
        <w:t>Four small bronze deer</w:t>
      </w:r>
      <w:r w:rsidRPr="001814D2">
        <w:t>,</w:t>
      </w:r>
      <w:r w:rsidRPr="001814D2">
        <w:rPr>
          <w:i/>
          <w:iCs/>
        </w:rPr>
        <w:t xml:space="preserve"> </w:t>
      </w:r>
      <w:r w:rsidRPr="001814D2">
        <w:t xml:space="preserve">bronze on black laminated base; China </w:t>
      </w:r>
      <w:r w:rsidRPr="001814D2">
        <w:rPr>
          <w:i/>
          <w:iCs/>
        </w:rPr>
        <w:t>Stone relief of Guanyin</w:t>
      </w:r>
      <w:r w:rsidRPr="001814D2">
        <w:t>,</w:t>
      </w:r>
      <w:r w:rsidRPr="001814D2">
        <w:rPr>
          <w:i/>
          <w:iCs/>
        </w:rPr>
        <w:t xml:space="preserve"> </w:t>
      </w:r>
      <w:r w:rsidRPr="001814D2">
        <w:t xml:space="preserve">stoneware; China </w:t>
      </w:r>
      <w:r w:rsidRPr="001814D2">
        <w:rPr>
          <w:i/>
          <w:iCs/>
        </w:rPr>
        <w:t xml:space="preserve">Seated Buddha, </w:t>
      </w:r>
      <w:r w:rsidRPr="001814D2">
        <w:t xml:space="preserve">stoneware; China </w:t>
      </w:r>
      <w:r w:rsidRPr="001814D2">
        <w:rPr>
          <w:i/>
          <w:iCs/>
        </w:rPr>
        <w:t>Longquan ware</w:t>
      </w:r>
      <w:r w:rsidRPr="001814D2">
        <w:t xml:space="preserve"> </w:t>
      </w:r>
      <w:r w:rsidRPr="001814D2">
        <w:rPr>
          <w:i/>
          <w:iCs/>
        </w:rPr>
        <w:t>dish with decoration of a pair of fish</w:t>
      </w:r>
      <w:r w:rsidRPr="001814D2">
        <w:t>,</w:t>
      </w:r>
      <w:r w:rsidRPr="001814D2">
        <w:rPr>
          <w:i/>
          <w:iCs/>
        </w:rPr>
        <w:t xml:space="preserve"> </w:t>
      </w:r>
      <w:r w:rsidRPr="001814D2">
        <w:t xml:space="preserve">celadon; China </w:t>
      </w:r>
      <w:r w:rsidRPr="001814D2">
        <w:rPr>
          <w:i/>
          <w:iCs/>
        </w:rPr>
        <w:t>longquan ware plate with floral motifs on rim</w:t>
      </w:r>
      <w:r w:rsidRPr="001814D2">
        <w:t>,</w:t>
      </w:r>
      <w:r w:rsidRPr="001814D2">
        <w:rPr>
          <w:i/>
          <w:iCs/>
        </w:rPr>
        <w:t xml:space="preserve"> </w:t>
      </w:r>
      <w:r w:rsidRPr="001814D2">
        <w:t xml:space="preserve">celadon; China </w:t>
      </w:r>
      <w:r w:rsidRPr="001814D2">
        <w:rPr>
          <w:i/>
          <w:iCs/>
        </w:rPr>
        <w:t>Large bowl</w:t>
      </w:r>
      <w:r w:rsidRPr="001814D2">
        <w:t>,</w:t>
      </w:r>
      <w:r w:rsidRPr="001814D2">
        <w:rPr>
          <w:i/>
          <w:iCs/>
        </w:rPr>
        <w:t xml:space="preserve"> </w:t>
      </w:r>
      <w:r w:rsidRPr="001814D2">
        <w:t xml:space="preserve">porcelain with </w:t>
      </w:r>
      <w:r w:rsidRPr="001814D2">
        <w:rPr>
          <w:i/>
          <w:iCs/>
        </w:rPr>
        <w:t xml:space="preserve">qingbai </w:t>
      </w:r>
      <w:r w:rsidRPr="001814D2">
        <w:t xml:space="preserve">glaze; China </w:t>
      </w:r>
      <w:r w:rsidRPr="001814D2">
        <w:rPr>
          <w:i/>
          <w:iCs/>
        </w:rPr>
        <w:t>Bowl (Nanjing cargo)</w:t>
      </w:r>
      <w:r w:rsidRPr="001814D2">
        <w:t>,</w:t>
      </w:r>
      <w:r w:rsidRPr="001814D2">
        <w:rPr>
          <w:i/>
          <w:iCs/>
        </w:rPr>
        <w:t xml:space="preserve"> </w:t>
      </w:r>
      <w:r w:rsidRPr="001814D2">
        <w:t xml:space="preserve">exterior brown glaze, interior underglaze blue; </w:t>
      </w:r>
      <w:r w:rsidRPr="001814D2">
        <w:rPr>
          <w:i/>
          <w:iCs/>
        </w:rPr>
        <w:t>Bowl (Nanjing cargo)</w:t>
      </w:r>
      <w:r w:rsidRPr="001814D2">
        <w:t>,</w:t>
      </w:r>
      <w:r w:rsidRPr="001814D2">
        <w:rPr>
          <w:i/>
          <w:iCs/>
        </w:rPr>
        <w:t xml:space="preserve"> </w:t>
      </w:r>
      <w:r w:rsidRPr="001814D2">
        <w:t xml:space="preserve">underglaze blue; China </w:t>
      </w:r>
      <w:r w:rsidRPr="001814D2">
        <w:rPr>
          <w:i/>
          <w:iCs/>
        </w:rPr>
        <w:t>Small dish decorated with dragon</w:t>
      </w:r>
      <w:r w:rsidRPr="001814D2">
        <w:t>,</w:t>
      </w:r>
      <w:r w:rsidRPr="001814D2">
        <w:rPr>
          <w:i/>
          <w:iCs/>
        </w:rPr>
        <w:t xml:space="preserve"> wucai</w:t>
      </w:r>
      <w:r w:rsidRPr="001814D2">
        <w:t xml:space="preserve"> enamel; China </w:t>
      </w:r>
      <w:r w:rsidRPr="001814D2">
        <w:rPr>
          <w:i/>
          <w:iCs/>
        </w:rPr>
        <w:t xml:space="preserve">Pair of Chinese silk banners </w:t>
      </w:r>
      <w:r w:rsidRPr="001814D2">
        <w:t xml:space="preserve">1700s, brocade, wooden pelmet; Emperor Qianlong </w:t>
      </w:r>
      <w:r w:rsidRPr="001814D2">
        <w:rPr>
          <w:i/>
          <w:iCs/>
        </w:rPr>
        <w:t xml:space="preserve">Calligraphy in running script </w:t>
      </w:r>
      <w:r w:rsidRPr="001814D2">
        <w:t xml:space="preserve">1744, hanging scroll, ink on gold painted blue paper; Japan, </w:t>
      </w:r>
      <w:r w:rsidRPr="001814D2">
        <w:rPr>
          <w:i/>
          <w:iCs/>
        </w:rPr>
        <w:t>Negoro lacquer ware</w:t>
      </w:r>
      <w:r w:rsidRPr="001814D2">
        <w:t xml:space="preserve"> </w:t>
      </w:r>
      <w:r w:rsidRPr="001814D2">
        <w:rPr>
          <w:i/>
          <w:iCs/>
        </w:rPr>
        <w:t xml:space="preserve">square tray </w:t>
      </w:r>
      <w:r w:rsidRPr="001814D2">
        <w:t xml:space="preserve">1800s, lacquer; Japan, </w:t>
      </w:r>
      <w:r w:rsidRPr="001814D2">
        <w:rPr>
          <w:i/>
          <w:iCs/>
        </w:rPr>
        <w:t>Negoro lacquer ware</w:t>
      </w:r>
      <w:r w:rsidRPr="001814D2">
        <w:t xml:space="preserve"> </w:t>
      </w:r>
      <w:r w:rsidRPr="001814D2">
        <w:rPr>
          <w:i/>
          <w:iCs/>
        </w:rPr>
        <w:t xml:space="preserve">tripod tray </w:t>
      </w:r>
      <w:r w:rsidRPr="001814D2">
        <w:t xml:space="preserve">1800s, lacquer; Japan, </w:t>
      </w:r>
      <w:r w:rsidRPr="001814D2">
        <w:rPr>
          <w:i/>
          <w:iCs/>
        </w:rPr>
        <w:t>Negoro lacquer ware</w:t>
      </w:r>
      <w:r w:rsidRPr="001814D2">
        <w:t xml:space="preserve"> </w:t>
      </w:r>
      <w:r w:rsidRPr="001814D2">
        <w:rPr>
          <w:i/>
          <w:iCs/>
        </w:rPr>
        <w:t xml:space="preserve">small table </w:t>
      </w:r>
      <w:r w:rsidRPr="001814D2">
        <w:t xml:space="preserve">1800s, lacquer; China </w:t>
      </w:r>
      <w:r w:rsidRPr="001814D2">
        <w:rPr>
          <w:i/>
          <w:iCs/>
        </w:rPr>
        <w:t>Wucai bowl with dragon, phoenix and floral designs</w:t>
      </w:r>
      <w:r w:rsidRPr="001814D2">
        <w:t>,</w:t>
      </w:r>
      <w:r w:rsidRPr="001814D2">
        <w:rPr>
          <w:i/>
          <w:iCs/>
        </w:rPr>
        <w:t xml:space="preserve"> </w:t>
      </w:r>
      <w:r w:rsidRPr="001814D2">
        <w:t xml:space="preserve">porcelain with </w:t>
      </w:r>
      <w:r w:rsidRPr="001814D2">
        <w:rPr>
          <w:i/>
          <w:iCs/>
        </w:rPr>
        <w:t xml:space="preserve">wucai </w:t>
      </w:r>
      <w:r w:rsidRPr="001814D2">
        <w:t xml:space="preserve">polychrome enamel decoration; Hiroshige Andô/Utagawa </w:t>
      </w:r>
      <w:r w:rsidRPr="001814D2">
        <w:rPr>
          <w:i/>
          <w:iCs/>
        </w:rPr>
        <w:t xml:space="preserve">Akasaka </w:t>
      </w:r>
      <w:r w:rsidRPr="001814D2">
        <w:t xml:space="preserve">1833 woodblock print; ink and colour on paper; </w:t>
      </w:r>
      <w:r w:rsidRPr="001814D2">
        <w:rPr>
          <w:i/>
          <w:iCs/>
        </w:rPr>
        <w:t xml:space="preserve">Narumi </w:t>
      </w:r>
      <w:r w:rsidRPr="001814D2">
        <w:t xml:space="preserve">c1840, woodblock print, ink and colour on paper; </w:t>
      </w:r>
      <w:r w:rsidRPr="001814D2">
        <w:rPr>
          <w:i/>
          <w:iCs/>
        </w:rPr>
        <w:t xml:space="preserve">Kanôzan, Kazusa </w:t>
      </w:r>
      <w:r w:rsidRPr="001814D2">
        <w:t xml:space="preserve">1852, woodblock print, ink and colour on paper; </w:t>
      </w:r>
      <w:r w:rsidRPr="001814D2">
        <w:rPr>
          <w:i/>
          <w:iCs/>
        </w:rPr>
        <w:t xml:space="preserve">Shimonoseki, Nagato </w:t>
      </w:r>
      <w:r w:rsidRPr="001814D2">
        <w:t xml:space="preserve">1853–56, woodblock print, ink and colour on paper; </w:t>
      </w:r>
      <w:r w:rsidRPr="001814D2">
        <w:rPr>
          <w:i/>
          <w:iCs/>
        </w:rPr>
        <w:t xml:space="preserve">House of Shinagawa: Ko-Genkichi [?] </w:t>
      </w:r>
      <w:r w:rsidRPr="001814D2">
        <w:t xml:space="preserve">1888, colour woodcut; Wu Changshuo </w:t>
      </w:r>
      <w:r w:rsidRPr="001814D2">
        <w:rPr>
          <w:i/>
          <w:iCs/>
        </w:rPr>
        <w:t xml:space="preserve">Lotus </w:t>
      </w:r>
      <w:r w:rsidRPr="001814D2">
        <w:t xml:space="preserve">1908, hanging scroll, ink on paper; </w:t>
      </w:r>
      <w:r w:rsidRPr="001814D2">
        <w:rPr>
          <w:i/>
          <w:iCs/>
        </w:rPr>
        <w:t xml:space="preserve">Loquats </w:t>
      </w:r>
      <w:r w:rsidRPr="001814D2">
        <w:t xml:space="preserve">1915, hanging scroll, ink and colour on paper; Zhao Qi </w:t>
      </w:r>
      <w:r w:rsidRPr="001814D2">
        <w:rPr>
          <w:i/>
          <w:iCs/>
        </w:rPr>
        <w:t xml:space="preserve">Prunus blossom </w:t>
      </w:r>
      <w:r w:rsidRPr="001814D2">
        <w:t xml:space="preserve">1917, hanging scroll, ink and colour </w:t>
      </w:r>
      <w:r w:rsidRPr="001814D2">
        <w:lastRenderedPageBreak/>
        <w:t xml:space="preserve">on paper; Gao Jianfu </w:t>
      </w:r>
      <w:r w:rsidRPr="001814D2">
        <w:rPr>
          <w:i/>
          <w:iCs/>
        </w:rPr>
        <w:t xml:space="preserve">Pear blossom after rain </w:t>
      </w:r>
      <w:r w:rsidRPr="001814D2">
        <w:t xml:space="preserve">1930 hanging scroll; ink and colour on paper; Zhu Qizhan </w:t>
      </w:r>
      <w:r w:rsidRPr="001814D2">
        <w:rPr>
          <w:i/>
          <w:iCs/>
        </w:rPr>
        <w:t xml:space="preserve">Chrysanthemum and rock </w:t>
      </w:r>
      <w:r w:rsidRPr="001814D2">
        <w:t xml:space="preserve">1959, hanging scroll, ink and colour on paper; Cheng Shifa </w:t>
      </w:r>
      <w:r w:rsidRPr="001814D2">
        <w:rPr>
          <w:i/>
          <w:iCs/>
        </w:rPr>
        <w:t xml:space="preserve">Goddess of Xiang River </w:t>
      </w:r>
      <w:r w:rsidRPr="001814D2">
        <w:t xml:space="preserve">1979, hanging scroll, ink and colour on paper; Lu Yanshao </w:t>
      </w:r>
      <w:r w:rsidRPr="001814D2">
        <w:rPr>
          <w:i/>
          <w:iCs/>
        </w:rPr>
        <w:t xml:space="preserve">Garden after rain </w:t>
      </w:r>
      <w:r w:rsidRPr="001814D2">
        <w:t xml:space="preserve">1980, hanging scroll, ink and colour on paper; Zhu Xiuli </w:t>
      </w:r>
      <w:r w:rsidRPr="001814D2">
        <w:rPr>
          <w:i/>
          <w:iCs/>
        </w:rPr>
        <w:t xml:space="preserve">Shadow of a banana tree </w:t>
      </w:r>
      <w:r w:rsidRPr="001814D2">
        <w:t>1981, hanging scroll, ink and colour on paper</w:t>
      </w:r>
    </w:p>
    <w:p w14:paraId="1F58DD2D" w14:textId="77777777" w:rsidR="009103CC" w:rsidRPr="001814D2" w:rsidRDefault="009103CC" w:rsidP="009103CC">
      <w:pPr>
        <w:pStyle w:val="Listitemasbody"/>
      </w:pPr>
      <w:r w:rsidRPr="001814D2">
        <w:rPr>
          <w:b/>
          <w:bCs/>
        </w:rPr>
        <w:t>Private collection</w:t>
      </w:r>
      <w:r w:rsidRPr="001814D2">
        <w:t xml:space="preserve"> 24 April 2021 – 24 April 2023 (renewed): Ben Quilty </w:t>
      </w:r>
      <w:r w:rsidRPr="001814D2">
        <w:rPr>
          <w:i/>
          <w:iCs/>
        </w:rPr>
        <w:t xml:space="preserve">Margaret Olley </w:t>
      </w:r>
      <w:r w:rsidRPr="001814D2">
        <w:t>2011, oil on linen</w:t>
      </w:r>
    </w:p>
    <w:p w14:paraId="2F29BF78" w14:textId="77777777" w:rsidR="009103CC" w:rsidRPr="001814D2" w:rsidRDefault="009103CC" w:rsidP="009103CC">
      <w:pPr>
        <w:pStyle w:val="Listitemasbody"/>
      </w:pPr>
      <w:r w:rsidRPr="001814D2">
        <w:rPr>
          <w:b/>
          <w:bCs/>
        </w:rPr>
        <w:t>Tate Britain</w:t>
      </w:r>
      <w:r w:rsidRPr="001814D2">
        <w:t xml:space="preserve"> 29 April 2021 – 31 May 2023 (renewed): Long-term collection loan. Bertram Mackennal </w:t>
      </w:r>
      <w:r w:rsidRPr="001814D2">
        <w:rPr>
          <w:i/>
          <w:iCs/>
        </w:rPr>
        <w:t>Diana wounded</w:t>
      </w:r>
      <w:r w:rsidRPr="001814D2">
        <w:t xml:space="preserve"> 1907, marble; </w:t>
      </w:r>
      <w:r w:rsidRPr="001814D2">
        <w:rPr>
          <w:i/>
          <w:iCs/>
        </w:rPr>
        <w:t>The Earth and the</w:t>
      </w:r>
      <w:r w:rsidRPr="001814D2">
        <w:t xml:space="preserve"> </w:t>
      </w:r>
      <w:r w:rsidRPr="001814D2">
        <w:rPr>
          <w:i/>
          <w:iCs/>
        </w:rPr>
        <w:t>elements</w:t>
      </w:r>
      <w:r w:rsidRPr="001814D2">
        <w:t xml:space="preserve"> 1907, marble on onyx base</w:t>
      </w:r>
    </w:p>
    <w:p w14:paraId="6FA33A4E" w14:textId="77777777" w:rsidR="009103CC" w:rsidRPr="001814D2" w:rsidRDefault="009103CC" w:rsidP="009103CC">
      <w:pPr>
        <w:pStyle w:val="Listitemasbody"/>
      </w:pPr>
      <w:r w:rsidRPr="001814D2">
        <w:rPr>
          <w:b/>
          <w:bCs/>
        </w:rPr>
        <w:t>Bruce and Joy Reid Foundation</w:t>
      </w:r>
      <w:r w:rsidRPr="001814D2">
        <w:t xml:space="preserve"> 30 April 2021 – 30 April 2023 (renewed): Maxime Maufra </w:t>
      </w:r>
      <w:r w:rsidRPr="001814D2">
        <w:rPr>
          <w:i/>
          <w:iCs/>
        </w:rPr>
        <w:t>Le Port de Sauzon, Belle-lle-en-Mer</w:t>
      </w:r>
      <w:r w:rsidRPr="001814D2">
        <w:t xml:space="preserve"> 1905, oil on canvas</w:t>
      </w:r>
    </w:p>
    <w:p w14:paraId="6400A8C3" w14:textId="77777777" w:rsidR="009103CC" w:rsidRPr="001814D2" w:rsidRDefault="009103CC" w:rsidP="009103CC">
      <w:pPr>
        <w:pStyle w:val="ARheading4"/>
      </w:pPr>
      <w:r w:rsidRPr="001814D2">
        <w:t>Outward loans</w:t>
      </w:r>
    </w:p>
    <w:p w14:paraId="0857265F" w14:textId="77777777" w:rsidR="009103CC" w:rsidRPr="001814D2" w:rsidRDefault="009103CC" w:rsidP="009103CC">
      <w:pPr>
        <w:pStyle w:val="Listitemasbody"/>
      </w:pPr>
      <w:r w:rsidRPr="001814D2">
        <w:rPr>
          <w:b/>
          <w:bCs/>
        </w:rPr>
        <w:t>SBS Television</w:t>
      </w:r>
      <w:r w:rsidRPr="001814D2">
        <w:t xml:space="preserve"> Long-term loan (renewed), 1 July 2020 – 31 May 2022: Peter Schipperheyn </w:t>
      </w:r>
      <w:r w:rsidRPr="001814D2">
        <w:rPr>
          <w:i/>
          <w:iCs/>
        </w:rPr>
        <w:t>Maschera Maschio</w:t>
      </w:r>
      <w:r w:rsidRPr="001814D2">
        <w:t xml:space="preserve"> 1991, carrara marble; </w:t>
      </w:r>
      <w:r w:rsidRPr="001814D2">
        <w:rPr>
          <w:i/>
          <w:iCs/>
        </w:rPr>
        <w:t>Maschera Femina</w:t>
      </w:r>
      <w:r w:rsidRPr="001814D2">
        <w:t xml:space="preserve"> 1991, carrara marble, gift of Mr Kenneth Myer 1992</w:t>
      </w:r>
    </w:p>
    <w:p w14:paraId="1267C2B6" w14:textId="77777777" w:rsidR="009103CC" w:rsidRPr="001814D2" w:rsidRDefault="009103CC" w:rsidP="009103CC">
      <w:pPr>
        <w:pStyle w:val="Listitemasbody"/>
      </w:pPr>
      <w:r w:rsidRPr="001814D2">
        <w:rPr>
          <w:b/>
          <w:bCs/>
        </w:rPr>
        <w:t>State Library of New South Wales</w:t>
      </w:r>
      <w:r w:rsidRPr="001814D2">
        <w:t xml:space="preserve"> </w:t>
      </w:r>
      <w:r w:rsidRPr="001814D2">
        <w:rPr>
          <w:i/>
          <w:iCs/>
        </w:rPr>
        <w:t xml:space="preserve">Eight Days in Kamay, </w:t>
      </w:r>
      <w:r w:rsidRPr="001814D2">
        <w:t xml:space="preserve">13 July 2020 – 28 February 2021: Daniel Boyd </w:t>
      </w:r>
      <w:r w:rsidRPr="001814D2">
        <w:rPr>
          <w:i/>
          <w:iCs/>
        </w:rPr>
        <w:t>Sir No Beard</w:t>
      </w:r>
      <w:r w:rsidRPr="001814D2">
        <w:t xml:space="preserve"> 2007, oil on canvas, gift of Clinton Ng 2012, donated through the Australian Government's Cultural Gifts Program</w:t>
      </w:r>
    </w:p>
    <w:p w14:paraId="31A57C70" w14:textId="77777777" w:rsidR="009103CC" w:rsidRPr="001814D2" w:rsidRDefault="009103CC" w:rsidP="009103CC">
      <w:pPr>
        <w:pStyle w:val="Listitemasbody"/>
      </w:pPr>
      <w:r w:rsidRPr="001814D2">
        <w:rPr>
          <w:b/>
          <w:bCs/>
        </w:rPr>
        <w:t>Wollongong Art Gallery</w:t>
      </w:r>
      <w:r w:rsidRPr="001814D2">
        <w:t xml:space="preserve"> </w:t>
      </w:r>
      <w:r w:rsidRPr="001814D2">
        <w:rPr>
          <w:i/>
          <w:iCs/>
        </w:rPr>
        <w:t xml:space="preserve">Fabrications, </w:t>
      </w:r>
      <w:r w:rsidRPr="001814D2">
        <w:t xml:space="preserve">29 August – 22 November 2020: Anne Ferran </w:t>
      </w:r>
      <w:r w:rsidRPr="001814D2">
        <w:rPr>
          <w:i/>
          <w:iCs/>
        </w:rPr>
        <w:t>Pale-headed flycatcher</w:t>
      </w:r>
      <w:r w:rsidRPr="001814D2">
        <w:t xml:space="preserve"> 2013, pigment print, purchased with funds provided by Photography Collection Benefactors 2016; </w:t>
      </w:r>
      <w:r w:rsidRPr="001814D2">
        <w:rPr>
          <w:i/>
          <w:iCs/>
        </w:rPr>
        <w:t>Clamorous shrike,</w:t>
      </w:r>
      <w:r w:rsidRPr="001814D2">
        <w:t xml:space="preserve"> 2013, pigment print, gift of the artist 2016; Anne Graham </w:t>
      </w:r>
      <w:r w:rsidRPr="001814D2">
        <w:rPr>
          <w:i/>
          <w:iCs/>
        </w:rPr>
        <w:t>Julie and cloud</w:t>
      </w:r>
      <w:r w:rsidRPr="001814D2">
        <w:t xml:space="preserve">, 2014, pigment print on unbleached cotton rag paper, dog hair felt coat, purchased with funds provided by the Contemporary Collection Benefactors 2014; Christo </w:t>
      </w:r>
      <w:r w:rsidRPr="001814D2">
        <w:rPr>
          <w:i/>
          <w:iCs/>
        </w:rPr>
        <w:t>Wrapped paintings</w:t>
      </w:r>
      <w:r w:rsidRPr="001814D2">
        <w:t xml:space="preserve"> 1968, stretched canvases, tarpaulin, rope, gift of the John Kaldor Family Collection 2011, donated through the Australian Government’s Cultural Gifts Program</w:t>
      </w:r>
    </w:p>
    <w:p w14:paraId="34A390A2" w14:textId="77777777" w:rsidR="009103CC" w:rsidRPr="001814D2" w:rsidRDefault="009103CC" w:rsidP="009103CC">
      <w:pPr>
        <w:pStyle w:val="Listitemasbody"/>
      </w:pPr>
      <w:r w:rsidRPr="001814D2">
        <w:rPr>
          <w:b/>
          <w:bCs/>
        </w:rPr>
        <w:t>Museum of Brisbane</w:t>
      </w:r>
      <w:r w:rsidRPr="001814D2">
        <w:t xml:space="preserve"> </w:t>
      </w:r>
      <w:r w:rsidRPr="001814D2">
        <w:rPr>
          <w:i/>
          <w:iCs/>
        </w:rPr>
        <w:t xml:space="preserve">Bauhaus Now!, </w:t>
      </w:r>
      <w:r w:rsidRPr="001814D2">
        <w:t xml:space="preserve">18 September 2020 – 18 April 2021: Paul Klee </w:t>
      </w:r>
      <w:r w:rsidRPr="001814D2">
        <w:rPr>
          <w:i/>
          <w:iCs/>
        </w:rPr>
        <w:t>Head,</w:t>
      </w:r>
      <w:r w:rsidRPr="001814D2">
        <w:t xml:space="preserve"> </w:t>
      </w:r>
      <w:r w:rsidRPr="001814D2">
        <w:rPr>
          <w:i/>
          <w:iCs/>
        </w:rPr>
        <w:t>bearded man</w:t>
      </w:r>
      <w:r w:rsidRPr="001814D2">
        <w:t xml:space="preserve"> 1925, lithograph, gift of Jocelyn Plate in honour of Carl Plate 2018, donated through the Australian Government’s Cultural Gifts Program; Ludwig Hirschfeld-Mack </w:t>
      </w:r>
      <w:r w:rsidRPr="001814D2">
        <w:rPr>
          <w:i/>
          <w:iCs/>
        </w:rPr>
        <w:t>Abstract composition</w:t>
      </w:r>
      <w:r w:rsidRPr="001814D2">
        <w:t xml:space="preserve"> 1921, colour woodcut, black, blue, red, yellow and beige on ivory laid paper, gift of Olive Hirschfeld, the artist’s widow 1970; Grit Kallin-Fischer </w:t>
      </w:r>
      <w:r w:rsidRPr="001814D2">
        <w:rPr>
          <w:i/>
          <w:iCs/>
        </w:rPr>
        <w:t>Untitled (portrait of Hilde Rantzch)</w:t>
      </w:r>
      <w:r w:rsidRPr="001814D2">
        <w:t xml:space="preserve"> 1928, gelatin silver photograph, vintage, purchased 1997; </w:t>
      </w:r>
      <w:r w:rsidRPr="001814D2">
        <w:rPr>
          <w:i/>
          <w:iCs/>
        </w:rPr>
        <w:t>Zep Leirer</w:t>
      </w:r>
      <w:r w:rsidRPr="001814D2">
        <w:t xml:space="preserve"> 1926–27, gelatin silver photograph, vintage, purchased 1997; </w:t>
      </w:r>
      <w:r w:rsidRPr="001814D2">
        <w:rPr>
          <w:i/>
          <w:iCs/>
        </w:rPr>
        <w:t>Eduard Fischer on Mart Stam chairs</w:t>
      </w:r>
      <w:r w:rsidRPr="001814D2">
        <w:t xml:space="preserve">, </w:t>
      </w:r>
      <w:r w:rsidRPr="001814D2">
        <w:rPr>
          <w:i/>
          <w:iCs/>
        </w:rPr>
        <w:t>Bauhaus Dessau</w:t>
      </w:r>
      <w:r w:rsidRPr="001814D2">
        <w:t xml:space="preserve"> 1928, gelatin silver photograph, vintage, purchased with funds provided by </w:t>
      </w:r>
      <w:r w:rsidRPr="001814D2">
        <w:lastRenderedPageBreak/>
        <w:t xml:space="preserve">the Photography Collection Benefactors 2006; Frank Hinder </w:t>
      </w:r>
      <w:r w:rsidRPr="001814D2">
        <w:rPr>
          <w:i/>
          <w:iCs/>
        </w:rPr>
        <w:t>Eleonore Lange</w:t>
      </w:r>
      <w:r w:rsidRPr="001814D2">
        <w:t xml:space="preserve"> 1939, pastel on paper, purchased 1980</w:t>
      </w:r>
    </w:p>
    <w:p w14:paraId="01F05652" w14:textId="77777777" w:rsidR="009103CC" w:rsidRPr="001814D2" w:rsidRDefault="009103CC" w:rsidP="009103CC">
      <w:pPr>
        <w:pStyle w:val="Listitemasbody"/>
      </w:pPr>
      <w:r w:rsidRPr="001814D2">
        <w:rPr>
          <w:b/>
          <w:bCs/>
        </w:rPr>
        <w:t>National Gallery of Australia</w:t>
      </w:r>
      <w:r w:rsidRPr="001814D2">
        <w:t xml:space="preserve"> </w:t>
      </w:r>
      <w:r w:rsidRPr="001814D2">
        <w:rPr>
          <w:i/>
          <w:iCs/>
        </w:rPr>
        <w:t xml:space="preserve">Know My Name: Australian Women Artists, </w:t>
      </w:r>
      <w:r w:rsidRPr="001814D2">
        <w:t xml:space="preserve">14 November 2020 – 4 July 2021: Ada Whiting </w:t>
      </w:r>
      <w:r w:rsidRPr="001814D2">
        <w:rPr>
          <w:i/>
          <w:iCs/>
        </w:rPr>
        <w:t>Portrait of Miss Ruby Webb</w:t>
      </w:r>
      <w:r w:rsidRPr="001814D2">
        <w:t xml:space="preserve"> c1905, watercolour, opaque white, gum on ivory, purchased 1905; Bernice Edwell </w:t>
      </w:r>
      <w:r w:rsidRPr="001814D2">
        <w:rPr>
          <w:i/>
          <w:iCs/>
        </w:rPr>
        <w:t xml:space="preserve">Child </w:t>
      </w:r>
      <w:r w:rsidRPr="001814D2">
        <w:t xml:space="preserve">undated, watercolour and opaque white on ivory, purchased 1914; Janet Cumbrae Stewart </w:t>
      </w:r>
      <w:r w:rsidRPr="001814D2">
        <w:rPr>
          <w:i/>
          <w:iCs/>
        </w:rPr>
        <w:t>The model disrobing</w:t>
      </w:r>
      <w:r w:rsidRPr="001814D2">
        <w:t xml:space="preserve"> 1917, pastel on paper, purchased 1918; Bernice Edwell </w:t>
      </w:r>
      <w:r w:rsidRPr="001814D2">
        <w:rPr>
          <w:i/>
          <w:iCs/>
        </w:rPr>
        <w:t>The yellow gown</w:t>
      </w:r>
      <w:r w:rsidRPr="001814D2">
        <w:t xml:space="preserve"> c1920, watercolour on ivory, purchased 1921; Bess Norriss Tait </w:t>
      </w:r>
      <w:r w:rsidRPr="001814D2">
        <w:rPr>
          <w:i/>
          <w:iCs/>
        </w:rPr>
        <w:t>Lydia (Mrs Russell of Chelsea)</w:t>
      </w:r>
      <w:r w:rsidRPr="001814D2">
        <w:t xml:space="preserve"> c1910, watercolour/opaque white on ivory, purchased 1910; Bernice Edwell </w:t>
      </w:r>
      <w:r w:rsidRPr="001814D2">
        <w:rPr>
          <w:i/>
          <w:iCs/>
        </w:rPr>
        <w:t>The peacock’s feather</w:t>
      </w:r>
      <w:r w:rsidRPr="001814D2">
        <w:t xml:space="preserve"> 1915, watercolour and opaque white on ivory, purchased 1916; Margaret Preston </w:t>
      </w:r>
      <w:r w:rsidRPr="001814D2">
        <w:rPr>
          <w:i/>
          <w:iCs/>
        </w:rPr>
        <w:t>Self-portrait</w:t>
      </w:r>
      <w:r w:rsidRPr="001814D2">
        <w:t xml:space="preserve"> 1930, oil on canvas, gift of the artist at the request of the Trustees 1930; Grace Cossington Smith </w:t>
      </w:r>
      <w:r w:rsidRPr="001814D2">
        <w:rPr>
          <w:i/>
          <w:iCs/>
        </w:rPr>
        <w:t>The Lacquer Room</w:t>
      </w:r>
      <w:r w:rsidRPr="001814D2">
        <w:t xml:space="preserve"> 1936, oil on paperboard on plywood, purchased 1967; </w:t>
      </w:r>
      <w:r w:rsidRPr="001814D2">
        <w:rPr>
          <w:i/>
          <w:iCs/>
        </w:rPr>
        <w:t>The sock knitter</w:t>
      </w:r>
      <w:r w:rsidRPr="001814D2">
        <w:t xml:space="preserve"> 1915, oil on canvas, purchased 1960; Grace Crowley </w:t>
      </w:r>
      <w:r w:rsidRPr="001814D2">
        <w:rPr>
          <w:i/>
          <w:iCs/>
        </w:rPr>
        <w:t>Abstract</w:t>
      </w:r>
      <w:r w:rsidRPr="001814D2">
        <w:t xml:space="preserve"> 1953, oil on hardboard, bequest of the artist 1980; Emily Kame Kngwarreye </w:t>
      </w:r>
      <w:r w:rsidRPr="001814D2">
        <w:rPr>
          <w:i/>
          <w:iCs/>
        </w:rPr>
        <w:t>Untitled (Alhalker)</w:t>
      </w:r>
      <w:r w:rsidRPr="001814D2">
        <w:t xml:space="preserve"> 1992, synthetic polymer paint on canvas, Mollie Gowing Acquisition Fund for Contemporary Aboriginal Art 1992; Violet Teague </w:t>
      </w:r>
      <w:r w:rsidRPr="001814D2">
        <w:rPr>
          <w:i/>
          <w:iCs/>
        </w:rPr>
        <w:t>Dian dreams (Una Falkiner</w:t>
      </w:r>
      <w:r w:rsidRPr="001814D2">
        <w:t xml:space="preserve">) 1909, oil on canvas, gift of the sitter’s daughter, Lawre Bruce Steer 1975; Mary Webb </w:t>
      </w:r>
      <w:r w:rsidRPr="001814D2">
        <w:rPr>
          <w:i/>
          <w:iCs/>
        </w:rPr>
        <w:t>Joie de vivre</w:t>
      </w:r>
      <w:r w:rsidRPr="001814D2">
        <w:t xml:space="preserve"> 1958, oil on canvas, purchased 2011</w:t>
      </w:r>
    </w:p>
    <w:p w14:paraId="7C2C357E" w14:textId="77777777" w:rsidR="009103CC" w:rsidRPr="001814D2" w:rsidRDefault="009103CC" w:rsidP="009103CC">
      <w:pPr>
        <w:pStyle w:val="Listitemasbody"/>
      </w:pPr>
      <w:r w:rsidRPr="001814D2">
        <w:rPr>
          <w:b/>
          <w:bCs/>
        </w:rPr>
        <w:t>Bega Valley Regional Gallery</w:t>
      </w:r>
      <w:r w:rsidRPr="001814D2">
        <w:t xml:space="preserve"> </w:t>
      </w:r>
      <w:r w:rsidRPr="001814D2">
        <w:rPr>
          <w:i/>
          <w:iCs/>
        </w:rPr>
        <w:t xml:space="preserve">SOUTH/EAST INTERFERENCE, </w:t>
      </w:r>
      <w:r w:rsidRPr="001814D2">
        <w:t xml:space="preserve">21 September – 7 November 2020: Eko Nugroho </w:t>
      </w:r>
      <w:r w:rsidRPr="001814D2">
        <w:rPr>
          <w:i/>
          <w:iCs/>
        </w:rPr>
        <w:t>Lot Lost</w:t>
      </w:r>
      <w:r w:rsidRPr="001814D2">
        <w:t xml:space="preserve"> 2013–15, synthetic polymer paint on fibreglass, manual embroidery rayon thread on fabric, and vinyl, purchased with funds provided by the Neilson Foundation and Dr Dick Quan 2015</w:t>
      </w:r>
    </w:p>
    <w:p w14:paraId="470D1B56" w14:textId="77777777" w:rsidR="009103CC" w:rsidRPr="001814D2" w:rsidRDefault="009103CC" w:rsidP="009103CC">
      <w:pPr>
        <w:pStyle w:val="Listitemasbody"/>
      </w:pPr>
      <w:r w:rsidRPr="001814D2">
        <w:rPr>
          <w:b/>
          <w:bCs/>
        </w:rPr>
        <w:t>The Australian Club</w:t>
      </w:r>
      <w:r w:rsidRPr="001814D2">
        <w:t xml:space="preserve"> Short-term loan, 16 October 2020 – 17 February 2021: Tom Roberts </w:t>
      </w:r>
      <w:r w:rsidRPr="001814D2">
        <w:rPr>
          <w:i/>
          <w:iCs/>
        </w:rPr>
        <w:t>On the Timbarra – Reek’s and Allen’s sluicing claim</w:t>
      </w:r>
      <w:r w:rsidRPr="001814D2">
        <w:t xml:space="preserve"> c1894, oil on canvas on hardboard, purchased 1961; John Brack </w:t>
      </w:r>
      <w:r w:rsidRPr="001814D2">
        <w:rPr>
          <w:i/>
          <w:iCs/>
        </w:rPr>
        <w:t>In the corner</w:t>
      </w:r>
      <w:r w:rsidRPr="001814D2">
        <w:t xml:space="preserve"> 1973, oil on canvas, gift of Mr Charles Edge, on behalf and in memory of the late Colin S Patterson 1989</w:t>
      </w:r>
    </w:p>
    <w:p w14:paraId="5CDE86AF" w14:textId="77777777" w:rsidR="009103CC" w:rsidRPr="001814D2" w:rsidRDefault="009103CC" w:rsidP="009103CC">
      <w:pPr>
        <w:pStyle w:val="Listitemasbody"/>
      </w:pPr>
      <w:r w:rsidRPr="001814D2">
        <w:rPr>
          <w:b/>
          <w:bCs/>
        </w:rPr>
        <w:t>Museum of Contemporary Art Australia</w:t>
      </w:r>
      <w:r w:rsidRPr="001814D2">
        <w:t xml:space="preserve"> </w:t>
      </w:r>
      <w:r w:rsidRPr="001814D2">
        <w:rPr>
          <w:i/>
          <w:iCs/>
        </w:rPr>
        <w:t xml:space="preserve">Lindy Lee: Moon in a Dew Drop, </w:t>
      </w:r>
      <w:r w:rsidRPr="001814D2">
        <w:t>2 October 2020 – 28 February 2021: Lindy Lee</w:t>
      </w:r>
      <w:r w:rsidRPr="001814D2">
        <w:rPr>
          <w:i/>
          <w:iCs/>
        </w:rPr>
        <w:t xml:space="preserve"> Birth and death</w:t>
      </w:r>
      <w:r w:rsidRPr="001814D2">
        <w:t xml:space="preserve"> 2003, synthetic polymer paint, inkjet print on Chinese accordion books, gift of the artist 2014, donated through the Australian Government’s Cultural Gifts Program; </w:t>
      </w:r>
      <w:r w:rsidRPr="001814D2">
        <w:rPr>
          <w:i/>
          <w:iCs/>
        </w:rPr>
        <w:t>Virtues of the receptive</w:t>
      </w:r>
      <w:r w:rsidRPr="001814D2">
        <w:t xml:space="preserve"> 2003, synthetic polymer paint, inkjet print on hardboard, Henry Salkauskas Art (Purchase) Award 2004; </w:t>
      </w:r>
      <w:r w:rsidRPr="001814D2">
        <w:rPr>
          <w:i/>
          <w:iCs/>
        </w:rPr>
        <w:t>Traceless enlightenment</w:t>
      </w:r>
      <w:r w:rsidRPr="001814D2">
        <w:t xml:space="preserve"> 2001, synthetic polymer paint, oil, ink, wax on hardboard, gift of Andreas Wiessner and Christian Wichura 2013, donated through the Australian Government’s Cultural Gift Program; </w:t>
      </w:r>
      <w:r w:rsidRPr="001814D2">
        <w:rPr>
          <w:i/>
          <w:iCs/>
        </w:rPr>
        <w:t>Zip zero zilch</w:t>
      </w:r>
      <w:r w:rsidRPr="001814D2">
        <w:t xml:space="preserve"> 1995, synthetic polymer paint, oil, wax on hardboard, gift of Sue Griffin 2009</w:t>
      </w:r>
    </w:p>
    <w:p w14:paraId="5FE1DC9C" w14:textId="77777777" w:rsidR="009103CC" w:rsidRPr="001814D2" w:rsidRDefault="009103CC" w:rsidP="009103CC">
      <w:pPr>
        <w:pStyle w:val="Listitemasbody"/>
      </w:pPr>
      <w:r w:rsidRPr="001814D2">
        <w:rPr>
          <w:b/>
          <w:bCs/>
        </w:rPr>
        <w:t>Blue Mountains Cultural Centre</w:t>
      </w:r>
      <w:r w:rsidRPr="001814D2">
        <w:rPr>
          <w:i/>
          <w:iCs/>
        </w:rPr>
        <w:t xml:space="preserve"> Critical Mass: The Art of Planetary Health, </w:t>
      </w:r>
      <w:r w:rsidRPr="001814D2">
        <w:t xml:space="preserve">3 October – 6 </w:t>
      </w:r>
      <w:r w:rsidRPr="001814D2">
        <w:lastRenderedPageBreak/>
        <w:t xml:space="preserve">December 2020: Hans Heysen </w:t>
      </w:r>
      <w:r w:rsidRPr="001814D2">
        <w:rPr>
          <w:i/>
          <w:iCs/>
        </w:rPr>
        <w:t>Drought sheep</w:t>
      </w:r>
      <w:r w:rsidRPr="001814D2">
        <w:t xml:space="preserve"> 1916–21, pencil, watercolour on paper, purchased 1950; Russell Drysdale </w:t>
      </w:r>
      <w:r w:rsidRPr="001814D2">
        <w:rPr>
          <w:i/>
          <w:iCs/>
        </w:rPr>
        <w:t>Walls of China</w:t>
      </w:r>
      <w:r w:rsidRPr="001814D2">
        <w:t xml:space="preserve"> 1945, oil on hardboard, purchased 1945; Simryn Gill </w:t>
      </w:r>
      <w:r w:rsidRPr="001814D2">
        <w:rPr>
          <w:i/>
          <w:iCs/>
        </w:rPr>
        <w:t>Eyes and storms 24</w:t>
      </w:r>
      <w:r w:rsidRPr="001814D2">
        <w:t xml:space="preserve"> 2012, printed 2013, ilfachrome print, gift of Julia Champtaloup and Andrew Rothery 2017; Sidney Nolan </w:t>
      </w:r>
      <w:r w:rsidRPr="001814D2">
        <w:rPr>
          <w:i/>
          <w:iCs/>
        </w:rPr>
        <w:t>Drought skeleton</w:t>
      </w:r>
      <w:r w:rsidRPr="001814D2">
        <w:t xml:space="preserve"> 1953 oil on hardboard, purchased with funds provided by the Nelson Meers Foundation 2002; Fiona Hall </w:t>
      </w:r>
      <w:r w:rsidRPr="001814D2">
        <w:rPr>
          <w:i/>
          <w:iCs/>
        </w:rPr>
        <w:t>Fools gold</w:t>
      </w:r>
      <w:r w:rsidRPr="001814D2">
        <w:t xml:space="preserve"> 2012, Tongan </w:t>
      </w:r>
      <w:r w:rsidRPr="001814D2">
        <w:rPr>
          <w:i/>
          <w:iCs/>
        </w:rPr>
        <w:t>ngatu</w:t>
      </w:r>
      <w:r w:rsidRPr="001814D2">
        <w:t xml:space="preserve"> dye and ochre on barkcloth, purchased by funds provided by the Contemporary Collection Benefactors 2014; Janet Laurence </w:t>
      </w:r>
      <w:r w:rsidRPr="001814D2">
        <w:rPr>
          <w:i/>
          <w:iCs/>
        </w:rPr>
        <w:t>The memory of nature</w:t>
      </w:r>
      <w:r w:rsidRPr="001814D2">
        <w:t xml:space="preserve"> 2010, acrylic, scientific glass, dried plants, seeds, sulphur, salt, amethyst, taxidermied owls, shellac, tulle, wood, burnt bones, hand bones, hand-blown glass, oil paint, mirrors, purchased with funds provided by the Art Gallery Society of NSW Contempo Group and the Contemporary Collection Benefactors with the generous assistance of Geoff Ainsworth AM, Peter Braithwaite, Sally Breen, Andrew &amp; Cathy Cameron, Ginny &amp; Leslie Green, Michael Hobbs, Ray Wilson OAM 2012</w:t>
      </w:r>
    </w:p>
    <w:p w14:paraId="76D9423B" w14:textId="77777777" w:rsidR="009103CC" w:rsidRPr="001814D2" w:rsidRDefault="009103CC" w:rsidP="009103CC">
      <w:pPr>
        <w:pStyle w:val="Listitemasbody"/>
      </w:pPr>
      <w:r w:rsidRPr="001814D2">
        <w:rPr>
          <w:b/>
          <w:bCs/>
        </w:rPr>
        <w:t>Tweed Regional Gallery and Margaret Olley Art Centre</w:t>
      </w:r>
      <w:r w:rsidRPr="001814D2">
        <w:t xml:space="preserve"> </w:t>
      </w:r>
      <w:r w:rsidRPr="001814D2">
        <w:rPr>
          <w:i/>
          <w:iCs/>
        </w:rPr>
        <w:t xml:space="preserve">Margaret’s House: Margaret Olley, Nicholas Harding, Pam Tippett and Adam Pyett, </w:t>
      </w:r>
      <w:r w:rsidRPr="001814D2">
        <w:t xml:space="preserve">30 October 2020 – 2 May 2021: Margaret Olley </w:t>
      </w:r>
      <w:r w:rsidRPr="001814D2">
        <w:rPr>
          <w:i/>
          <w:iCs/>
        </w:rPr>
        <w:t>Apples</w:t>
      </w:r>
      <w:r w:rsidRPr="001814D2">
        <w:t xml:space="preserve"> 1980, oil on hardboard, gift of the artist by exchange 1998</w:t>
      </w:r>
    </w:p>
    <w:p w14:paraId="07CED16A" w14:textId="77777777" w:rsidR="009103CC" w:rsidRPr="001814D2" w:rsidRDefault="009103CC" w:rsidP="009103CC">
      <w:pPr>
        <w:pStyle w:val="Listitemasbody"/>
      </w:pPr>
      <w:r w:rsidRPr="001814D2">
        <w:rPr>
          <w:b/>
          <w:bCs/>
        </w:rPr>
        <w:t>Museum of Applied Arts and Sciences</w:t>
      </w:r>
      <w:r w:rsidRPr="001814D2">
        <w:t xml:space="preserve"> Long-term loan (renewed), Powerhouse Museum, 30 September 2020 – 30 September 2022: England, Wedgwood </w:t>
      </w:r>
      <w:r w:rsidRPr="001814D2">
        <w:rPr>
          <w:i/>
          <w:iCs/>
        </w:rPr>
        <w:t xml:space="preserve">Flower bowl </w:t>
      </w:r>
      <w:r w:rsidRPr="001814D2">
        <w:t xml:space="preserve">stoneware smearglaze; John Chappell </w:t>
      </w:r>
      <w:r w:rsidRPr="001814D2">
        <w:rPr>
          <w:i/>
          <w:iCs/>
        </w:rPr>
        <w:t xml:space="preserve">Tea bowl </w:t>
      </w:r>
      <w:r w:rsidRPr="001814D2">
        <w:t xml:space="preserve">undated stoneware; Unknown </w:t>
      </w:r>
      <w:r w:rsidRPr="001814D2">
        <w:rPr>
          <w:i/>
          <w:iCs/>
        </w:rPr>
        <w:t xml:space="preserve">Tea bowl and saucer </w:t>
      </w:r>
      <w:r w:rsidRPr="001814D2">
        <w:t xml:space="preserve">c1785, porcelain with glaze, decorated blue, gilded; England, Derby </w:t>
      </w:r>
      <w:r w:rsidRPr="001814D2">
        <w:rPr>
          <w:i/>
          <w:iCs/>
        </w:rPr>
        <w:t xml:space="preserve">Sucrier </w:t>
      </w:r>
      <w:r w:rsidRPr="001814D2">
        <w:t xml:space="preserve">1785, porcelain with glaze, decorated blue, gilded; England, Wedgwood </w:t>
      </w:r>
      <w:r w:rsidRPr="001814D2">
        <w:rPr>
          <w:i/>
          <w:iCs/>
        </w:rPr>
        <w:t xml:space="preserve">Ewer </w:t>
      </w:r>
      <w:r w:rsidRPr="001814D2">
        <w:t xml:space="preserve">c1790, black stoneware (basaltes), moulded decoration; England, Wedgwood </w:t>
      </w:r>
      <w:r w:rsidRPr="001814D2">
        <w:rPr>
          <w:i/>
          <w:iCs/>
        </w:rPr>
        <w:t xml:space="preserve">Urn </w:t>
      </w:r>
      <w:r w:rsidRPr="001814D2">
        <w:t xml:space="preserve">c1795, black stoneware (basaltes), jasper decoration; England, Wedgwood </w:t>
      </w:r>
      <w:r w:rsidRPr="001814D2">
        <w:rPr>
          <w:i/>
          <w:iCs/>
        </w:rPr>
        <w:t xml:space="preserve">Ewer </w:t>
      </w:r>
      <w:r w:rsidRPr="001814D2">
        <w:t xml:space="preserve">c1795, black stoneware (basaltes) with jasper decoration; England, Wedgwood </w:t>
      </w:r>
      <w:r w:rsidRPr="001814D2">
        <w:rPr>
          <w:i/>
          <w:iCs/>
        </w:rPr>
        <w:t xml:space="preserve">Jug with a monogram </w:t>
      </w:r>
      <w:r w:rsidRPr="001814D2">
        <w:t xml:space="preserve">c1800, cream coloured earthenware; Unknown </w:t>
      </w:r>
      <w:r w:rsidRPr="001814D2">
        <w:rPr>
          <w:i/>
          <w:iCs/>
        </w:rPr>
        <w:t xml:space="preserve">Tazza </w:t>
      </w:r>
      <w:r w:rsidRPr="001814D2">
        <w:t xml:space="preserve">1800s, blown glass; Unknown </w:t>
      </w:r>
      <w:r w:rsidRPr="001814D2">
        <w:rPr>
          <w:i/>
          <w:iCs/>
        </w:rPr>
        <w:t xml:space="preserve">Ewer </w:t>
      </w:r>
      <w:r w:rsidRPr="001814D2">
        <w:t xml:space="preserve">1800s, clear brownish, blown glass; Unknown </w:t>
      </w:r>
      <w:r w:rsidRPr="001814D2">
        <w:rPr>
          <w:i/>
          <w:iCs/>
        </w:rPr>
        <w:t xml:space="preserve">Wine glass </w:t>
      </w:r>
      <w:r w:rsidRPr="001814D2">
        <w:t xml:space="preserve">1800s, clear brownish blown glass; Unknown </w:t>
      </w:r>
      <w:r w:rsidRPr="001814D2">
        <w:rPr>
          <w:i/>
          <w:iCs/>
        </w:rPr>
        <w:t xml:space="preserve">Jug </w:t>
      </w:r>
      <w:r w:rsidRPr="001814D2">
        <w:t xml:space="preserve">1800s, soda glass, blown; Unknown </w:t>
      </w:r>
      <w:r w:rsidRPr="001814D2">
        <w:rPr>
          <w:i/>
          <w:iCs/>
        </w:rPr>
        <w:t xml:space="preserve">Vase </w:t>
      </w:r>
      <w:r w:rsidRPr="001814D2">
        <w:t xml:space="preserve">1800s, blown soda glass; Unknown </w:t>
      </w:r>
      <w:r w:rsidRPr="001814D2">
        <w:rPr>
          <w:i/>
          <w:iCs/>
        </w:rPr>
        <w:t xml:space="preserve">Vase with four handles </w:t>
      </w:r>
      <w:r w:rsidRPr="001814D2">
        <w:t xml:space="preserve">1800s, blown glass; Unknown </w:t>
      </w:r>
      <w:r w:rsidRPr="001814D2">
        <w:rPr>
          <w:i/>
          <w:iCs/>
        </w:rPr>
        <w:t xml:space="preserve">Wine glass with cover </w:t>
      </w:r>
      <w:r w:rsidRPr="001814D2">
        <w:t xml:space="preserve">1800s, blown glass; Unknown </w:t>
      </w:r>
      <w:r w:rsidRPr="001814D2">
        <w:rPr>
          <w:i/>
          <w:iCs/>
        </w:rPr>
        <w:t xml:space="preserve">Wine glass cover </w:t>
      </w:r>
      <w:r w:rsidRPr="001814D2">
        <w:t xml:space="preserve">1800s, blown glass; Unknown </w:t>
      </w:r>
      <w:r w:rsidRPr="001814D2">
        <w:rPr>
          <w:i/>
          <w:iCs/>
        </w:rPr>
        <w:t xml:space="preserve">Wine glass </w:t>
      </w:r>
      <w:r w:rsidRPr="001814D2">
        <w:t xml:space="preserve">1800s, blown glass; Unknown </w:t>
      </w:r>
      <w:r w:rsidRPr="001814D2">
        <w:rPr>
          <w:i/>
          <w:iCs/>
        </w:rPr>
        <w:t xml:space="preserve">Pourer </w:t>
      </w:r>
      <w:r w:rsidRPr="001814D2">
        <w:t xml:space="preserve">1800s, blown glass; England, Derby </w:t>
      </w:r>
      <w:r w:rsidRPr="001814D2">
        <w:rPr>
          <w:i/>
          <w:iCs/>
        </w:rPr>
        <w:t xml:space="preserve">Vase </w:t>
      </w:r>
      <w:r w:rsidRPr="001814D2">
        <w:t xml:space="preserve">1810–15, porcelain with glaze, gilt; Spode pottery and porcelain factory </w:t>
      </w:r>
      <w:r w:rsidRPr="001814D2">
        <w:rPr>
          <w:i/>
          <w:iCs/>
        </w:rPr>
        <w:t xml:space="preserve">Vase </w:t>
      </w:r>
      <w:r w:rsidRPr="001814D2">
        <w:t xml:space="preserve">c1820, porcelain with transfer decoration (underglaze), glaze; Spode pottery and porcelain factory </w:t>
      </w:r>
      <w:r w:rsidRPr="001814D2">
        <w:rPr>
          <w:i/>
          <w:iCs/>
        </w:rPr>
        <w:t xml:space="preserve">Vase </w:t>
      </w:r>
      <w:r w:rsidRPr="001814D2">
        <w:t xml:space="preserve">c1820, porcelain with underglaze transfer, glaze; Unknown </w:t>
      </w:r>
      <w:r w:rsidRPr="001814D2">
        <w:rPr>
          <w:i/>
          <w:iCs/>
        </w:rPr>
        <w:t xml:space="preserve">Jug </w:t>
      </w:r>
      <w:r w:rsidRPr="001814D2">
        <w:t xml:space="preserve">mid 1800s, porcelain; Salviati and Co </w:t>
      </w:r>
      <w:r w:rsidRPr="001814D2">
        <w:rPr>
          <w:i/>
          <w:iCs/>
        </w:rPr>
        <w:t xml:space="preserve">Standing bowl </w:t>
      </w:r>
      <w:r w:rsidRPr="001814D2">
        <w:t xml:space="preserve">c1850–70 blown glass, enamelled, gilt; Salviati and Co </w:t>
      </w:r>
      <w:r w:rsidRPr="001814D2">
        <w:rPr>
          <w:i/>
          <w:iCs/>
        </w:rPr>
        <w:t xml:space="preserve">Standing bowl </w:t>
      </w:r>
      <w:r w:rsidRPr="001814D2">
        <w:t xml:space="preserve">c1850 blown glass, gilt enamel; Salviati and Co </w:t>
      </w:r>
      <w:r w:rsidRPr="001814D2">
        <w:rPr>
          <w:i/>
          <w:iCs/>
        </w:rPr>
        <w:t xml:space="preserve">Goblet </w:t>
      </w:r>
      <w:r w:rsidRPr="001814D2">
        <w:t xml:space="preserve">c1850, red and clear glass, blown, tinted, gilt, enamelled; Unknown </w:t>
      </w:r>
      <w:r w:rsidRPr="001814D2">
        <w:rPr>
          <w:i/>
          <w:iCs/>
        </w:rPr>
        <w:t xml:space="preserve">Bowl with three handles </w:t>
      </w:r>
      <w:r w:rsidRPr="001814D2">
        <w:t xml:space="preserve">c1850, blown glass; Unknown </w:t>
      </w:r>
      <w:r w:rsidRPr="001814D2">
        <w:rPr>
          <w:i/>
          <w:iCs/>
        </w:rPr>
        <w:t xml:space="preserve">Tazza </w:t>
      </w:r>
      <w:r w:rsidRPr="001814D2">
        <w:t xml:space="preserve">c1850, blown glass; Unknown </w:t>
      </w:r>
      <w:r w:rsidRPr="001814D2">
        <w:rPr>
          <w:i/>
          <w:iCs/>
        </w:rPr>
        <w:t xml:space="preserve">Cover for missing blue-green jar with figure decoration </w:t>
      </w:r>
      <w:r w:rsidRPr="001814D2">
        <w:t xml:space="preserve">c1851–99, blown glass, gilded and enamelled; </w:t>
      </w:r>
      <w:r w:rsidRPr="001814D2">
        <w:lastRenderedPageBreak/>
        <w:t xml:space="preserve">Unknown </w:t>
      </w:r>
      <w:r w:rsidRPr="001814D2">
        <w:rPr>
          <w:i/>
          <w:iCs/>
        </w:rPr>
        <w:t xml:space="preserve">Vase </w:t>
      </w:r>
      <w:r w:rsidRPr="001814D2">
        <w:t xml:space="preserve">c1851–99, blown glass, enamel; Unknown </w:t>
      </w:r>
      <w:r w:rsidRPr="001814D2">
        <w:rPr>
          <w:i/>
          <w:iCs/>
        </w:rPr>
        <w:t xml:space="preserve">Wine glass </w:t>
      </w:r>
      <w:r w:rsidRPr="001814D2">
        <w:t xml:space="preserve">c1851–99, blown glass; Thomas Webb &amp; Sons </w:t>
      </w:r>
      <w:r w:rsidRPr="001814D2">
        <w:rPr>
          <w:i/>
          <w:iCs/>
        </w:rPr>
        <w:t xml:space="preserve">Vase – cameo cut decoration </w:t>
      </w:r>
      <w:r w:rsidRPr="001814D2">
        <w:t xml:space="preserve">1850–1910, cased glass, cameo cut; Unknown </w:t>
      </w:r>
      <w:r w:rsidRPr="001814D2">
        <w:rPr>
          <w:i/>
          <w:iCs/>
        </w:rPr>
        <w:t xml:space="preserve">Saucer </w:t>
      </w:r>
      <w:r w:rsidRPr="001814D2">
        <w:t xml:space="preserve">1850–99, clear glass, enamel; Unknown </w:t>
      </w:r>
      <w:r w:rsidRPr="001814D2">
        <w:rPr>
          <w:i/>
          <w:iCs/>
        </w:rPr>
        <w:t xml:space="preserve">Saucer </w:t>
      </w:r>
      <w:r w:rsidRPr="001814D2">
        <w:t xml:space="preserve">1850–99 clear glass, enamel; Unknown </w:t>
      </w:r>
      <w:r w:rsidRPr="001814D2">
        <w:rPr>
          <w:i/>
          <w:iCs/>
        </w:rPr>
        <w:t xml:space="preserve">Tazza </w:t>
      </w:r>
      <w:r w:rsidRPr="001814D2">
        <w:t xml:space="preserve">1850–99, glass, enamel; Unknown </w:t>
      </w:r>
      <w:r w:rsidRPr="001814D2">
        <w:rPr>
          <w:i/>
          <w:iCs/>
        </w:rPr>
        <w:t xml:space="preserve">Dessert bowl </w:t>
      </w:r>
      <w:r w:rsidRPr="001814D2">
        <w:t xml:space="preserve">1850–99, clear glass, enamel; Unknown </w:t>
      </w:r>
      <w:r w:rsidRPr="001814D2">
        <w:rPr>
          <w:i/>
          <w:iCs/>
        </w:rPr>
        <w:t xml:space="preserve">Tazza </w:t>
      </w:r>
      <w:r w:rsidRPr="001814D2">
        <w:t xml:space="preserve">1850–99, blown glass; Unknown </w:t>
      </w:r>
      <w:r w:rsidRPr="001814D2">
        <w:rPr>
          <w:i/>
          <w:iCs/>
        </w:rPr>
        <w:t xml:space="preserve">Vase </w:t>
      </w:r>
      <w:r w:rsidRPr="001814D2">
        <w:t xml:space="preserve">1851–99, blown glass; Unknown </w:t>
      </w:r>
      <w:r w:rsidRPr="001814D2">
        <w:rPr>
          <w:i/>
          <w:iCs/>
        </w:rPr>
        <w:t xml:space="preserve">Vase </w:t>
      </w:r>
      <w:r w:rsidRPr="001814D2">
        <w:t xml:space="preserve">1851–99 blown glass; Unknown </w:t>
      </w:r>
      <w:r w:rsidRPr="001814D2">
        <w:rPr>
          <w:i/>
          <w:iCs/>
        </w:rPr>
        <w:t xml:space="preserve">Ornate wine glass </w:t>
      </w:r>
      <w:r w:rsidRPr="001814D2">
        <w:t xml:space="preserve">1851–99 blown glass; Baccarat Glasshouse </w:t>
      </w:r>
      <w:r w:rsidRPr="001814D2">
        <w:rPr>
          <w:i/>
          <w:iCs/>
        </w:rPr>
        <w:t xml:space="preserve">Glass </w:t>
      </w:r>
      <w:r w:rsidRPr="001814D2">
        <w:t xml:space="preserve">1862, engraved glass; Léonard Morel-Ladeiul </w:t>
      </w:r>
      <w:r w:rsidRPr="001814D2">
        <w:rPr>
          <w:i/>
          <w:iCs/>
        </w:rPr>
        <w:t xml:space="preserve">The Milton shield </w:t>
      </w:r>
      <w:r w:rsidRPr="001814D2">
        <w:t xml:space="preserve">1865, electroplated silver; </w:t>
      </w:r>
      <w:r w:rsidRPr="001814D2">
        <w:rPr>
          <w:i/>
          <w:iCs/>
        </w:rPr>
        <w:t xml:space="preserve">The Bunyan shield </w:t>
      </w:r>
      <w:r w:rsidRPr="001814D2">
        <w:t xml:space="preserve">1865, electroplated silver; Angelica Kauffmann </w:t>
      </w:r>
      <w:r w:rsidRPr="001814D2">
        <w:rPr>
          <w:i/>
          <w:iCs/>
        </w:rPr>
        <w:t xml:space="preserve">Tray – Nymphen Schmücken Pan </w:t>
      </w:r>
      <w:r w:rsidRPr="001814D2">
        <w:t xml:space="preserve">c1870, porcelain with polychrome, gilded; Stevens and Williams </w:t>
      </w:r>
      <w:r w:rsidRPr="001814D2">
        <w:rPr>
          <w:i/>
          <w:iCs/>
        </w:rPr>
        <w:t xml:space="preserve">Jug </w:t>
      </w:r>
      <w:r w:rsidRPr="001814D2">
        <w:t xml:space="preserve">c1870, blown glass, engraved; Salviati and Co </w:t>
      </w:r>
      <w:r w:rsidRPr="001814D2">
        <w:rPr>
          <w:i/>
          <w:iCs/>
        </w:rPr>
        <w:t xml:space="preserve">Small dish </w:t>
      </w:r>
      <w:r w:rsidRPr="001814D2">
        <w:t xml:space="preserve">late 1800s, tortoiseshell ‘marbled’ glass; Minton </w:t>
      </w:r>
      <w:r w:rsidRPr="001814D2">
        <w:rPr>
          <w:i/>
          <w:iCs/>
        </w:rPr>
        <w:t xml:space="preserve">Duplessis ware </w:t>
      </w:r>
      <w:r w:rsidRPr="001814D2">
        <w:t xml:space="preserve">1869, porcelain (bone china), painted, gilt; Minton </w:t>
      </w:r>
      <w:r w:rsidRPr="001814D2">
        <w:rPr>
          <w:i/>
          <w:iCs/>
        </w:rPr>
        <w:t xml:space="preserve">Duplessis ware </w:t>
      </w:r>
      <w:r w:rsidRPr="001814D2">
        <w:t xml:space="preserve">1869, porcelain (bone china), painted, gilt; Minton, after Charles Toft </w:t>
      </w:r>
      <w:r w:rsidRPr="001814D2">
        <w:rPr>
          <w:i/>
          <w:iCs/>
        </w:rPr>
        <w:t xml:space="preserve">Candle holder in Henri deux ware style </w:t>
      </w:r>
      <w:r w:rsidRPr="001814D2">
        <w:t xml:space="preserve">1872, cream coloured earthenware; Villeroy and Boch </w:t>
      </w:r>
      <w:r w:rsidRPr="001814D2">
        <w:rPr>
          <w:i/>
          <w:iCs/>
        </w:rPr>
        <w:t xml:space="preserve">Vase </w:t>
      </w:r>
      <w:r w:rsidRPr="001814D2">
        <w:t xml:space="preserve">c1878, stoneware; Thomas Webb &amp; Sons </w:t>
      </w:r>
      <w:r w:rsidRPr="001814D2">
        <w:rPr>
          <w:i/>
          <w:iCs/>
        </w:rPr>
        <w:t xml:space="preserve">Flask </w:t>
      </w:r>
      <w:r w:rsidRPr="001814D2">
        <w:t xml:space="preserve">c1880, blown glass, engraved; Thomas Webb &amp; Sons </w:t>
      </w:r>
      <w:r w:rsidRPr="001814D2">
        <w:rPr>
          <w:i/>
          <w:iCs/>
        </w:rPr>
        <w:t xml:space="preserve">Flask </w:t>
      </w:r>
      <w:r w:rsidRPr="001814D2">
        <w:t xml:space="preserve">c1880, blown glass, engraved; Pownall and Pilsbury, Frank Webb </w:t>
      </w:r>
      <w:r w:rsidRPr="001814D2">
        <w:rPr>
          <w:i/>
          <w:iCs/>
        </w:rPr>
        <w:t xml:space="preserve">The Carrington Jug </w:t>
      </w:r>
      <w:r w:rsidRPr="001814D2">
        <w:t xml:space="preserve">c1880, engraved glass; Thomas Woodall, Thomas Webb &amp; Sons </w:t>
      </w:r>
      <w:r w:rsidRPr="001814D2">
        <w:rPr>
          <w:i/>
          <w:iCs/>
        </w:rPr>
        <w:t xml:space="preserve">The Aurora vase </w:t>
      </w:r>
      <w:r w:rsidRPr="001814D2">
        <w:t xml:space="preserve">c1880, cameo cut glass; Thomas Webb &amp; Sons </w:t>
      </w:r>
      <w:r w:rsidRPr="001814D2">
        <w:rPr>
          <w:i/>
          <w:iCs/>
        </w:rPr>
        <w:t xml:space="preserve">Vase – bird design </w:t>
      </w:r>
      <w:r w:rsidRPr="001814D2">
        <w:t xml:space="preserve">c1880, engraved glass; Ulisse Cantagalli </w:t>
      </w:r>
      <w:r w:rsidRPr="001814D2">
        <w:rPr>
          <w:i/>
          <w:iCs/>
        </w:rPr>
        <w:t xml:space="preserve">Hispano – Moresque dish </w:t>
      </w:r>
      <w:r w:rsidRPr="001814D2">
        <w:t xml:space="preserve">c1900, earthenware, polychrome, lustre; </w:t>
      </w:r>
      <w:r w:rsidRPr="001814D2">
        <w:rPr>
          <w:i/>
          <w:iCs/>
        </w:rPr>
        <w:t xml:space="preserve">Hispano – Moresque charger </w:t>
      </w:r>
      <w:r w:rsidRPr="001814D2">
        <w:t xml:space="preserve">c1900, earthenware, polychrome, lustre; </w:t>
      </w:r>
      <w:r w:rsidRPr="001814D2">
        <w:rPr>
          <w:i/>
          <w:iCs/>
        </w:rPr>
        <w:t xml:space="preserve">Hispano – Moresque dish </w:t>
      </w:r>
      <w:r w:rsidRPr="001814D2">
        <w:t xml:space="preserve">c1900 earthenware, polychrome, lustre; </w:t>
      </w:r>
      <w:r w:rsidRPr="001814D2">
        <w:rPr>
          <w:i/>
          <w:iCs/>
        </w:rPr>
        <w:t xml:space="preserve">Castel Durante dish </w:t>
      </w:r>
      <w:r w:rsidRPr="001814D2">
        <w:t xml:space="preserve">c1900, earthenware, enamel; </w:t>
      </w:r>
      <w:r w:rsidRPr="001814D2">
        <w:rPr>
          <w:i/>
          <w:iCs/>
        </w:rPr>
        <w:t xml:space="preserve">Romagna dish </w:t>
      </w:r>
      <w:r w:rsidRPr="001814D2">
        <w:t xml:space="preserve">c1900, earthenware, polychrome; </w:t>
      </w:r>
      <w:r w:rsidRPr="001814D2">
        <w:rPr>
          <w:i/>
          <w:iCs/>
        </w:rPr>
        <w:t xml:space="preserve">Faenza style dish </w:t>
      </w:r>
      <w:r w:rsidRPr="001814D2">
        <w:t xml:space="preserve">c1900, earthenware, polychrome; </w:t>
      </w:r>
      <w:r w:rsidRPr="001814D2">
        <w:rPr>
          <w:i/>
          <w:iCs/>
        </w:rPr>
        <w:t xml:space="preserve">Faenza style dish </w:t>
      </w:r>
      <w:r w:rsidRPr="001814D2">
        <w:t xml:space="preserve">c1900, earthenware, polychrome; </w:t>
      </w:r>
      <w:r w:rsidRPr="001814D2">
        <w:rPr>
          <w:i/>
          <w:iCs/>
        </w:rPr>
        <w:t xml:space="preserve">Deep dish (bowl) </w:t>
      </w:r>
      <w:r w:rsidRPr="001814D2">
        <w:t xml:space="preserve">c1900, earthenware, polychrome; </w:t>
      </w:r>
      <w:r w:rsidRPr="001814D2">
        <w:rPr>
          <w:i/>
          <w:iCs/>
        </w:rPr>
        <w:t xml:space="preserve">Deruta dish </w:t>
      </w:r>
      <w:r w:rsidRPr="001814D2">
        <w:t xml:space="preserve">c1900, earthenware, polychrome, lustre; </w:t>
      </w:r>
      <w:r w:rsidRPr="001814D2">
        <w:rPr>
          <w:i/>
          <w:iCs/>
        </w:rPr>
        <w:t xml:space="preserve">Faenza dish </w:t>
      </w:r>
      <w:r w:rsidRPr="001814D2">
        <w:t xml:space="preserve">c1900, earthenware, polychrome; </w:t>
      </w:r>
      <w:r w:rsidRPr="001814D2">
        <w:rPr>
          <w:i/>
          <w:iCs/>
        </w:rPr>
        <w:t xml:space="preserve">Faenza dish </w:t>
      </w:r>
      <w:r w:rsidRPr="001814D2">
        <w:t xml:space="preserve">c1900, earthenware, polychrome; </w:t>
      </w:r>
      <w:r w:rsidRPr="001814D2">
        <w:rPr>
          <w:i/>
          <w:iCs/>
        </w:rPr>
        <w:t xml:space="preserve">Round dish </w:t>
      </w:r>
      <w:r w:rsidRPr="001814D2">
        <w:t xml:space="preserve">c1900, earthenware, polychrome; </w:t>
      </w:r>
      <w:r w:rsidRPr="001814D2">
        <w:rPr>
          <w:i/>
          <w:iCs/>
        </w:rPr>
        <w:t xml:space="preserve">Dish </w:t>
      </w:r>
      <w:r w:rsidRPr="001814D2">
        <w:t xml:space="preserve">c1900, earthenware, polychrome, lustre; </w:t>
      </w:r>
      <w:r w:rsidRPr="001814D2">
        <w:rPr>
          <w:i/>
          <w:iCs/>
        </w:rPr>
        <w:t xml:space="preserve">Gubbio dish </w:t>
      </w:r>
      <w:r w:rsidRPr="001814D2">
        <w:t xml:space="preserve">c1900, earthenware with enamel and lustre; </w:t>
      </w:r>
      <w:r w:rsidRPr="001814D2">
        <w:rPr>
          <w:i/>
          <w:iCs/>
        </w:rPr>
        <w:t xml:space="preserve">Round Cafaggiolo dish </w:t>
      </w:r>
      <w:r w:rsidRPr="001814D2">
        <w:t xml:space="preserve">c1900, earthenware, enamel; </w:t>
      </w:r>
      <w:r w:rsidRPr="001814D2">
        <w:rPr>
          <w:i/>
          <w:iCs/>
        </w:rPr>
        <w:t xml:space="preserve">Faenza dish </w:t>
      </w:r>
      <w:r w:rsidRPr="001814D2">
        <w:t xml:space="preserve">c1900, earthenware, enamel; </w:t>
      </w:r>
      <w:r w:rsidRPr="001814D2">
        <w:rPr>
          <w:i/>
          <w:iCs/>
        </w:rPr>
        <w:t xml:space="preserve">Iznik dish </w:t>
      </w:r>
      <w:r w:rsidRPr="001814D2">
        <w:t xml:space="preserve">c1900, earthenware, polychrome; </w:t>
      </w:r>
      <w:r w:rsidRPr="001814D2">
        <w:rPr>
          <w:i/>
          <w:iCs/>
        </w:rPr>
        <w:t xml:space="preserve">Imitation Turkish dish </w:t>
      </w:r>
      <w:r w:rsidRPr="001814D2">
        <w:t xml:space="preserve">c1900, earthenware, polychrome, glazing; </w:t>
      </w:r>
      <w:r w:rsidRPr="001814D2">
        <w:rPr>
          <w:i/>
          <w:iCs/>
        </w:rPr>
        <w:t xml:space="preserve">Gubbio dish </w:t>
      </w:r>
      <w:r w:rsidRPr="001814D2">
        <w:t xml:space="preserve">c1900, earthenware, polychrome, copper lustre; </w:t>
      </w:r>
      <w:r w:rsidRPr="001814D2">
        <w:rPr>
          <w:i/>
          <w:iCs/>
        </w:rPr>
        <w:t xml:space="preserve">Faenza dish </w:t>
      </w:r>
      <w:r w:rsidRPr="001814D2">
        <w:t xml:space="preserve">c1900, earthenware, polychrome; </w:t>
      </w:r>
      <w:r w:rsidRPr="001814D2">
        <w:rPr>
          <w:i/>
          <w:iCs/>
        </w:rPr>
        <w:t xml:space="preserve">Faenza dish </w:t>
      </w:r>
      <w:r w:rsidRPr="001814D2">
        <w:t xml:space="preserve">c1900, earthenware, polychrome; </w:t>
      </w:r>
      <w:r w:rsidRPr="001814D2">
        <w:rPr>
          <w:i/>
          <w:iCs/>
        </w:rPr>
        <w:t xml:space="preserve">Faenza dish </w:t>
      </w:r>
      <w:r w:rsidRPr="001814D2">
        <w:t xml:space="preserve">c1900, earthenware, polychrome; </w:t>
      </w:r>
      <w:r w:rsidRPr="001814D2">
        <w:rPr>
          <w:i/>
          <w:iCs/>
        </w:rPr>
        <w:t xml:space="preserve">Gubbio dish </w:t>
      </w:r>
      <w:r w:rsidRPr="001814D2">
        <w:t xml:space="preserve">c1900, earthenware, polychrome, lustre; </w:t>
      </w:r>
      <w:r w:rsidRPr="001814D2">
        <w:rPr>
          <w:i/>
          <w:iCs/>
        </w:rPr>
        <w:t xml:space="preserve">Round dish </w:t>
      </w:r>
      <w:r w:rsidRPr="001814D2">
        <w:t xml:space="preserve">c1900, earthenware, polychrome, lustre, gold; </w:t>
      </w:r>
      <w:r w:rsidRPr="001814D2">
        <w:rPr>
          <w:i/>
          <w:iCs/>
        </w:rPr>
        <w:t xml:space="preserve">Urbino platter </w:t>
      </w:r>
      <w:r w:rsidRPr="001814D2">
        <w:t xml:space="preserve">c1900, earthenware, polychrome; </w:t>
      </w:r>
      <w:r w:rsidRPr="001814D2">
        <w:rPr>
          <w:i/>
          <w:iCs/>
        </w:rPr>
        <w:t xml:space="preserve">Urbino dish </w:t>
      </w:r>
      <w:r w:rsidRPr="001814D2">
        <w:t xml:space="preserve">c1900, earthenware, enamel; </w:t>
      </w:r>
      <w:r w:rsidRPr="001814D2">
        <w:rPr>
          <w:i/>
          <w:iCs/>
        </w:rPr>
        <w:t xml:space="preserve">Urbino dish </w:t>
      </w:r>
      <w:r w:rsidRPr="001814D2">
        <w:t xml:space="preserve">c1900, earthenware, polychrome; </w:t>
      </w:r>
      <w:r w:rsidRPr="001814D2">
        <w:rPr>
          <w:i/>
          <w:iCs/>
        </w:rPr>
        <w:t xml:space="preserve">Urbino platter </w:t>
      </w:r>
      <w:r w:rsidRPr="001814D2">
        <w:t xml:space="preserve">c1900, earthenware, polychrome; </w:t>
      </w:r>
      <w:r w:rsidRPr="001814D2">
        <w:rPr>
          <w:i/>
          <w:iCs/>
        </w:rPr>
        <w:t xml:space="preserve">Urbino platter </w:t>
      </w:r>
      <w:r w:rsidRPr="001814D2">
        <w:t xml:space="preserve">c1900, earthenware, moulded form, polychrome; </w:t>
      </w:r>
      <w:r w:rsidRPr="001814D2">
        <w:rPr>
          <w:i/>
          <w:iCs/>
        </w:rPr>
        <w:t xml:space="preserve">Urbino platter </w:t>
      </w:r>
      <w:r w:rsidRPr="001814D2">
        <w:t xml:space="preserve">c1900, earthenware, polychrome; </w:t>
      </w:r>
      <w:r w:rsidRPr="001814D2">
        <w:rPr>
          <w:i/>
          <w:iCs/>
        </w:rPr>
        <w:t xml:space="preserve">Marmora dish </w:t>
      </w:r>
      <w:r w:rsidRPr="001814D2">
        <w:t xml:space="preserve">c1900, earthenware, polychrome; </w:t>
      </w:r>
      <w:r w:rsidRPr="001814D2">
        <w:rPr>
          <w:i/>
          <w:iCs/>
        </w:rPr>
        <w:t xml:space="preserve">Marmora dish </w:t>
      </w:r>
      <w:r w:rsidRPr="001814D2">
        <w:t xml:space="preserve">c1900, earthenware, polychrome; </w:t>
      </w:r>
      <w:r w:rsidRPr="001814D2">
        <w:rPr>
          <w:i/>
          <w:iCs/>
        </w:rPr>
        <w:t xml:space="preserve">Deep dish, Turkish style </w:t>
      </w:r>
      <w:r w:rsidRPr="001814D2">
        <w:t xml:space="preserve">c1900, earthenware, polychrome; </w:t>
      </w:r>
      <w:r w:rsidRPr="001814D2">
        <w:rPr>
          <w:i/>
          <w:iCs/>
        </w:rPr>
        <w:t xml:space="preserve">Castel Durante dish </w:t>
      </w:r>
      <w:r w:rsidRPr="001814D2">
        <w:t xml:space="preserve">c1900, earthenware, polychrome; </w:t>
      </w:r>
      <w:r w:rsidRPr="001814D2">
        <w:rPr>
          <w:i/>
          <w:iCs/>
        </w:rPr>
        <w:t xml:space="preserve">Large punchbowl on pedestal </w:t>
      </w:r>
      <w:r w:rsidRPr="001814D2">
        <w:t xml:space="preserve">c1900, earthenware, polychrome; </w:t>
      </w:r>
      <w:r w:rsidRPr="001814D2">
        <w:rPr>
          <w:i/>
          <w:iCs/>
        </w:rPr>
        <w:t xml:space="preserve">Large jug/ewer </w:t>
      </w:r>
      <w:r w:rsidRPr="001814D2">
        <w:t xml:space="preserve">c1900, earthenware, polychrome; </w:t>
      </w:r>
      <w:r w:rsidRPr="001814D2">
        <w:rPr>
          <w:i/>
          <w:iCs/>
        </w:rPr>
        <w:lastRenderedPageBreak/>
        <w:t xml:space="preserve">Urn </w:t>
      </w:r>
      <w:r w:rsidRPr="001814D2">
        <w:t xml:space="preserve">c1900, earthenware, polychrome, lustre; </w:t>
      </w:r>
      <w:r w:rsidRPr="001814D2">
        <w:rPr>
          <w:i/>
          <w:iCs/>
        </w:rPr>
        <w:t xml:space="preserve">Ewer </w:t>
      </w:r>
      <w:r w:rsidRPr="001814D2">
        <w:t xml:space="preserve">c1900, earthenware, glazing, polychrome, lustre; </w:t>
      </w:r>
      <w:r w:rsidRPr="001814D2">
        <w:rPr>
          <w:i/>
          <w:iCs/>
        </w:rPr>
        <w:t xml:space="preserve">Ewer </w:t>
      </w:r>
      <w:r w:rsidRPr="001814D2">
        <w:t xml:space="preserve">c1900, earthenware, polychrome; </w:t>
      </w:r>
      <w:r w:rsidRPr="001814D2">
        <w:rPr>
          <w:i/>
          <w:iCs/>
        </w:rPr>
        <w:t xml:space="preserve">Tazza </w:t>
      </w:r>
      <w:r w:rsidRPr="001814D2">
        <w:t xml:space="preserve">c1900, earthenware, enamel, lustre; </w:t>
      </w:r>
      <w:r w:rsidRPr="001814D2">
        <w:rPr>
          <w:i/>
          <w:iCs/>
        </w:rPr>
        <w:t xml:space="preserve">Iznik style jug </w:t>
      </w:r>
      <w:r w:rsidRPr="001814D2">
        <w:t xml:space="preserve">c1900, earthenware, glazing, polychrome; </w:t>
      </w:r>
      <w:r w:rsidRPr="001814D2">
        <w:rPr>
          <w:i/>
          <w:iCs/>
        </w:rPr>
        <w:t xml:space="preserve">Turkish style jug </w:t>
      </w:r>
      <w:r w:rsidRPr="001814D2">
        <w:t xml:space="preserve">c1900, earthenware, polychrome; </w:t>
      </w:r>
      <w:r w:rsidRPr="001814D2">
        <w:rPr>
          <w:i/>
          <w:iCs/>
        </w:rPr>
        <w:t xml:space="preserve">Urn </w:t>
      </w:r>
      <w:r w:rsidRPr="001814D2">
        <w:t xml:space="preserve">c1900, earthenware, polychrome, lustre; </w:t>
      </w:r>
      <w:r w:rsidRPr="001814D2">
        <w:rPr>
          <w:i/>
          <w:iCs/>
        </w:rPr>
        <w:t xml:space="preserve">Vase with two handles </w:t>
      </w:r>
      <w:r w:rsidRPr="001814D2">
        <w:t xml:space="preserve">c1900, earthenware, painted, glazed; </w:t>
      </w:r>
      <w:r w:rsidRPr="001814D2">
        <w:rPr>
          <w:i/>
          <w:iCs/>
        </w:rPr>
        <w:t xml:space="preserve">Vase with two handles </w:t>
      </w:r>
      <w:r w:rsidRPr="001814D2">
        <w:t xml:space="preserve">c1900, earthenware, polychrome, glaze; Bernard Moore </w:t>
      </w:r>
      <w:r w:rsidRPr="001814D2">
        <w:rPr>
          <w:i/>
          <w:iCs/>
        </w:rPr>
        <w:t xml:space="preserve">Jar with cover, Flambe style </w:t>
      </w:r>
      <w:r w:rsidRPr="001814D2">
        <w:t xml:space="preserve">c1900, earthenware, flambe glaze; </w:t>
      </w:r>
      <w:r w:rsidRPr="001814D2">
        <w:rPr>
          <w:i/>
          <w:iCs/>
        </w:rPr>
        <w:t xml:space="preserve">Jardinière </w:t>
      </w:r>
      <w:r w:rsidRPr="001814D2">
        <w:t xml:space="preserve">c1900, earthenware, flambe glaze; Clement Massier </w:t>
      </w:r>
      <w:r w:rsidRPr="001814D2">
        <w:rPr>
          <w:i/>
          <w:iCs/>
        </w:rPr>
        <w:t xml:space="preserve">Vase </w:t>
      </w:r>
      <w:r w:rsidRPr="001814D2">
        <w:t xml:space="preserve">c1900, earthenware, lustre glazes; Royal Copenhagen </w:t>
      </w:r>
      <w:r w:rsidRPr="001814D2">
        <w:rPr>
          <w:i/>
          <w:iCs/>
        </w:rPr>
        <w:t xml:space="preserve">Vase with four handles </w:t>
      </w:r>
      <w:r w:rsidRPr="001814D2">
        <w:t xml:space="preserve">c1900, porcelain with underglaze paint, glaze; Rene Lalique </w:t>
      </w:r>
      <w:r w:rsidRPr="001814D2">
        <w:rPr>
          <w:i/>
          <w:iCs/>
        </w:rPr>
        <w:t xml:space="preserve">Decanter with a stopper </w:t>
      </w:r>
      <w:r w:rsidRPr="001814D2">
        <w:t xml:space="preserve">c1900, moulded glass; Stevens and Williams </w:t>
      </w:r>
      <w:r w:rsidRPr="001814D2">
        <w:rPr>
          <w:i/>
          <w:iCs/>
        </w:rPr>
        <w:t xml:space="preserve">Flask, two handles </w:t>
      </w:r>
      <w:r w:rsidRPr="001814D2">
        <w:t xml:space="preserve">c1900, stencil etched glass, gilded; Stevens and Williams </w:t>
      </w:r>
      <w:r w:rsidRPr="001814D2">
        <w:rPr>
          <w:i/>
          <w:iCs/>
        </w:rPr>
        <w:t xml:space="preserve">Loving cup </w:t>
      </w:r>
      <w:r w:rsidRPr="001814D2">
        <w:t xml:space="preserve">c1900, glass, stencil etched; Stevens and Williams </w:t>
      </w:r>
      <w:r w:rsidRPr="001814D2">
        <w:rPr>
          <w:i/>
          <w:iCs/>
        </w:rPr>
        <w:t xml:space="preserve">Vase – cameo cut </w:t>
      </w:r>
      <w:r w:rsidRPr="001814D2">
        <w:t xml:space="preserve">1899, glass, cameo cut; Julius Guldfrandsen, Royal Copenhagen </w:t>
      </w:r>
      <w:r w:rsidRPr="001814D2">
        <w:rPr>
          <w:i/>
          <w:iCs/>
        </w:rPr>
        <w:t xml:space="preserve">Vase (Decorated with a lake scene) </w:t>
      </w:r>
      <w:r w:rsidRPr="001814D2">
        <w:t xml:space="preserve">1902, porcelain with underglaze paint, glaze; Walter Crane, CE Cundell, Pilkington Tile and Pottery Company </w:t>
      </w:r>
      <w:r w:rsidRPr="001814D2">
        <w:rPr>
          <w:i/>
          <w:iCs/>
        </w:rPr>
        <w:t xml:space="preserve">Lancastrian ware wall plaque </w:t>
      </w:r>
      <w:r w:rsidRPr="001814D2">
        <w:t xml:space="preserve">c1907, lancastrian ware, copper lustre; Carl Lüsberg </w:t>
      </w:r>
      <w:r w:rsidRPr="001814D2">
        <w:rPr>
          <w:i/>
          <w:iCs/>
        </w:rPr>
        <w:t xml:space="preserve">Vase </w:t>
      </w:r>
      <w:r w:rsidRPr="001814D2">
        <w:t xml:space="preserve">1903, porcelain with underglaze paint, glazed; Rene Lalique </w:t>
      </w:r>
      <w:r w:rsidRPr="001814D2">
        <w:rPr>
          <w:i/>
          <w:iCs/>
        </w:rPr>
        <w:t xml:space="preserve">Vase with bird decoration </w:t>
      </w:r>
      <w:r w:rsidRPr="001814D2">
        <w:t xml:space="preserve">c1910, moulded glass, hand tinting; </w:t>
      </w:r>
      <w:r w:rsidRPr="001814D2">
        <w:rPr>
          <w:i/>
          <w:iCs/>
        </w:rPr>
        <w:t xml:space="preserve">Vase </w:t>
      </w:r>
      <w:r w:rsidRPr="001814D2">
        <w:t xml:space="preserve">c1910, moulded glass, satin finish with polished decoration; </w:t>
      </w:r>
      <w:r w:rsidRPr="001814D2">
        <w:rPr>
          <w:i/>
          <w:iCs/>
        </w:rPr>
        <w:t xml:space="preserve">Perfume decanter </w:t>
      </w:r>
      <w:r w:rsidRPr="001814D2">
        <w:t xml:space="preserve">c1910, moulded glass, satin finish, traces of hand-tinting; Richard Joyce, Pilkington Tile and Pottery Company </w:t>
      </w:r>
      <w:r w:rsidRPr="001814D2">
        <w:rPr>
          <w:i/>
          <w:iCs/>
        </w:rPr>
        <w:t xml:space="preserve">Vase, Royal Lancastrian ware </w:t>
      </w:r>
      <w:r w:rsidRPr="001814D2">
        <w:t xml:space="preserve">c1914, earthenware, lustre; Pilkington Tile and Pottery Company </w:t>
      </w:r>
      <w:r w:rsidRPr="001814D2">
        <w:rPr>
          <w:i/>
          <w:iCs/>
        </w:rPr>
        <w:t xml:space="preserve">Vase – Royal Lancastrian ware </w:t>
      </w:r>
      <w:r w:rsidRPr="001814D2">
        <w:t xml:space="preserve">c1915, earthenware, lustre; Michael Cardew </w:t>
      </w:r>
      <w:r w:rsidRPr="001814D2">
        <w:rPr>
          <w:i/>
          <w:iCs/>
        </w:rPr>
        <w:t xml:space="preserve">Teapot </w:t>
      </w:r>
      <w:r w:rsidRPr="001814D2">
        <w:t>1969, glazed stoneware</w:t>
      </w:r>
    </w:p>
    <w:p w14:paraId="24448C47" w14:textId="77777777" w:rsidR="009103CC" w:rsidRPr="001814D2" w:rsidRDefault="009103CC" w:rsidP="009103CC">
      <w:pPr>
        <w:pStyle w:val="Listitemasbody"/>
      </w:pPr>
      <w:r w:rsidRPr="001814D2">
        <w:rPr>
          <w:b/>
          <w:bCs/>
        </w:rPr>
        <w:t>Queensland Art Gallery</w:t>
      </w:r>
      <w:r w:rsidRPr="001814D2">
        <w:t xml:space="preserve"> </w:t>
      </w:r>
      <w:r w:rsidRPr="001814D2">
        <w:rPr>
          <w:i/>
          <w:iCs/>
        </w:rPr>
        <w:t xml:space="preserve">Unfinished Business: The Art of Gordon Bennett, </w:t>
      </w:r>
      <w:r w:rsidRPr="001814D2">
        <w:t xml:space="preserve">7 November 2020 – 21 March 2021: Gordon Bennett </w:t>
      </w:r>
      <w:r w:rsidRPr="001814D2">
        <w:rPr>
          <w:i/>
          <w:iCs/>
        </w:rPr>
        <w:t>Myth of the Western man (White man’s burden)</w:t>
      </w:r>
      <w:r w:rsidRPr="001814D2">
        <w:t xml:space="preserve"> 1992, synthetic polymer paint on canvas, purchased 1993</w:t>
      </w:r>
    </w:p>
    <w:p w14:paraId="74C63F2E" w14:textId="77777777" w:rsidR="009103CC" w:rsidRPr="001814D2" w:rsidRDefault="009103CC" w:rsidP="009103CC">
      <w:pPr>
        <w:pStyle w:val="Listitemasbody"/>
      </w:pPr>
      <w:r w:rsidRPr="001814D2">
        <w:rPr>
          <w:b/>
          <w:bCs/>
        </w:rPr>
        <w:t>Private collection</w:t>
      </w:r>
      <w:r w:rsidRPr="001814D2">
        <w:t xml:space="preserve"> Reciprocal </w:t>
      </w:r>
      <w:r w:rsidRPr="001814D2">
        <w:rPr>
          <w:i/>
          <w:iCs/>
        </w:rPr>
        <w:t>Streeton</w:t>
      </w:r>
      <w:r w:rsidRPr="001814D2">
        <w:t xml:space="preserve"> exhibition loan, 16 October 2020 – 18 February 2021: Elioth Gruner </w:t>
      </w:r>
      <w:r w:rsidRPr="001814D2">
        <w:rPr>
          <w:i/>
          <w:iCs/>
        </w:rPr>
        <w:t>Bondi Beach</w:t>
      </w:r>
      <w:r w:rsidRPr="001814D2">
        <w:t xml:space="preserve"> c1912, oil on cardboard, gift of Mrs Norman Lindsay in memory of the artist 1939</w:t>
      </w:r>
    </w:p>
    <w:p w14:paraId="7472BB2C" w14:textId="77777777" w:rsidR="009103CC" w:rsidRPr="001814D2" w:rsidRDefault="009103CC" w:rsidP="009103CC">
      <w:pPr>
        <w:pStyle w:val="Listitemasbody"/>
      </w:pPr>
      <w:r w:rsidRPr="001814D2">
        <w:rPr>
          <w:b/>
          <w:bCs/>
        </w:rPr>
        <w:t>National Gallery of Victoria</w:t>
      </w:r>
      <w:r w:rsidRPr="001814D2">
        <w:t xml:space="preserve"> </w:t>
      </w:r>
      <w:r w:rsidRPr="001814D2">
        <w:rPr>
          <w:i/>
          <w:iCs/>
        </w:rPr>
        <w:t xml:space="preserve">TIWI, </w:t>
      </w:r>
      <w:r w:rsidRPr="001814D2">
        <w:t xml:space="preserve">Ian Potter Centre: NGV Australia, 23 November 2020 – 8 March 2021: Enraeld Djulabinyanna </w:t>
      </w:r>
      <w:r w:rsidRPr="001814D2">
        <w:rPr>
          <w:i/>
          <w:iCs/>
        </w:rPr>
        <w:t>Male figure</w:t>
      </w:r>
      <w:r w:rsidRPr="001814D2">
        <w:t xml:space="preserve"> c1960s, carved and painted wood; </w:t>
      </w:r>
      <w:r w:rsidRPr="001814D2">
        <w:rPr>
          <w:i/>
          <w:iCs/>
        </w:rPr>
        <w:t>Female figure</w:t>
      </w:r>
      <w:r w:rsidRPr="001814D2">
        <w:t xml:space="preserve"> c1960s, carved and painted wood, gift of Harry Messel 1990; Tommy Mungatopi </w:t>
      </w:r>
      <w:r w:rsidRPr="001814D2">
        <w:rPr>
          <w:i/>
          <w:iCs/>
        </w:rPr>
        <w:t>Coral design</w:t>
      </w:r>
      <w:r w:rsidRPr="001814D2">
        <w:t xml:space="preserve"> c1965, natural pigments on bark, purchased 1995; attrib. Tommy Mungatopi </w:t>
      </w:r>
      <w:r w:rsidRPr="001814D2">
        <w:rPr>
          <w:i/>
          <w:iCs/>
        </w:rPr>
        <w:t>Tiwi design</w:t>
      </w:r>
      <w:r w:rsidRPr="001814D2">
        <w:t xml:space="preserve"> c1970, natural pigments on eucalyptus bark, gift of Ron and Margaret Simpson 2003; Portaminni Stephen </w:t>
      </w:r>
      <w:r w:rsidRPr="001814D2">
        <w:rPr>
          <w:i/>
          <w:iCs/>
        </w:rPr>
        <w:t>Tunga</w:t>
      </w:r>
      <w:r w:rsidRPr="001814D2">
        <w:t xml:space="preserve"> c1957, painted bark; </w:t>
      </w:r>
      <w:r w:rsidRPr="001814D2">
        <w:rPr>
          <w:i/>
          <w:iCs/>
        </w:rPr>
        <w:t>Tunga</w:t>
      </w:r>
      <w:r w:rsidRPr="001814D2">
        <w:t xml:space="preserve"> c1957, painted bark, gift of Dr Stuart Scougall 1957; Unknown </w:t>
      </w:r>
      <w:r w:rsidRPr="001814D2">
        <w:rPr>
          <w:i/>
          <w:iCs/>
        </w:rPr>
        <w:t>Tunga</w:t>
      </w:r>
      <w:r w:rsidRPr="001814D2">
        <w:t xml:space="preserve"> 1959, natural fibres; Unknown </w:t>
      </w:r>
      <w:r w:rsidRPr="001814D2">
        <w:rPr>
          <w:i/>
          <w:iCs/>
        </w:rPr>
        <w:t>Tunga</w:t>
      </w:r>
      <w:r w:rsidRPr="001814D2">
        <w:t xml:space="preserve"> 1959, natural fibres; Unknown </w:t>
      </w:r>
      <w:r w:rsidRPr="001814D2">
        <w:rPr>
          <w:i/>
          <w:iCs/>
        </w:rPr>
        <w:t>Tunga</w:t>
      </w:r>
      <w:r w:rsidRPr="001814D2">
        <w:t xml:space="preserve"> 1959, bark, red, yellow, pink-white, black on black ground, gift of Dr Stuart Scougall 1959; Taracarijimo Freda Warlapinni </w:t>
      </w:r>
      <w:r w:rsidRPr="001814D2">
        <w:rPr>
          <w:i/>
          <w:iCs/>
        </w:rPr>
        <w:t>Pwoja – Pukumani body paint design</w:t>
      </w:r>
      <w:r w:rsidRPr="001814D2">
        <w:t xml:space="preserve"> 2002, natural pigments on linen canvas, purchased 2002</w:t>
      </w:r>
    </w:p>
    <w:p w14:paraId="708383BD" w14:textId="77777777" w:rsidR="009103CC" w:rsidRPr="001814D2" w:rsidRDefault="009103CC" w:rsidP="009103CC">
      <w:pPr>
        <w:pStyle w:val="Listitemasbody"/>
      </w:pPr>
      <w:r w:rsidRPr="001814D2">
        <w:rPr>
          <w:b/>
          <w:bCs/>
        </w:rPr>
        <w:lastRenderedPageBreak/>
        <w:t>Chau Chak Wing Museum, University of Sydney</w:t>
      </w:r>
      <w:r w:rsidRPr="001814D2">
        <w:t xml:space="preserve"> </w:t>
      </w:r>
      <w:r w:rsidRPr="001814D2">
        <w:rPr>
          <w:i/>
          <w:iCs/>
        </w:rPr>
        <w:t xml:space="preserve">Auspicious: Motifs in Chinese Art, </w:t>
      </w:r>
      <w:r w:rsidRPr="001814D2">
        <w:t xml:space="preserve">16 November 2020 – 15 May 2022: China, Kangxi or Yongzheng periods 1662–1735 </w:t>
      </w:r>
      <w:r w:rsidRPr="001814D2">
        <w:rPr>
          <w:i/>
          <w:iCs/>
        </w:rPr>
        <w:t>Disc (bi) with dragons (chi)</w:t>
      </w:r>
      <w:r w:rsidRPr="001814D2">
        <w:t xml:space="preserve">, jade, gift of Mrs H Dresdner 2008; China, Yuan dynasty 1279–1368 </w:t>
      </w:r>
      <w:r w:rsidRPr="001814D2">
        <w:rPr>
          <w:i/>
          <w:iCs/>
        </w:rPr>
        <w:t>Guanyin, bodhisattva of compassion</w:t>
      </w:r>
      <w:r w:rsidRPr="001814D2">
        <w:t>, bronze, gold leaf; China</w:t>
      </w:r>
      <w:r w:rsidRPr="001814D2">
        <w:rPr>
          <w:i/>
          <w:iCs/>
        </w:rPr>
        <w:t xml:space="preserve"> Brush pot decorated with a scene from ‘Sima Guang breaking the water urn to save his friend’,</w:t>
      </w:r>
      <w:r w:rsidRPr="001814D2">
        <w:t xml:space="preserve"> a carved Tang dynasty poem by Zhang Ji (c756–c779) 1800s–1900s, bamboo, Gift of John Yu, in memory of George Soutter 2012, donated through the Australian Government’s Cultural Gifts Program; China, Ming dynasty 1368–1644 </w:t>
      </w:r>
      <w:r w:rsidRPr="001814D2">
        <w:rPr>
          <w:i/>
          <w:iCs/>
        </w:rPr>
        <w:t>Pouring vessel (he) in archaistic style</w:t>
      </w:r>
      <w:r w:rsidRPr="001814D2">
        <w:t xml:space="preserve"> 1600s, bronze with silver and gold inlays, purchased 1990; China, Northern Wei period 386–535 </w:t>
      </w:r>
      <w:r w:rsidRPr="001814D2">
        <w:rPr>
          <w:i/>
          <w:iCs/>
        </w:rPr>
        <w:t>Stele of a Buddha flanked by two bodhisattvas</w:t>
      </w:r>
      <w:r w:rsidRPr="001814D2">
        <w:t xml:space="preserve"> 500s, limestone with traces of pigment, purchased with funds provided by the Art Gallery of New South Wales Foundation, the Mary Eugene Tancred Bequest Fund, Jim &amp; Janette Bain, Nick Curtis, Rowena Danziger AM &amp; Ken Coles AM, Chum &amp; Belinda Darvall and Isaac &amp; Susan Wakil 2006; China </w:t>
      </w:r>
      <w:r w:rsidRPr="001814D2">
        <w:rPr>
          <w:i/>
          <w:iCs/>
        </w:rPr>
        <w:t>Jingdezhen ware dish with gardenia spray design</w:t>
      </w:r>
      <w:r w:rsidRPr="001814D2">
        <w:t xml:space="preserve"> 1488–1505, porcelain with underglaze blue and overglaze yellow decoration, Edward and Goldie Sternberg Chinese Art Purchase Fund 1989; China, Kangxi period 1662–1722</w:t>
      </w:r>
      <w:r w:rsidRPr="001814D2">
        <w:rPr>
          <w:i/>
          <w:iCs/>
        </w:rPr>
        <w:t xml:space="preserve"> Water dropper in the form of a fish</w:t>
      </w:r>
      <w:r w:rsidRPr="001814D2">
        <w:t xml:space="preserve"> 1600s, porcelain with enamel on biscuit in turquoise, gift of Mr Sydney Cooper 1962; China, Kangxi period 1662–1722 </w:t>
      </w:r>
      <w:r w:rsidRPr="001814D2">
        <w:rPr>
          <w:i/>
          <w:iCs/>
        </w:rPr>
        <w:t>Dehua ware brush rest in the</w:t>
      </w:r>
      <w:r w:rsidRPr="001814D2">
        <w:t xml:space="preserve"> </w:t>
      </w:r>
      <w:r w:rsidRPr="001814D2">
        <w:rPr>
          <w:i/>
          <w:iCs/>
        </w:rPr>
        <w:t>form of a dragon among rocks</w:t>
      </w:r>
      <w:r w:rsidRPr="001814D2">
        <w:t xml:space="preserve"> 1662–1722, blanc-de-chine porcelain, purchased 1987; China</w:t>
      </w:r>
      <w:r w:rsidRPr="001814D2">
        <w:rPr>
          <w:i/>
          <w:iCs/>
        </w:rPr>
        <w:t xml:space="preserve"> Official seal</w:t>
      </w:r>
      <w:r w:rsidRPr="001814D2">
        <w:t xml:space="preserve"> 1700s, carved soapstone, gift of Mrs Joan Rogers 1990; China</w:t>
      </w:r>
      <w:r w:rsidRPr="001814D2">
        <w:rPr>
          <w:i/>
          <w:iCs/>
        </w:rPr>
        <w:t xml:space="preserve"> Paperweight carved in the form of a citron with a grasshopper</w:t>
      </w:r>
      <w:r w:rsidRPr="001814D2">
        <w:t xml:space="preserve"> 1800s, pale greenish grey jade, gift of Mr Sydney Cooper 1962; China </w:t>
      </w:r>
      <w:r w:rsidRPr="001814D2">
        <w:rPr>
          <w:i/>
          <w:iCs/>
        </w:rPr>
        <w:t>Gourd-shaped ink slab</w:t>
      </w:r>
      <w:r w:rsidRPr="001814D2">
        <w:t xml:space="preserve"> 1800s, pale greenish grey jade, gift of Mr Sydney Cooper 1962; China, Qing dynasty 1644–1911 </w:t>
      </w:r>
      <w:r w:rsidRPr="001814D2">
        <w:rPr>
          <w:i/>
          <w:iCs/>
        </w:rPr>
        <w:t>Tea service set, comprising teapot, creamer, sugar bowl and tongs</w:t>
      </w:r>
      <w:r w:rsidRPr="001814D2">
        <w:t xml:space="preserve"> c1900, silver, gift from the JH Myrtle Collection 2003; China </w:t>
      </w:r>
      <w:r w:rsidRPr="001814D2">
        <w:rPr>
          <w:i/>
          <w:iCs/>
        </w:rPr>
        <w:t>Tomb tile with decoration of a man and tiger</w:t>
      </w:r>
      <w:r w:rsidRPr="001814D2">
        <w:t xml:space="preserve"> 400s–500s, earthenware, unglazed, gift of Mr Sydney Cooper 1962; China </w:t>
      </w:r>
      <w:r w:rsidRPr="001814D2">
        <w:rPr>
          <w:i/>
          <w:iCs/>
        </w:rPr>
        <w:t>Tomb tile with decoration of a feathered man and a dragon</w:t>
      </w:r>
      <w:r w:rsidRPr="001814D2">
        <w:t xml:space="preserve"> 400s–500s, earthenware, unglazed, gift of Mr Sydney Cooper 1962; Shen Shiyou </w:t>
      </w:r>
      <w:r w:rsidRPr="001814D2">
        <w:rPr>
          <w:i/>
          <w:iCs/>
        </w:rPr>
        <w:t>Inkstone</w:t>
      </w:r>
      <w:r w:rsidRPr="001814D2">
        <w:t xml:space="preserve"> late 1800s – early 1900s, carved inkstone, purchased 1989; China, Kangxi period 1662–1722 </w:t>
      </w:r>
      <w:r w:rsidRPr="001814D2">
        <w:rPr>
          <w:i/>
          <w:iCs/>
        </w:rPr>
        <w:t>Jingdezhen ware</w:t>
      </w:r>
      <w:r w:rsidRPr="001814D2">
        <w:t xml:space="preserve"> </w:t>
      </w:r>
      <w:r w:rsidRPr="001814D2">
        <w:rPr>
          <w:i/>
          <w:iCs/>
        </w:rPr>
        <w:t>Imperial birthday dish with peach</w:t>
      </w:r>
      <w:r w:rsidRPr="001814D2">
        <w:t xml:space="preserve"> 1662–1722, porcelain with </w:t>
      </w:r>
      <w:r w:rsidRPr="001814D2">
        <w:rPr>
          <w:i/>
          <w:iCs/>
        </w:rPr>
        <w:t>famille verte</w:t>
      </w:r>
      <w:r w:rsidRPr="001814D2">
        <w:t xml:space="preserve"> decoration, purchased 1971; China, Qianlong period 1736–95 to Qing dynasty 1644–1911 </w:t>
      </w:r>
      <w:r w:rsidRPr="001814D2">
        <w:rPr>
          <w:i/>
          <w:iCs/>
        </w:rPr>
        <w:t>Dogs</w:t>
      </w:r>
      <w:r w:rsidRPr="001814D2">
        <w:t xml:space="preserve">, carved in amethyst, Bequest of Captain GW Eedy 1921; China </w:t>
      </w:r>
      <w:r w:rsidRPr="001814D2">
        <w:rPr>
          <w:i/>
          <w:iCs/>
        </w:rPr>
        <w:t>Table</w:t>
      </w:r>
      <w:r w:rsidRPr="001814D2">
        <w:t xml:space="preserve"> 1700s, hardwood, purchased 1990; China</w:t>
      </w:r>
      <w:r w:rsidRPr="001814D2">
        <w:rPr>
          <w:i/>
          <w:iCs/>
        </w:rPr>
        <w:t xml:space="preserve"> Armchair with stone panel set on splat</w:t>
      </w:r>
      <w:r w:rsidRPr="001814D2">
        <w:t>, early 1900s, wood (</w:t>
      </w:r>
      <w:r w:rsidRPr="001814D2">
        <w:rPr>
          <w:i/>
          <w:iCs/>
        </w:rPr>
        <w:t>huali</w:t>
      </w:r>
      <w:r w:rsidRPr="001814D2">
        <w:t>), stone, gift of the Storch Family in loving memory of Freddie Storch 2007; China, Han dynasty 206 BCE – 220 CE</w:t>
      </w:r>
      <w:r w:rsidRPr="001814D2">
        <w:rPr>
          <w:i/>
          <w:iCs/>
        </w:rPr>
        <w:t xml:space="preserve"> Mirror with TLV design</w:t>
      </w:r>
      <w:r w:rsidRPr="001814D2">
        <w:t xml:space="preserve">, bronze, gift of Graham E Fraser 1988; China, Qing dynasty 1644–1911 </w:t>
      </w:r>
      <w:r w:rsidRPr="001814D2">
        <w:rPr>
          <w:i/>
          <w:iCs/>
        </w:rPr>
        <w:t>Paint brush</w:t>
      </w:r>
      <w:r w:rsidRPr="001814D2">
        <w:t>, bone, horn, hair; figural engraving on handle, gift of Dr John Yu and Dr George Soutter 2005</w:t>
      </w:r>
    </w:p>
    <w:p w14:paraId="0061D423" w14:textId="77777777" w:rsidR="009103CC" w:rsidRPr="001814D2" w:rsidRDefault="009103CC" w:rsidP="009103CC">
      <w:pPr>
        <w:pStyle w:val="Listitemasbody"/>
      </w:pPr>
      <w:r w:rsidRPr="001814D2">
        <w:rPr>
          <w:b/>
          <w:bCs/>
        </w:rPr>
        <w:t>SH Ervin Gallery</w:t>
      </w:r>
      <w:r w:rsidRPr="001814D2">
        <w:t xml:space="preserve"> </w:t>
      </w:r>
      <w:r w:rsidRPr="001814D2">
        <w:rPr>
          <w:i/>
          <w:iCs/>
        </w:rPr>
        <w:t xml:space="preserve">First Light: The Art of Peter Kingston, </w:t>
      </w:r>
      <w:r w:rsidRPr="001814D2">
        <w:t xml:space="preserve">5 December 2020 – 21 February 2021: Peter Kingston </w:t>
      </w:r>
      <w:r w:rsidRPr="001814D2">
        <w:rPr>
          <w:i/>
          <w:iCs/>
        </w:rPr>
        <w:t>Big Saturday</w:t>
      </w:r>
      <w:r w:rsidRPr="001814D2">
        <w:t xml:space="preserve"> 1995, oil on canvas, gift of Margaret Olley 1997; </w:t>
      </w:r>
      <w:r w:rsidRPr="001814D2">
        <w:rPr>
          <w:i/>
          <w:iCs/>
        </w:rPr>
        <w:t>Carmel</w:t>
      </w:r>
      <w:r w:rsidRPr="001814D2">
        <w:t xml:space="preserve"> 1964, pen, brush and black ink, wash on ivory wove paper; </w:t>
      </w:r>
      <w:r w:rsidRPr="001814D2">
        <w:rPr>
          <w:i/>
          <w:iCs/>
        </w:rPr>
        <w:t>Ilford House</w:t>
      </w:r>
      <w:r w:rsidRPr="001814D2">
        <w:t xml:space="preserve"> 1978, pen and black </w:t>
      </w:r>
      <w:r w:rsidRPr="001814D2">
        <w:lastRenderedPageBreak/>
        <w:t xml:space="preserve">ink, coloured pencil, opaque white, Thea Proctor Memorial Fund 1993; </w:t>
      </w:r>
      <w:r w:rsidRPr="001814D2">
        <w:rPr>
          <w:i/>
          <w:iCs/>
        </w:rPr>
        <w:t>Domestic scene</w:t>
      </w:r>
      <w:r w:rsidRPr="001814D2">
        <w:t xml:space="preserve"> 1993, pen and ink, watercolour on ivory mountboard, gift of Hendrik Kolenberg 2013, donated through the Australian Government’s Cultural Gifts Program; </w:t>
      </w:r>
      <w:r w:rsidRPr="001814D2">
        <w:rPr>
          <w:i/>
          <w:iCs/>
        </w:rPr>
        <w:t>Shag shed resumption, Walsh Bay</w:t>
      </w:r>
      <w:r w:rsidRPr="001814D2">
        <w:t xml:space="preserve"> 1998–99, charcoal on two sheets of white wove paper, Thea Proctor Memorial Fund 1999; </w:t>
      </w:r>
      <w:r w:rsidRPr="001814D2">
        <w:rPr>
          <w:i/>
          <w:iCs/>
        </w:rPr>
        <w:t>Luna Park 2000</w:t>
      </w:r>
      <w:r w:rsidRPr="001814D2">
        <w:t xml:space="preserve"> 1984, etching, hand-coloured, purchased 1984; </w:t>
      </w:r>
      <w:r w:rsidRPr="001814D2">
        <w:rPr>
          <w:i/>
          <w:iCs/>
        </w:rPr>
        <w:t>Friday night at Kookaburra’s</w:t>
      </w:r>
      <w:r w:rsidRPr="001814D2">
        <w:t xml:space="preserve"> 2003, colour linocut printed in blue and black inks, hand-coloured in yellow and white gouache on cream laid tissue; </w:t>
      </w:r>
      <w:r w:rsidRPr="001814D2">
        <w:rPr>
          <w:i/>
          <w:iCs/>
        </w:rPr>
        <w:t>Coney Island</w:t>
      </w:r>
      <w:r w:rsidRPr="001814D2">
        <w:t xml:space="preserve"> printed 1988, hand-coloured 2005, etching, black ink, hand-coloured in watercolour on white wove BFK Rives paper; </w:t>
      </w:r>
      <w:r w:rsidRPr="001814D2">
        <w:rPr>
          <w:i/>
          <w:iCs/>
        </w:rPr>
        <w:t>Dent at sea</w:t>
      </w:r>
      <w:r w:rsidRPr="001814D2">
        <w:t xml:space="preserve"> 2006, linocut, black and coloured inks on thin cream Japanese tissue, gift of the artist 2004</w:t>
      </w:r>
    </w:p>
    <w:p w14:paraId="4413FA89" w14:textId="77777777" w:rsidR="009103CC" w:rsidRPr="001814D2" w:rsidRDefault="009103CC" w:rsidP="009103CC">
      <w:pPr>
        <w:pStyle w:val="Listitemasbody"/>
      </w:pPr>
      <w:r w:rsidRPr="001814D2">
        <w:rPr>
          <w:b/>
          <w:bCs/>
        </w:rPr>
        <w:t>Cairns Art Gallery</w:t>
      </w:r>
      <w:r w:rsidRPr="001814D2">
        <w:t xml:space="preserve"> </w:t>
      </w:r>
      <w:r w:rsidRPr="001814D2">
        <w:rPr>
          <w:i/>
          <w:iCs/>
        </w:rPr>
        <w:t xml:space="preserve">Ben Quilty – The Entangled Landscape, </w:t>
      </w:r>
      <w:r w:rsidRPr="001814D2">
        <w:t xml:space="preserve">12 December 2020 – 13 March 2021: Ben Quilty </w:t>
      </w:r>
      <w:r w:rsidRPr="001814D2">
        <w:rPr>
          <w:i/>
          <w:iCs/>
        </w:rPr>
        <w:t>Fairy Bower Rorschach</w:t>
      </w:r>
      <w:r w:rsidRPr="001814D2">
        <w:t xml:space="preserve"> 2012, oil on linen, purchased with funds provided by the Patrick White Bequest 2012</w:t>
      </w:r>
    </w:p>
    <w:p w14:paraId="4D7F3FF9" w14:textId="77777777" w:rsidR="009103CC" w:rsidRPr="001814D2" w:rsidRDefault="009103CC" w:rsidP="009103CC">
      <w:pPr>
        <w:pStyle w:val="Listitemasbody"/>
      </w:pPr>
      <w:r w:rsidRPr="001814D2">
        <w:rPr>
          <w:b/>
          <w:bCs/>
        </w:rPr>
        <w:t>Shoalhaven City Arts Centre</w:t>
      </w:r>
      <w:r w:rsidRPr="001814D2">
        <w:t xml:space="preserve"> </w:t>
      </w:r>
      <w:r w:rsidRPr="001814D2">
        <w:rPr>
          <w:i/>
          <w:iCs/>
        </w:rPr>
        <w:t xml:space="preserve">WONDER + DREAD: Art in the Land of Weather Extremes, </w:t>
      </w:r>
      <w:r w:rsidRPr="001814D2">
        <w:t xml:space="preserve">12 December 2020 – 30 January 2021: Helga Groves </w:t>
      </w:r>
      <w:r w:rsidRPr="001814D2">
        <w:rPr>
          <w:i/>
          <w:iCs/>
        </w:rPr>
        <w:t>Flood</w:t>
      </w:r>
      <w:r w:rsidRPr="001814D2">
        <w:t xml:space="preserve"> 1999, triptych: woven monofilament fishing line stretched onto wooden frames, purchased with funds provided by the Contemporary Collection Benefactors 2000; Max Dupain </w:t>
      </w:r>
      <w:r w:rsidRPr="001814D2">
        <w:rPr>
          <w:i/>
          <w:iCs/>
        </w:rPr>
        <w:t>The Burdekin River in flood</w:t>
      </w:r>
      <w:r w:rsidRPr="001814D2">
        <w:t xml:space="preserve"> 1943, gelatin silver photograph, gift of Edron Pty Ltd 1995 through the auspices of Alistair McAlpine; Susan Norrie </w:t>
      </w:r>
      <w:r w:rsidRPr="001814D2">
        <w:rPr>
          <w:i/>
          <w:iCs/>
        </w:rPr>
        <w:t>Undertow</w:t>
      </w:r>
      <w:r w:rsidRPr="001814D2">
        <w:t xml:space="preserve"> 2002, six channel digital video, colour, sound, projection boxes, purchased with funds provided by Clayton Utz 2003; Lloyd Rees </w:t>
      </w:r>
      <w:r w:rsidRPr="001814D2">
        <w:rPr>
          <w:i/>
          <w:iCs/>
        </w:rPr>
        <w:t>Fire haze at Gerringong</w:t>
      </w:r>
      <w:r w:rsidRPr="001814D2">
        <w:t xml:space="preserve"> 1980, oil on canvas, purchased with assistance from the HG Slater Foundation 1982; Michael Riley </w:t>
      </w:r>
      <w:r w:rsidRPr="001814D2">
        <w:rPr>
          <w:i/>
          <w:iCs/>
        </w:rPr>
        <w:t>Untitled</w:t>
      </w:r>
      <w:r w:rsidRPr="001814D2">
        <w:t xml:space="preserve"> 1998, printed 2004, pigment print, anonymous gift to the Aboriginal and Torres Strait Islander art and Photography collections 2010, donated through the Australian Government’s Cultural Gifts Program; Arthur Boyd </w:t>
      </w:r>
      <w:r w:rsidRPr="001814D2">
        <w:rPr>
          <w:i/>
          <w:iCs/>
        </w:rPr>
        <w:t>The hunter II</w:t>
      </w:r>
      <w:r w:rsidRPr="001814D2">
        <w:t xml:space="preserve"> </w:t>
      </w:r>
      <w:r w:rsidRPr="001814D2">
        <w:rPr>
          <w:i/>
          <w:iCs/>
        </w:rPr>
        <w:t>(The flood)</w:t>
      </w:r>
      <w:r w:rsidRPr="001814D2">
        <w:t xml:space="preserve"> 1944 (incorrectly inscribed 1945), oil on canvas on plywood, gift of Arthur Boyd and the Museum of Modern Art and Design of Australia 1972; Albert Tucker </w:t>
      </w:r>
      <w:r w:rsidRPr="001814D2">
        <w:rPr>
          <w:i/>
          <w:iCs/>
        </w:rPr>
        <w:t xml:space="preserve">Apocalyptic horse </w:t>
      </w:r>
      <w:r w:rsidRPr="001814D2">
        <w:t>1956, oil on hardboard, purchased 1982</w:t>
      </w:r>
    </w:p>
    <w:p w14:paraId="25C61265" w14:textId="77777777" w:rsidR="009103CC" w:rsidRPr="001814D2" w:rsidRDefault="009103CC" w:rsidP="009103CC">
      <w:pPr>
        <w:pStyle w:val="Listitemasbody"/>
      </w:pPr>
      <w:r w:rsidRPr="001814D2">
        <w:rPr>
          <w:b/>
          <w:bCs/>
        </w:rPr>
        <w:t>Bundanon Trust</w:t>
      </w:r>
      <w:r w:rsidRPr="001814D2">
        <w:t xml:space="preserve"> </w:t>
      </w:r>
      <w:r w:rsidRPr="001814D2">
        <w:rPr>
          <w:i/>
          <w:iCs/>
        </w:rPr>
        <w:t xml:space="preserve">Arthur Boyd: Landscape of the Soul, </w:t>
      </w:r>
      <w:r w:rsidRPr="001814D2">
        <w:t>Tweed Regional Gallery and Margaret Olley Art Centre</w:t>
      </w:r>
      <w:r w:rsidRPr="001814D2">
        <w:rPr>
          <w:b/>
          <w:bCs/>
        </w:rPr>
        <w:t xml:space="preserve">, </w:t>
      </w:r>
      <w:r w:rsidRPr="001814D2">
        <w:t>8 January – 28 February 2021</w:t>
      </w:r>
      <w:r w:rsidRPr="001814D2">
        <w:rPr>
          <w:b/>
          <w:bCs/>
        </w:rPr>
        <w:t xml:space="preserve">; </w:t>
      </w:r>
      <w:r w:rsidRPr="001814D2">
        <w:t>Blue Mountains Cultural Centre</w:t>
      </w:r>
      <w:r w:rsidRPr="001814D2">
        <w:rPr>
          <w:b/>
          <w:bCs/>
        </w:rPr>
        <w:t xml:space="preserve">, </w:t>
      </w:r>
      <w:r w:rsidRPr="001814D2">
        <w:t>12 March – 2 May 2021</w:t>
      </w:r>
      <w:r w:rsidRPr="001814D2">
        <w:rPr>
          <w:b/>
          <w:bCs/>
        </w:rPr>
        <w:t xml:space="preserve">; </w:t>
      </w:r>
      <w:r w:rsidRPr="001814D2">
        <w:t>Museum of Art and Culture Lake Macquarie</w:t>
      </w:r>
      <w:r w:rsidRPr="001814D2">
        <w:rPr>
          <w:b/>
          <w:bCs/>
        </w:rPr>
        <w:t xml:space="preserve">, </w:t>
      </w:r>
      <w:r w:rsidRPr="001814D2">
        <w:t>24 July – 26 September 2021</w:t>
      </w:r>
      <w:r w:rsidRPr="001814D2">
        <w:rPr>
          <w:b/>
          <w:bCs/>
        </w:rPr>
        <w:t xml:space="preserve">: </w:t>
      </w:r>
      <w:r w:rsidRPr="001814D2">
        <w:t xml:space="preserve">Arthur Boyd </w:t>
      </w:r>
      <w:r w:rsidRPr="001814D2">
        <w:rPr>
          <w:i/>
          <w:iCs/>
        </w:rPr>
        <w:t>The expulsion</w:t>
      </w:r>
      <w:r w:rsidRPr="001814D2">
        <w:t xml:space="preserve"> 1947–48, oil on hardboard, purchased 1986</w:t>
      </w:r>
    </w:p>
    <w:p w14:paraId="3ABC657D" w14:textId="77777777" w:rsidR="009103CC" w:rsidRPr="001814D2" w:rsidRDefault="009103CC" w:rsidP="009103CC">
      <w:pPr>
        <w:pStyle w:val="Listitemasbody"/>
      </w:pPr>
      <w:r w:rsidRPr="001814D2">
        <w:rPr>
          <w:b/>
          <w:bCs/>
        </w:rPr>
        <w:t>Campbelltown Arts Centre</w:t>
      </w:r>
      <w:r w:rsidRPr="001814D2">
        <w:t xml:space="preserve"> </w:t>
      </w:r>
      <w:r w:rsidRPr="001814D2">
        <w:rPr>
          <w:i/>
          <w:iCs/>
        </w:rPr>
        <w:t xml:space="preserve">Space YZ, </w:t>
      </w:r>
      <w:r w:rsidRPr="001814D2">
        <w:t xml:space="preserve">16 January – 14 March 2021: Justene Williams </w:t>
      </w:r>
      <w:r w:rsidRPr="001814D2">
        <w:rPr>
          <w:i/>
          <w:iCs/>
        </w:rPr>
        <w:t>Bunny boy 1</w:t>
      </w:r>
      <w:r w:rsidRPr="001814D2">
        <w:t xml:space="preserve"> 1995, type C photograph mounted on aluminium, purchased with funds provided by Anthony Bond, Sydney 2000; </w:t>
      </w:r>
      <w:r w:rsidRPr="001814D2">
        <w:rPr>
          <w:i/>
          <w:iCs/>
        </w:rPr>
        <w:t xml:space="preserve">Bunny boy 6 </w:t>
      </w:r>
      <w:r w:rsidRPr="001814D2">
        <w:t xml:space="preserve">1995, type C photograph mounted on aluminium, purchased with funds provided by Sandra Ferman, Sydney 2000; </w:t>
      </w:r>
      <w:r w:rsidRPr="001814D2">
        <w:rPr>
          <w:i/>
          <w:iCs/>
        </w:rPr>
        <w:t>Bunny boy 12</w:t>
      </w:r>
      <w:r w:rsidRPr="001814D2">
        <w:t xml:space="preserve"> 1995, type C photograph mounted on aluminium, purchased with funds provided by John </w:t>
      </w:r>
      <w:r w:rsidRPr="001814D2">
        <w:lastRenderedPageBreak/>
        <w:t xml:space="preserve">Swainston, Sydney 2000; </w:t>
      </w:r>
      <w:r w:rsidRPr="001814D2">
        <w:rPr>
          <w:i/>
          <w:iCs/>
        </w:rPr>
        <w:t>Bunny</w:t>
      </w:r>
      <w:r w:rsidRPr="001814D2">
        <w:t xml:space="preserve"> </w:t>
      </w:r>
      <w:r w:rsidRPr="001814D2">
        <w:rPr>
          <w:i/>
          <w:iCs/>
        </w:rPr>
        <w:t>boy 13</w:t>
      </w:r>
      <w:r w:rsidRPr="001814D2">
        <w:t xml:space="preserve"> 1995, type C photograph; </w:t>
      </w:r>
      <w:r w:rsidRPr="001814D2">
        <w:rPr>
          <w:i/>
          <w:iCs/>
        </w:rPr>
        <w:t>Bunny Boy 5</w:t>
      </w:r>
      <w:r w:rsidRPr="001814D2">
        <w:t xml:space="preserve"> 1995, type C photograph, gift of Amanda Love 2011, donated through the Australian Government’s Cultural Gifts Program</w:t>
      </w:r>
    </w:p>
    <w:p w14:paraId="688E3A1C" w14:textId="77777777" w:rsidR="009103CC" w:rsidRPr="001814D2" w:rsidRDefault="009103CC" w:rsidP="009103CC">
      <w:pPr>
        <w:pStyle w:val="Listitemasbody"/>
      </w:pPr>
      <w:r w:rsidRPr="001814D2">
        <w:rPr>
          <w:b/>
          <w:bCs/>
        </w:rPr>
        <w:t>Louisiana Museum of Modern Art (Denmark)</w:t>
      </w:r>
      <w:r w:rsidRPr="001814D2">
        <w:t xml:space="preserve"> </w:t>
      </w:r>
      <w:r w:rsidRPr="001814D2">
        <w:rPr>
          <w:i/>
          <w:iCs/>
        </w:rPr>
        <w:t xml:space="preserve">MOTHER!, </w:t>
      </w:r>
      <w:r w:rsidRPr="001814D2">
        <w:t xml:space="preserve">27 February – 29 August 2021: Max Beckmann </w:t>
      </w:r>
      <w:r w:rsidRPr="001814D2">
        <w:rPr>
          <w:i/>
          <w:iCs/>
        </w:rPr>
        <w:t>Mother and daughter</w:t>
      </w:r>
      <w:r w:rsidRPr="001814D2">
        <w:t xml:space="preserve"> 1946, oil on canvas, Art Gallery of New South Wales Foundation Purchase 1987; Tracey Emin </w:t>
      </w:r>
      <w:r w:rsidRPr="001814D2">
        <w:rPr>
          <w:i/>
          <w:iCs/>
        </w:rPr>
        <w:t>I do not expect</w:t>
      </w:r>
      <w:r w:rsidRPr="001814D2">
        <w:t xml:space="preserve"> 2002, appliqué blanket, gift of Geoff Ainsworth AM 2018, donated through the Australian Government’s Cultural Gifts Program</w:t>
      </w:r>
    </w:p>
    <w:p w14:paraId="33582BE0" w14:textId="77777777" w:rsidR="009103CC" w:rsidRPr="001814D2" w:rsidRDefault="009103CC" w:rsidP="009103CC">
      <w:pPr>
        <w:pStyle w:val="Listitemasbody"/>
      </w:pPr>
      <w:r w:rsidRPr="001814D2">
        <w:rPr>
          <w:b/>
          <w:bCs/>
        </w:rPr>
        <w:t>Monash University Museum of Art</w:t>
      </w:r>
      <w:r w:rsidRPr="001814D2">
        <w:t xml:space="preserve"> </w:t>
      </w:r>
      <w:r w:rsidRPr="001814D2">
        <w:rPr>
          <w:i/>
          <w:iCs/>
        </w:rPr>
        <w:t xml:space="preserve">Tree Story, </w:t>
      </w:r>
      <w:r w:rsidRPr="001814D2">
        <w:t xml:space="preserve">6 February – 10 April 2021: Joseph Beuys </w:t>
      </w:r>
      <w:r w:rsidRPr="001814D2">
        <w:rPr>
          <w:i/>
          <w:iCs/>
        </w:rPr>
        <w:t>Save the woods</w:t>
      </w:r>
      <w:r w:rsidRPr="001814D2">
        <w:t xml:space="preserve"> 1972, offset lithograph, purchased 1990; Edward Ruscha </w:t>
      </w:r>
      <w:r w:rsidRPr="001814D2">
        <w:rPr>
          <w:i/>
          <w:iCs/>
        </w:rPr>
        <w:t>A few palm trees</w:t>
      </w:r>
      <w:r w:rsidRPr="001814D2">
        <w:t xml:space="preserve"> 1971, thirty-two-page book with text and fourteen black and white photographs, gift of Robert Dein 2015; Optronic Kinetics </w:t>
      </w:r>
      <w:r w:rsidRPr="001814D2">
        <w:rPr>
          <w:i/>
          <w:iCs/>
        </w:rPr>
        <w:t>Cubed tree</w:t>
      </w:r>
      <w:r w:rsidRPr="001814D2">
        <w:t xml:space="preserve"> 1971, gelatin silver photograph, gift of the artists 1971</w:t>
      </w:r>
    </w:p>
    <w:p w14:paraId="5897F2D6" w14:textId="77777777" w:rsidR="009103CC" w:rsidRPr="001814D2" w:rsidRDefault="009103CC" w:rsidP="009103CC">
      <w:pPr>
        <w:pStyle w:val="Listitemasbody"/>
      </w:pPr>
      <w:r w:rsidRPr="001814D2">
        <w:rPr>
          <w:b/>
          <w:bCs/>
        </w:rPr>
        <w:t>Heide Museum of Modern Art</w:t>
      </w:r>
      <w:r w:rsidRPr="001814D2">
        <w:t xml:space="preserve"> </w:t>
      </w:r>
      <w:r w:rsidRPr="001814D2">
        <w:rPr>
          <w:i/>
          <w:iCs/>
        </w:rPr>
        <w:t xml:space="preserve">Blue Over Time: Robert Owen, </w:t>
      </w:r>
      <w:r w:rsidRPr="001814D2">
        <w:t xml:space="preserve">6 March – 11 July 2021: Robert Owen </w:t>
      </w:r>
      <w:r w:rsidRPr="001814D2">
        <w:rPr>
          <w:i/>
          <w:iCs/>
        </w:rPr>
        <w:t>Cadence #1 (a short span of time)</w:t>
      </w:r>
      <w:r w:rsidRPr="001814D2">
        <w:t xml:space="preserve"> 2003, synthetic polymer paint on canvas, five panels, purchased 2004</w:t>
      </w:r>
    </w:p>
    <w:p w14:paraId="584BDA00" w14:textId="77777777" w:rsidR="009103CC" w:rsidRPr="001814D2" w:rsidRDefault="009103CC" w:rsidP="009103CC">
      <w:pPr>
        <w:pStyle w:val="Listitemasbody"/>
      </w:pPr>
      <w:r w:rsidRPr="001814D2">
        <w:rPr>
          <w:b/>
          <w:bCs/>
        </w:rPr>
        <w:t>Art Gallery of South Australia</w:t>
      </w:r>
      <w:r w:rsidRPr="001814D2">
        <w:t xml:space="preserve"> </w:t>
      </w:r>
      <w:r w:rsidRPr="001814D2">
        <w:rPr>
          <w:i/>
          <w:iCs/>
        </w:rPr>
        <w:t xml:space="preserve">Clarice Beckett: The Present Moment, </w:t>
      </w:r>
      <w:r w:rsidRPr="001814D2">
        <w:t xml:space="preserve">27 February – 23 May 2021: Clarice Beckett </w:t>
      </w:r>
      <w:r w:rsidRPr="001814D2">
        <w:rPr>
          <w:i/>
          <w:iCs/>
        </w:rPr>
        <w:t>Beaumaris foreshore</w:t>
      </w:r>
      <w:r w:rsidRPr="001814D2">
        <w:t xml:space="preserve"> c1926, oil on canvas on paperboard, Jean Cameron Gordon Bequest Fund in memory of her mother Mary Gordon 2000; </w:t>
      </w:r>
      <w:r w:rsidRPr="001814D2">
        <w:rPr>
          <w:i/>
          <w:iCs/>
        </w:rPr>
        <w:t>Evening, St Kilda Road</w:t>
      </w:r>
      <w:r w:rsidRPr="001814D2">
        <w:t xml:space="preserve"> c1930, oil on board, purchased with funds provided by the Australian Collection Benefactors 2013</w:t>
      </w:r>
    </w:p>
    <w:p w14:paraId="70F71F2B" w14:textId="77777777" w:rsidR="009103CC" w:rsidRPr="001814D2" w:rsidRDefault="009103CC" w:rsidP="009103CC">
      <w:pPr>
        <w:pStyle w:val="Listitemasbody"/>
      </w:pPr>
      <w:r w:rsidRPr="001814D2">
        <w:rPr>
          <w:b/>
          <w:bCs/>
        </w:rPr>
        <w:t>National Library of Australia</w:t>
      </w:r>
      <w:r w:rsidRPr="001814D2">
        <w:t xml:space="preserve"> </w:t>
      </w:r>
      <w:r w:rsidRPr="001814D2">
        <w:rPr>
          <w:i/>
          <w:iCs/>
        </w:rPr>
        <w:t xml:space="preserve">A Nation Imagined: The Artists of the Picturesque Atlas </w:t>
      </w:r>
      <w:r w:rsidRPr="001814D2">
        <w:t xml:space="preserve">12 March – 11 July 2021: Frank Mahony </w:t>
      </w:r>
      <w:r w:rsidRPr="001814D2">
        <w:rPr>
          <w:i/>
          <w:iCs/>
        </w:rPr>
        <w:t xml:space="preserve">‘The sick stockrider’ (after Adam Lindsay Gordon’s poem) </w:t>
      </w:r>
      <w:r w:rsidRPr="001814D2">
        <w:t xml:space="preserve">1896, watercolour, gum, gift of the Estate of EH McIntyre 1983; </w:t>
      </w:r>
      <w:r w:rsidRPr="001814D2">
        <w:rPr>
          <w:i/>
          <w:iCs/>
        </w:rPr>
        <w:t>As in the</w:t>
      </w:r>
      <w:r w:rsidRPr="001814D2">
        <w:t xml:space="preserve"> </w:t>
      </w:r>
      <w:r w:rsidRPr="001814D2">
        <w:rPr>
          <w:i/>
          <w:iCs/>
        </w:rPr>
        <w:t>days of old</w:t>
      </w:r>
      <w:r w:rsidRPr="001814D2">
        <w:t xml:space="preserve"> 1892, oil on canvas, purchased 1892; </w:t>
      </w:r>
      <w:r w:rsidRPr="001814D2">
        <w:rPr>
          <w:i/>
          <w:iCs/>
        </w:rPr>
        <w:t>The bullock team</w:t>
      </w:r>
      <w:r w:rsidRPr="001814D2">
        <w:t xml:space="preserve"> 1891, watercolour, gum, purchased 1920; </w:t>
      </w:r>
      <w:r w:rsidRPr="001814D2">
        <w:rPr>
          <w:i/>
          <w:iCs/>
        </w:rPr>
        <w:t>Drafting sheep</w:t>
      </w:r>
      <w:r w:rsidRPr="001814D2">
        <w:t xml:space="preserve"> 1900, watercolour, gouache, gift of Howard Hinton 1916; </w:t>
      </w:r>
      <w:r w:rsidRPr="001814D2">
        <w:rPr>
          <w:i/>
          <w:iCs/>
        </w:rPr>
        <w:t>Rounding up a straggler</w:t>
      </w:r>
      <w:r w:rsidRPr="001814D2">
        <w:t xml:space="preserve"> 1889, oil on canvas, purchased 1889; </w:t>
      </w:r>
      <w:r w:rsidRPr="001814D2">
        <w:rPr>
          <w:i/>
          <w:iCs/>
        </w:rPr>
        <w:t>Study for ‘Rounding up a straggler’</w:t>
      </w:r>
      <w:r w:rsidRPr="001814D2">
        <w:t xml:space="preserve"> c1889, pencil, monochrome gouache on thin card, gift of Mr and Mrs Will Mahony 1984; </w:t>
      </w:r>
      <w:r w:rsidRPr="001814D2">
        <w:rPr>
          <w:i/>
          <w:iCs/>
        </w:rPr>
        <w:t xml:space="preserve">Study of a dog </w:t>
      </w:r>
      <w:r w:rsidRPr="001814D2">
        <w:t>–</w:t>
      </w:r>
      <w:r w:rsidRPr="001814D2">
        <w:rPr>
          <w:i/>
          <w:iCs/>
        </w:rPr>
        <w:t xml:space="preserve"> opening of Centennial Park</w:t>
      </w:r>
      <w:r w:rsidRPr="001814D2">
        <w:t xml:space="preserve"> 1890, pencil, watercolour, white gouache, purchased 1934; </w:t>
      </w:r>
      <w:r w:rsidRPr="001814D2">
        <w:rPr>
          <w:i/>
          <w:iCs/>
        </w:rPr>
        <w:t>The boundary rider</w:t>
      </w:r>
      <w:r w:rsidRPr="001814D2">
        <w:t xml:space="preserve"> 1900, pen and ink, gift of Howard Hinton 1916; Julian Ashton </w:t>
      </w:r>
      <w:r w:rsidRPr="001814D2">
        <w:rPr>
          <w:i/>
          <w:iCs/>
        </w:rPr>
        <w:t>Aboriginal family group</w:t>
      </w:r>
      <w:r w:rsidRPr="001814D2">
        <w:t xml:space="preserve"> c1886, pencil, watercolour, white gouache, purchased 1888; </w:t>
      </w:r>
      <w:r w:rsidRPr="001814D2">
        <w:rPr>
          <w:i/>
          <w:iCs/>
        </w:rPr>
        <w:t>Evening, Merri Creek</w:t>
      </w:r>
      <w:r w:rsidRPr="001814D2">
        <w:t xml:space="preserve"> 1882, oil on canvas, gift of Howard Ashton 1942; </w:t>
      </w:r>
      <w:r w:rsidRPr="001814D2">
        <w:rPr>
          <w:i/>
          <w:iCs/>
        </w:rPr>
        <w:t>The ferry</w:t>
      </w:r>
      <w:r w:rsidRPr="001814D2">
        <w:t xml:space="preserve"> 1893, etching, printed in brown ink with plate tone on ivory laid paper, purchased 1918; </w:t>
      </w:r>
      <w:r w:rsidRPr="001814D2">
        <w:rPr>
          <w:i/>
          <w:iCs/>
        </w:rPr>
        <w:t>Gloucester Street, The Rocks</w:t>
      </w:r>
      <w:r w:rsidRPr="001814D2">
        <w:t xml:space="preserve">, </w:t>
      </w:r>
      <w:r w:rsidRPr="001814D2">
        <w:rPr>
          <w:i/>
          <w:iCs/>
        </w:rPr>
        <w:t>Sydney</w:t>
      </w:r>
      <w:r w:rsidRPr="001814D2">
        <w:t xml:space="preserve"> 1918, etching, black ink with pale plate tone on ivory laid paper, purchased 1918; </w:t>
      </w:r>
      <w:r w:rsidRPr="001814D2">
        <w:rPr>
          <w:i/>
          <w:iCs/>
        </w:rPr>
        <w:t>Mosman’s Bay</w:t>
      </w:r>
      <w:r w:rsidRPr="001814D2">
        <w:t xml:space="preserve"> 1888, pencil, watercolour on paper, Wendy Barron Bequest Fund 2015; </w:t>
      </w:r>
      <w:r w:rsidRPr="001814D2">
        <w:rPr>
          <w:i/>
          <w:iCs/>
        </w:rPr>
        <w:t>The prospector</w:t>
      </w:r>
      <w:r w:rsidRPr="001814D2">
        <w:t xml:space="preserve"> 1889, oil on canvas on hardboard, purchased 1889; </w:t>
      </w:r>
      <w:r w:rsidRPr="001814D2">
        <w:rPr>
          <w:i/>
          <w:iCs/>
        </w:rPr>
        <w:t>Sentry-box Reach, Hawkesbury River, New South Wales</w:t>
      </w:r>
      <w:r w:rsidRPr="001814D2">
        <w:t xml:space="preserve"> 1886, pencil, watercolour, scraping out on </w:t>
      </w:r>
      <w:r w:rsidRPr="001814D2">
        <w:lastRenderedPageBreak/>
        <w:t xml:space="preserve">paper, gift of Howard Hinton 1924; </w:t>
      </w:r>
      <w:r w:rsidRPr="001814D2">
        <w:rPr>
          <w:i/>
          <w:iCs/>
        </w:rPr>
        <w:t>Shoalhaven River, junction with</w:t>
      </w:r>
      <w:r w:rsidRPr="001814D2">
        <w:t xml:space="preserve"> </w:t>
      </w:r>
      <w:r w:rsidRPr="001814D2">
        <w:rPr>
          <w:i/>
          <w:iCs/>
        </w:rPr>
        <w:t>Broughton Creek, New South Wales</w:t>
      </w:r>
      <w:r w:rsidRPr="001814D2">
        <w:t xml:space="preserve"> 1891, pencil, watercolour, opaque white, purchased 1891; </w:t>
      </w:r>
      <w:r w:rsidRPr="001814D2">
        <w:rPr>
          <w:i/>
          <w:iCs/>
        </w:rPr>
        <w:t>A solitary ramble</w:t>
      </w:r>
      <w:r w:rsidRPr="001814D2">
        <w:t xml:space="preserve"> 1888, watercolour, opaque white highlights on paper, purchased 1888; </w:t>
      </w:r>
      <w:r w:rsidRPr="001814D2">
        <w:rPr>
          <w:i/>
          <w:iCs/>
        </w:rPr>
        <w:t>Terrigal Headland, New South Wales</w:t>
      </w:r>
      <w:r w:rsidRPr="001814D2">
        <w:t xml:space="preserve"> 1892, pencil, watercolour, white gouache, scraping out, purchased 1892; Constance Roth </w:t>
      </w:r>
      <w:r w:rsidRPr="001814D2">
        <w:rPr>
          <w:i/>
          <w:iCs/>
        </w:rPr>
        <w:t>Apples</w:t>
      </w:r>
      <w:r w:rsidRPr="001814D2">
        <w:t xml:space="preserve"> 1890, oil on cedar panel, purchased 1890; Robert Atkinson </w:t>
      </w:r>
      <w:r w:rsidRPr="001814D2">
        <w:rPr>
          <w:i/>
          <w:iCs/>
        </w:rPr>
        <w:t>The Bluff, Middle Harbour, Sydney</w:t>
      </w:r>
      <w:r w:rsidRPr="001814D2">
        <w:t xml:space="preserve"> 1889, pencil, watercolour, Chinese white highlights, purchased 1889; Charles Conder </w:t>
      </w:r>
      <w:r w:rsidRPr="001814D2">
        <w:rPr>
          <w:i/>
          <w:iCs/>
        </w:rPr>
        <w:t xml:space="preserve">Departure of the Orient </w:t>
      </w:r>
      <w:r w:rsidRPr="001814D2">
        <w:t xml:space="preserve">– </w:t>
      </w:r>
      <w:r w:rsidRPr="001814D2">
        <w:rPr>
          <w:i/>
          <w:iCs/>
        </w:rPr>
        <w:t>Circular Quay</w:t>
      </w:r>
      <w:r w:rsidRPr="001814D2">
        <w:t xml:space="preserve"> 1888, oil on canvas, purchased 1888; Frank Holl </w:t>
      </w:r>
      <w:r w:rsidRPr="001814D2">
        <w:rPr>
          <w:i/>
          <w:iCs/>
        </w:rPr>
        <w:t xml:space="preserve">Deserted </w:t>
      </w:r>
      <w:r w:rsidRPr="001814D2">
        <w:t>–</w:t>
      </w:r>
      <w:r w:rsidRPr="001814D2">
        <w:rPr>
          <w:i/>
          <w:iCs/>
        </w:rPr>
        <w:t xml:space="preserve"> the foundling </w:t>
      </w:r>
      <w:r w:rsidRPr="001814D2">
        <w:t xml:space="preserve">1873, pen, brush, black ink with white and grey gouache, purchased 1880; Frederick B Schell </w:t>
      </w:r>
      <w:r w:rsidRPr="001814D2">
        <w:rPr>
          <w:i/>
          <w:iCs/>
        </w:rPr>
        <w:t>High tide, Bondi</w:t>
      </w:r>
      <w:r w:rsidRPr="001814D2">
        <w:t xml:space="preserve"> 1888, watercolour, purchased 1888; </w:t>
      </w:r>
      <w:r w:rsidRPr="001814D2">
        <w:rPr>
          <w:i/>
          <w:iCs/>
        </w:rPr>
        <w:t>Steavenson’s Falls, Victoria</w:t>
      </w:r>
      <w:r w:rsidRPr="001814D2">
        <w:t xml:space="preserve"> c1886–c1887, charcoal, white gouache on laid paper, accessioned 2020; A Henry Fullwood, </w:t>
      </w:r>
      <w:r w:rsidRPr="001814D2">
        <w:rPr>
          <w:i/>
          <w:iCs/>
        </w:rPr>
        <w:t>Jervis Bay and Shoalhaven River</w:t>
      </w:r>
      <w:r w:rsidRPr="001814D2">
        <w:t xml:space="preserve">, </w:t>
      </w:r>
      <w:r w:rsidRPr="001814D2">
        <w:rPr>
          <w:i/>
          <w:iCs/>
        </w:rPr>
        <w:t>New South Wales</w:t>
      </w:r>
      <w:r w:rsidRPr="001814D2">
        <w:t xml:space="preserve"> 1891, pencil, watercolour, scraping out, purchased 1891; </w:t>
      </w:r>
      <w:r w:rsidRPr="001814D2">
        <w:rPr>
          <w:i/>
          <w:iCs/>
        </w:rPr>
        <w:t>Kangaroo</w:t>
      </w:r>
      <w:r w:rsidRPr="001814D2">
        <w:t xml:space="preserve"> </w:t>
      </w:r>
      <w:r w:rsidRPr="001814D2">
        <w:rPr>
          <w:i/>
          <w:iCs/>
        </w:rPr>
        <w:t>Valley, New South Wales</w:t>
      </w:r>
      <w:r w:rsidRPr="001814D2">
        <w:t xml:space="preserve"> 1891, pencil, watercolour, opaque white highlights, purchased 1891; </w:t>
      </w:r>
      <w:r w:rsidRPr="001814D2">
        <w:rPr>
          <w:i/>
          <w:iCs/>
        </w:rPr>
        <w:t>Old Mosman’s, Sydney</w:t>
      </w:r>
      <w:r w:rsidRPr="001814D2">
        <w:t xml:space="preserve"> 1890, etching, printed in black ink with pale plate tone on ivory wove paper, Wendy Barron Bequest Fund 2015; </w:t>
      </w:r>
      <w:r w:rsidRPr="001814D2">
        <w:rPr>
          <w:i/>
          <w:iCs/>
        </w:rPr>
        <w:t>Old Sydney, Rocks</w:t>
      </w:r>
      <w:r w:rsidRPr="001814D2">
        <w:t xml:space="preserve"> 1898, etching, printed in black ink on cream paper, purchased 1923; </w:t>
      </w:r>
      <w:r w:rsidRPr="001814D2">
        <w:rPr>
          <w:i/>
          <w:iCs/>
        </w:rPr>
        <w:t>Reflections</w:t>
      </w:r>
      <w:r w:rsidRPr="001814D2">
        <w:t xml:space="preserve"> 1898, pastel on brown laid paper, purchased 1898; </w:t>
      </w:r>
      <w:r w:rsidRPr="001814D2">
        <w:rPr>
          <w:i/>
          <w:iCs/>
        </w:rPr>
        <w:t>Wet evening, George Street, Sydney</w:t>
      </w:r>
      <w:r w:rsidRPr="001814D2">
        <w:t xml:space="preserve"> 1889, charcoal, white pastel and stump, purchased 1889; John Mather </w:t>
      </w:r>
      <w:r w:rsidRPr="001814D2">
        <w:rPr>
          <w:i/>
          <w:iCs/>
        </w:rPr>
        <w:t>Mosman’s Bay</w:t>
      </w:r>
      <w:r w:rsidRPr="001814D2">
        <w:t xml:space="preserve"> 1889, pencil, watercolour, white gouache, purchased 1890; Livingston Hopkins </w:t>
      </w:r>
      <w:r w:rsidRPr="001814D2">
        <w:rPr>
          <w:i/>
          <w:iCs/>
        </w:rPr>
        <w:t>River scene: on the Hawkesbury</w:t>
      </w:r>
      <w:r w:rsidRPr="001814D2">
        <w:t xml:space="preserve"> 1891, etching, printed in brown ink on paper, gift of Sir Kenneth Street 1962; </w:t>
      </w:r>
      <w:r w:rsidRPr="001814D2">
        <w:rPr>
          <w:i/>
          <w:iCs/>
        </w:rPr>
        <w:t>View of The Rocks, Old Sydney</w:t>
      </w:r>
      <w:r w:rsidRPr="001814D2">
        <w:t xml:space="preserve"> 1886, etching, printed in brown ink with pale plate tone on ivory wove paper, purchased 1990; WC Piguenit </w:t>
      </w:r>
      <w:r w:rsidRPr="001814D2">
        <w:rPr>
          <w:i/>
          <w:iCs/>
        </w:rPr>
        <w:t>The Upper Nepean</w:t>
      </w:r>
      <w:r w:rsidRPr="001814D2">
        <w:t xml:space="preserve"> 1889, oil on canvas, purchased 1889; Félix Buhot </w:t>
      </w:r>
      <w:r w:rsidRPr="001814D2">
        <w:rPr>
          <w:i/>
          <w:iCs/>
        </w:rPr>
        <w:t>Westminster Bridge</w:t>
      </w:r>
      <w:r w:rsidRPr="001814D2">
        <w:t xml:space="preserve"> c1884, etching with drypoint and aquatint on artificial parchment, purchased 1986; </w:t>
      </w:r>
      <w:r w:rsidRPr="001814D2">
        <w:rPr>
          <w:i/>
          <w:iCs/>
        </w:rPr>
        <w:t>L’hiver à Paris</w:t>
      </w:r>
      <w:r w:rsidRPr="001814D2">
        <w:t xml:space="preserve"> 1879, etching, aquatint and drypoint, gift of Iphy Kallinikos 2017 </w:t>
      </w:r>
    </w:p>
    <w:p w14:paraId="5373A769" w14:textId="77777777" w:rsidR="009103CC" w:rsidRPr="001814D2" w:rsidRDefault="009103CC" w:rsidP="009103CC">
      <w:pPr>
        <w:pStyle w:val="Listitemasbody"/>
      </w:pPr>
      <w:r w:rsidRPr="008E0ACA">
        <w:rPr>
          <w:b/>
          <w:bCs/>
        </w:rPr>
        <w:t>National Portrait Gallery</w:t>
      </w:r>
      <w:r w:rsidRPr="001814D2">
        <w:t xml:space="preserve"> </w:t>
      </w:r>
      <w:r w:rsidRPr="001814D2">
        <w:rPr>
          <w:i/>
          <w:iCs/>
        </w:rPr>
        <w:t xml:space="preserve">Australian Love Stories, </w:t>
      </w:r>
      <w:r w:rsidRPr="001814D2">
        <w:t xml:space="preserve">20 March – 1 August 2021: Tom Roberts </w:t>
      </w:r>
      <w:r w:rsidRPr="001814D2">
        <w:rPr>
          <w:i/>
          <w:iCs/>
        </w:rPr>
        <w:t>Self portrait</w:t>
      </w:r>
      <w:r w:rsidRPr="001814D2">
        <w:t xml:space="preserve"> 1924, oil on canvas, gift of the artist at the request of the Trustees 1924</w:t>
      </w:r>
    </w:p>
    <w:p w14:paraId="16EA4B7A" w14:textId="77777777" w:rsidR="009103CC" w:rsidRPr="001814D2" w:rsidRDefault="009103CC" w:rsidP="009103CC">
      <w:pPr>
        <w:pStyle w:val="Listitemasbody"/>
      </w:pPr>
      <w:r w:rsidRPr="001814D2">
        <w:rPr>
          <w:b/>
          <w:bCs/>
        </w:rPr>
        <w:t>National Gallery of Victoria</w:t>
      </w:r>
      <w:r w:rsidRPr="001814D2">
        <w:t xml:space="preserve"> </w:t>
      </w:r>
      <w:r w:rsidRPr="001814D2">
        <w:rPr>
          <w:i/>
          <w:iCs/>
        </w:rPr>
        <w:t xml:space="preserve">She-oak and Sunlight: Australian Impressionism, </w:t>
      </w:r>
      <w:r w:rsidRPr="001814D2">
        <w:t xml:space="preserve">Ian Potter Centre: NGV Australia, 2 April – 22 August 2021: Charles Conder </w:t>
      </w:r>
      <w:r w:rsidRPr="001814D2">
        <w:rPr>
          <w:i/>
          <w:iCs/>
        </w:rPr>
        <w:t>Bronte, Queen’s Birthday</w:t>
      </w:r>
      <w:r w:rsidRPr="001814D2">
        <w:t xml:space="preserve"> 1888, oil on wood panel, purchased 2017 with funds provided by the Australian Masterpiece Fund, including the following major donors: Barbara Gole (in memory of), Antoinette Albert, Andrew Cameron AM &amp; Cathy Cameron, Rowena Danziger AM &amp; Ken Coles AM, Kiera Grant, Alexandra Joel &amp; Philip Mason, Carole Lamerton &amp; John Courtney, Alf Moufarrige AO, Elizabeth Ramsden, Susan Rothwell, Denis Savill, Penelope Seidler AM, Denyse Spice, Georgie Taylor, Max and Nola Tegel, Ruth Vincent; </w:t>
      </w:r>
      <w:r w:rsidRPr="001814D2">
        <w:rPr>
          <w:i/>
          <w:iCs/>
        </w:rPr>
        <w:t>An Impressionist (Tom Roberts)</w:t>
      </w:r>
      <w:r w:rsidRPr="001814D2">
        <w:t xml:space="preserve"> c1889, oil on cedar panel, purchased with funds provided by the Art Gallery Society of NSW 1997; E Phillips Fox </w:t>
      </w:r>
      <w:r w:rsidRPr="001814D2">
        <w:rPr>
          <w:i/>
          <w:iCs/>
        </w:rPr>
        <w:t>Art students</w:t>
      </w:r>
      <w:r w:rsidRPr="001814D2">
        <w:t xml:space="preserve"> 1895, oil on canvas, purchased 1943; Grace Joel </w:t>
      </w:r>
      <w:r w:rsidRPr="001814D2">
        <w:rPr>
          <w:i/>
          <w:iCs/>
        </w:rPr>
        <w:t xml:space="preserve">Portrait of GP </w:t>
      </w:r>
      <w:r w:rsidRPr="001814D2">
        <w:rPr>
          <w:i/>
          <w:iCs/>
        </w:rPr>
        <w:lastRenderedPageBreak/>
        <w:t>Nerli</w:t>
      </w:r>
      <w:r w:rsidRPr="001814D2">
        <w:t xml:space="preserve"> mid 1890s, oil on canvas on plywood; Grace Joel </w:t>
      </w:r>
      <w:r w:rsidRPr="001814D2">
        <w:rPr>
          <w:i/>
          <w:iCs/>
        </w:rPr>
        <w:t xml:space="preserve">Arthur Streeton </w:t>
      </w:r>
      <w:r w:rsidRPr="001814D2">
        <w:t>–</w:t>
      </w:r>
      <w:r w:rsidRPr="001814D2">
        <w:rPr>
          <w:i/>
          <w:iCs/>
        </w:rPr>
        <w:t xml:space="preserve"> a sketch-portrait</w:t>
      </w:r>
      <w:r w:rsidRPr="001814D2">
        <w:t xml:space="preserve"> c1900–05, oil on canvas, later mounted on hardboard, Bequest of Miss Joel 1925; George Lambert </w:t>
      </w:r>
      <w:r w:rsidRPr="001814D2">
        <w:rPr>
          <w:i/>
          <w:iCs/>
        </w:rPr>
        <w:t>Arthur Streeton</w:t>
      </w:r>
      <w:r w:rsidRPr="001814D2">
        <w:t xml:space="preserve"> 1906, pencil on buff wove paper, Edward Stinson Bequest Fund 1999; John Longstaff </w:t>
      </w:r>
      <w:r w:rsidRPr="001814D2">
        <w:rPr>
          <w:i/>
          <w:iCs/>
        </w:rPr>
        <w:t>Julian Ashton</w:t>
      </w:r>
      <w:r w:rsidRPr="001814D2">
        <w:t xml:space="preserve"> 1898, oil on canvas, gift of Julian Ashton 1940; Frederick McCubbin </w:t>
      </w:r>
      <w:r w:rsidRPr="001814D2">
        <w:rPr>
          <w:i/>
          <w:iCs/>
        </w:rPr>
        <w:t>Self-portrait</w:t>
      </w:r>
      <w:r w:rsidRPr="001814D2">
        <w:t xml:space="preserve"> 1886, oil on canvas on hardboard, purchased 1951; Elizabeth Mahony </w:t>
      </w:r>
      <w:r w:rsidRPr="001814D2">
        <w:rPr>
          <w:i/>
          <w:iCs/>
        </w:rPr>
        <w:t>Tom Roberts, Sydney</w:t>
      </w:r>
      <w:r w:rsidRPr="001814D2">
        <w:t xml:space="preserve"> c1920s, gelatin silver photograph, purchased 1984; Alice Mills </w:t>
      </w:r>
      <w:r w:rsidRPr="001814D2">
        <w:rPr>
          <w:i/>
          <w:iCs/>
        </w:rPr>
        <w:t>Untitled (Portrait of Arthur Streeton</w:t>
      </w:r>
      <w:r w:rsidRPr="001814D2">
        <w:t xml:space="preserve">) 1907, platinotype gelatin silver photograph, purchased 1983; Sir William Orpen </w:t>
      </w:r>
      <w:r w:rsidRPr="001814D2">
        <w:rPr>
          <w:i/>
          <w:iCs/>
        </w:rPr>
        <w:t>Charles Conder</w:t>
      </w:r>
      <w:r w:rsidRPr="001814D2">
        <w:t xml:space="preserve"> 1900, pencil, gift of Howard Hinton 1931; Tom Roberts </w:t>
      </w:r>
      <w:r w:rsidRPr="001814D2">
        <w:rPr>
          <w:i/>
          <w:iCs/>
        </w:rPr>
        <w:t>Smike Streeton age 24</w:t>
      </w:r>
      <w:r w:rsidRPr="001814D2">
        <w:t xml:space="preserve"> 1891, oil on canvas, purchased 1945; </w:t>
      </w:r>
      <w:r w:rsidRPr="001814D2">
        <w:rPr>
          <w:i/>
          <w:iCs/>
        </w:rPr>
        <w:t>Holiday sketch at Coogee</w:t>
      </w:r>
      <w:r w:rsidRPr="001814D2">
        <w:t xml:space="preserve"> 1888, oil on canvas, purchased 1954; </w:t>
      </w:r>
      <w:r w:rsidRPr="001814D2">
        <w:rPr>
          <w:i/>
          <w:iCs/>
        </w:rPr>
        <w:t>Fog, Thames Embankment</w:t>
      </w:r>
      <w:r w:rsidRPr="001814D2">
        <w:t xml:space="preserve"> 1884, oil on paperboard, purchased with funds provided by the Gleeson O’Keefe Foundation 2008; </w:t>
      </w:r>
      <w:r w:rsidRPr="001814D2">
        <w:rPr>
          <w:i/>
          <w:iCs/>
        </w:rPr>
        <w:t>Evening train to Hawthorn</w:t>
      </w:r>
      <w:r w:rsidRPr="001814D2">
        <w:t xml:space="preserve"> c1889, oil on cedar panel, Edward Stinson Bequest Fund 1991; </w:t>
      </w:r>
      <w:r w:rsidRPr="001814D2">
        <w:rPr>
          <w:i/>
          <w:iCs/>
        </w:rPr>
        <w:t>Eileen</w:t>
      </w:r>
      <w:r w:rsidRPr="001814D2">
        <w:t xml:space="preserve"> 1892, oil on canvas, purchased 1892; </w:t>
      </w:r>
      <w:r w:rsidRPr="001814D2">
        <w:rPr>
          <w:i/>
          <w:iCs/>
        </w:rPr>
        <w:t>The camp, Sirius Cove</w:t>
      </w:r>
      <w:r w:rsidRPr="001814D2">
        <w:t xml:space="preserve"> 1899, oil on canvas on paperboard, purchased 1940; </w:t>
      </w:r>
      <w:r w:rsidRPr="001814D2">
        <w:rPr>
          <w:i/>
          <w:iCs/>
        </w:rPr>
        <w:t>Bailed up</w:t>
      </w:r>
      <w:r w:rsidRPr="001814D2">
        <w:t xml:space="preserve"> 1895, 1927, oil on canvas, purchased 1933; John Russell </w:t>
      </w:r>
      <w:r w:rsidRPr="001814D2">
        <w:rPr>
          <w:i/>
          <w:iCs/>
        </w:rPr>
        <w:t>Madame Sisley on</w:t>
      </w:r>
      <w:r w:rsidRPr="001814D2">
        <w:t xml:space="preserve"> </w:t>
      </w:r>
      <w:r w:rsidRPr="001814D2">
        <w:rPr>
          <w:i/>
          <w:iCs/>
        </w:rPr>
        <w:t>the banks of the Loing at Moret</w:t>
      </w:r>
      <w:r w:rsidRPr="001814D2">
        <w:t xml:space="preserve"> 1887, oil on canvas, purchased with assistance from the Margaret Hannah Olley Art Trust 1996; Arthur Streeton </w:t>
      </w:r>
      <w:r w:rsidRPr="001814D2">
        <w:rPr>
          <w:i/>
          <w:iCs/>
        </w:rPr>
        <w:t>‘Still glides the stream,</w:t>
      </w:r>
      <w:r w:rsidRPr="001814D2">
        <w:t xml:space="preserve"> </w:t>
      </w:r>
      <w:r w:rsidRPr="001814D2">
        <w:rPr>
          <w:i/>
          <w:iCs/>
        </w:rPr>
        <w:t>and shall for ever glide’</w:t>
      </w:r>
      <w:r w:rsidRPr="001814D2">
        <w:t xml:space="preserve"> 1890, oil on canvas, later mounted on hardboard, purchased 1890; </w:t>
      </w:r>
      <w:r w:rsidRPr="001814D2">
        <w:rPr>
          <w:i/>
          <w:iCs/>
        </w:rPr>
        <w:t>A road to the ranges</w:t>
      </w:r>
      <w:r w:rsidRPr="001814D2">
        <w:t xml:space="preserve"> 1889, oil on cardboard, gift of Robert Albert AO 2013, donated through the Australian Government’s Cultural Gifts Program; </w:t>
      </w:r>
      <w:r w:rsidRPr="001814D2">
        <w:rPr>
          <w:i/>
          <w:iCs/>
        </w:rPr>
        <w:t xml:space="preserve">The national game </w:t>
      </w:r>
      <w:r w:rsidRPr="001814D2">
        <w:t xml:space="preserve">1889, oil on cardboard, purchased 1963; </w:t>
      </w:r>
      <w:r w:rsidRPr="001814D2">
        <w:rPr>
          <w:i/>
          <w:iCs/>
        </w:rPr>
        <w:t>The railway station, Redfern</w:t>
      </w:r>
      <w:r w:rsidRPr="001814D2">
        <w:t xml:space="preserve"> 1893, oil on canvas, gift of Lady Denison 1942; </w:t>
      </w:r>
      <w:r w:rsidRPr="001814D2">
        <w:rPr>
          <w:i/>
          <w:iCs/>
        </w:rPr>
        <w:t>Fireman’s funeral, George Street</w:t>
      </w:r>
      <w:r w:rsidRPr="001814D2">
        <w:t xml:space="preserve"> 1894, oil on canvas, purchased 1980; </w:t>
      </w:r>
      <w:r w:rsidRPr="001814D2">
        <w:rPr>
          <w:i/>
          <w:iCs/>
        </w:rPr>
        <w:t>‘What thou</w:t>
      </w:r>
      <w:r w:rsidRPr="001814D2">
        <w:t xml:space="preserve"> </w:t>
      </w:r>
      <w:r w:rsidRPr="001814D2">
        <w:rPr>
          <w:i/>
          <w:iCs/>
        </w:rPr>
        <w:t>amongst the leaves hast never known’</w:t>
      </w:r>
      <w:r w:rsidRPr="001814D2">
        <w:t xml:space="preserve"> 1896, oil on wood, gift of Dr Joseph Brown 1991; </w:t>
      </w:r>
      <w:r w:rsidRPr="001814D2">
        <w:rPr>
          <w:i/>
          <w:iCs/>
        </w:rPr>
        <w:t>Fire’s on</w:t>
      </w:r>
      <w:r w:rsidRPr="001814D2">
        <w:t xml:space="preserve"> 1891, oil on canvas, purchased 1893; Derwent Wood </w:t>
      </w:r>
      <w:r w:rsidRPr="001814D2">
        <w:rPr>
          <w:i/>
          <w:iCs/>
        </w:rPr>
        <w:t>Tom Roberts</w:t>
      </w:r>
      <w:r w:rsidRPr="001814D2">
        <w:t xml:space="preserve"> 1910, patinated plaster head, gift of Tom Roberts 1929; Barcroft Capel Boake </w:t>
      </w:r>
      <w:r w:rsidRPr="001814D2">
        <w:rPr>
          <w:i/>
          <w:iCs/>
        </w:rPr>
        <w:t>John Russell</w:t>
      </w:r>
      <w:r w:rsidRPr="001814D2">
        <w:t xml:space="preserve"> c1883, albumen photograph, carte-de visite, National Art Archive; McCarron, Stewart &amp; Co, Royal Art Society of New South Wales, Arthur Streeton </w:t>
      </w:r>
      <w:r w:rsidRPr="001814D2">
        <w:rPr>
          <w:i/>
          <w:iCs/>
        </w:rPr>
        <w:t>Fifteenth annual exhibition of the Art Society of New South Wales</w:t>
      </w:r>
      <w:r w:rsidRPr="001814D2">
        <w:t>, illustrated catalogue 1894, commercially printed string bound book of sixty-six pages, Art Gallery of New South Wales institutional archive; Charles Conder, Victorian Artists Society</w:t>
      </w:r>
      <w:r w:rsidRPr="001814D2">
        <w:rPr>
          <w:i/>
          <w:iCs/>
        </w:rPr>
        <w:t xml:space="preserve"> The Victorian Artists Society catalogue of Winter exhibition</w:t>
      </w:r>
      <w:r w:rsidRPr="001814D2">
        <w:t xml:space="preserve"> March 1890, Art Gallery of New South Wales institutional archive</w:t>
      </w:r>
    </w:p>
    <w:p w14:paraId="355E431D" w14:textId="77777777" w:rsidR="009103CC" w:rsidRPr="001814D2" w:rsidRDefault="009103CC" w:rsidP="009103CC">
      <w:pPr>
        <w:pStyle w:val="Listitemasbody"/>
      </w:pPr>
      <w:r w:rsidRPr="001814D2">
        <w:rPr>
          <w:b/>
          <w:bCs/>
        </w:rPr>
        <w:t>Drill Hall Gallery, Australian National University</w:t>
      </w:r>
      <w:r w:rsidRPr="001814D2">
        <w:t xml:space="preserve"> </w:t>
      </w:r>
      <w:r w:rsidRPr="001814D2">
        <w:rPr>
          <w:i/>
          <w:iCs/>
        </w:rPr>
        <w:t xml:space="preserve">Out of Place, </w:t>
      </w:r>
      <w:r w:rsidRPr="001814D2">
        <w:t xml:space="preserve">17 April – 13 June 2021: Janet Burchill and Jennifer McCamley </w:t>
      </w:r>
      <w:r w:rsidRPr="001814D2">
        <w:rPr>
          <w:i/>
          <w:iCs/>
        </w:rPr>
        <w:t>SAFE</w:t>
      </w:r>
      <w:r w:rsidRPr="001814D2">
        <w:t xml:space="preserve"> 2005, neon, electric cables, fittings and transformer, purchased with funds provided by Contemporary Collection Benefactors 2007 </w:t>
      </w:r>
    </w:p>
    <w:p w14:paraId="7C41876C" w14:textId="77777777" w:rsidR="009103CC" w:rsidRPr="001814D2" w:rsidRDefault="009103CC" w:rsidP="009103CC">
      <w:pPr>
        <w:pStyle w:val="Listitemasbody"/>
      </w:pPr>
      <w:r w:rsidRPr="001814D2">
        <w:rPr>
          <w:b/>
          <w:bCs/>
        </w:rPr>
        <w:t>Museum of Contemporary Art Australia</w:t>
      </w:r>
      <w:r w:rsidRPr="001814D2">
        <w:t xml:space="preserve"> </w:t>
      </w:r>
      <w:r w:rsidRPr="001814D2">
        <w:rPr>
          <w:i/>
          <w:iCs/>
        </w:rPr>
        <w:t xml:space="preserve">Richard Bell: You Can Go Now, </w:t>
      </w:r>
      <w:r w:rsidRPr="001814D2">
        <w:t xml:space="preserve">4 June – 29 August 2021: Richard Bell </w:t>
      </w:r>
      <w:r w:rsidRPr="001814D2">
        <w:rPr>
          <w:i/>
          <w:iCs/>
        </w:rPr>
        <w:t>Devine inspiration</w:t>
      </w:r>
      <w:r w:rsidRPr="001814D2">
        <w:t xml:space="preserve"> 1993, synthetic polymer paint and collage on canvas, text panel, purchased with funds provided by Contemporary Collection Benefactors 1993; </w:t>
      </w:r>
      <w:r w:rsidRPr="001814D2">
        <w:rPr>
          <w:i/>
          <w:iCs/>
        </w:rPr>
        <w:t>Pay the rent</w:t>
      </w:r>
      <w:r w:rsidRPr="001814D2">
        <w:t xml:space="preserve"> 2009, synthetic polymer paint on canvas, purchased 2010</w:t>
      </w:r>
    </w:p>
    <w:p w14:paraId="78F53CE8" w14:textId="77777777" w:rsidR="009103CC" w:rsidRPr="001814D2" w:rsidRDefault="009103CC" w:rsidP="009103CC">
      <w:pPr>
        <w:pStyle w:val="Listitemasbody"/>
      </w:pPr>
      <w:r w:rsidRPr="001814D2">
        <w:rPr>
          <w:b/>
          <w:bCs/>
        </w:rPr>
        <w:lastRenderedPageBreak/>
        <w:t>Auckland Art Gallery Toi o Tamaki</w:t>
      </w:r>
      <w:r w:rsidRPr="001814D2">
        <w:t xml:space="preserve"> </w:t>
      </w:r>
      <w:r w:rsidRPr="001814D2">
        <w:rPr>
          <w:i/>
          <w:iCs/>
        </w:rPr>
        <w:t xml:space="preserve">All That Was Solid Melts, </w:t>
      </w:r>
      <w:r w:rsidRPr="001814D2">
        <w:t xml:space="preserve">5 June –10 October 2021: Bill Viola </w:t>
      </w:r>
      <w:r w:rsidRPr="001814D2">
        <w:rPr>
          <w:i/>
          <w:iCs/>
        </w:rPr>
        <w:t>Observance</w:t>
      </w:r>
      <w:r w:rsidRPr="001814D2">
        <w:t xml:space="preserve"> 2002, digital tape (betacam) shown as single channel digital video, colour, silent, plasma screen, gift of the John Kaldor Family Collection 2011, donated through the Australian Government’s Cultural Gifts Program</w:t>
      </w:r>
    </w:p>
    <w:p w14:paraId="732E8817" w14:textId="77777777" w:rsidR="009103CC" w:rsidRPr="001814D2" w:rsidRDefault="009103CC" w:rsidP="009103CC">
      <w:pPr>
        <w:pStyle w:val="Listitemasbody"/>
      </w:pPr>
      <w:r w:rsidRPr="001814D2">
        <w:rPr>
          <w:b/>
          <w:bCs/>
        </w:rPr>
        <w:t>National Art School</w:t>
      </w:r>
      <w:r w:rsidRPr="001814D2">
        <w:t xml:space="preserve"> </w:t>
      </w:r>
      <w:r w:rsidRPr="001814D2">
        <w:rPr>
          <w:i/>
          <w:iCs/>
        </w:rPr>
        <w:t xml:space="preserve">John Olsen: Goya’s Dog, </w:t>
      </w:r>
      <w:r w:rsidRPr="001814D2">
        <w:t xml:space="preserve">11 June – 7 August 2021: John Olsen </w:t>
      </w:r>
      <w:r w:rsidRPr="001814D2">
        <w:rPr>
          <w:i/>
          <w:iCs/>
        </w:rPr>
        <w:t>Spanish encounter</w:t>
      </w:r>
      <w:r w:rsidRPr="001814D2">
        <w:t xml:space="preserve"> 1960, triptych: oil on hardboard, purchased 1960; </w:t>
      </w:r>
      <w:r w:rsidRPr="001814D2">
        <w:rPr>
          <w:i/>
          <w:iCs/>
        </w:rPr>
        <w:t>Golden summer, Clarendon</w:t>
      </w:r>
      <w:r w:rsidRPr="001814D2">
        <w:t xml:space="preserve"> 1983, oil on hardboard, purchased with the assistance of Salomon Brothers 1985; </w:t>
      </w:r>
      <w:r w:rsidRPr="001814D2">
        <w:rPr>
          <w:i/>
          <w:iCs/>
        </w:rPr>
        <w:t>Australian flux</w:t>
      </w:r>
      <w:r w:rsidRPr="001814D2">
        <w:t xml:space="preserve"> 1960, charcoal, watercolour, gouache on ivory wove paper, gift of Terry Clune and the artist 1960; </w:t>
      </w:r>
      <w:r w:rsidRPr="001814D2">
        <w:rPr>
          <w:i/>
          <w:iCs/>
        </w:rPr>
        <w:t>Nightfall, when wattle stains the</w:t>
      </w:r>
      <w:r w:rsidRPr="001814D2">
        <w:t xml:space="preserve"> </w:t>
      </w:r>
      <w:r w:rsidRPr="001814D2">
        <w:rPr>
          <w:i/>
          <w:iCs/>
        </w:rPr>
        <w:t>doubting heart</w:t>
      </w:r>
      <w:r w:rsidRPr="001814D2">
        <w:t xml:space="preserve"> 1980, oil on canvas, purchased 1981; </w:t>
      </w:r>
      <w:r w:rsidRPr="001814D2">
        <w:rPr>
          <w:i/>
          <w:iCs/>
        </w:rPr>
        <w:t>Head of a countryman (Self-portrait)</w:t>
      </w:r>
      <w:r w:rsidRPr="001814D2">
        <w:t xml:space="preserve"> 1994, charcoal, pastel, gift of the artist 1996</w:t>
      </w:r>
    </w:p>
    <w:p w14:paraId="5B27C547" w14:textId="77777777" w:rsidR="009103CC" w:rsidRPr="001814D2" w:rsidRDefault="009103CC" w:rsidP="009103CC">
      <w:pPr>
        <w:pStyle w:val="Listitemasbody"/>
      </w:pPr>
      <w:r w:rsidRPr="001814D2">
        <w:rPr>
          <w:b/>
          <w:bCs/>
        </w:rPr>
        <w:t>Art Gallery of South Australia</w:t>
      </w:r>
      <w:r w:rsidRPr="001814D2">
        <w:t xml:space="preserve"> </w:t>
      </w:r>
      <w:r w:rsidRPr="001814D2">
        <w:rPr>
          <w:i/>
          <w:iCs/>
        </w:rPr>
        <w:t xml:space="preserve">Dušan and Voitre: Surrealists at Sea, </w:t>
      </w:r>
      <w:r w:rsidRPr="001814D2">
        <w:t xml:space="preserve">19 June – 12 September 2021: Dušan Marek </w:t>
      </w:r>
      <w:r w:rsidRPr="001814D2">
        <w:rPr>
          <w:i/>
          <w:iCs/>
        </w:rPr>
        <w:t>Ego</w:t>
      </w:r>
      <w:r w:rsidRPr="001814D2">
        <w:t xml:space="preserve"> 1951–52, oil on canvas on cardboard, purchased 1976; </w:t>
      </w:r>
      <w:r w:rsidRPr="001814D2">
        <w:rPr>
          <w:i/>
          <w:iCs/>
        </w:rPr>
        <w:t>Sketchbook</w:t>
      </w:r>
      <w:r w:rsidRPr="001814D2">
        <w:t xml:space="preserve"> 1990, bound sketchbook: twelve leaves, fourteen drawings, black fibre-tipped pen on white Montval Canson 300gsm watercolour paper; </w:t>
      </w:r>
      <w:r w:rsidRPr="001814D2">
        <w:rPr>
          <w:i/>
          <w:iCs/>
        </w:rPr>
        <w:t>(Untitled)</w:t>
      </w:r>
      <w:r w:rsidRPr="001814D2">
        <w:t xml:space="preserve"> 1990, black and brown fine felt-tip pen; </w:t>
      </w:r>
      <w:r w:rsidRPr="001814D2">
        <w:rPr>
          <w:i/>
          <w:iCs/>
        </w:rPr>
        <w:t>(Untitled)</w:t>
      </w:r>
      <w:r w:rsidRPr="001814D2">
        <w:t xml:space="preserve"> 1972, black ballpoint pen, black felt-tip pen; </w:t>
      </w:r>
      <w:r w:rsidRPr="001814D2">
        <w:rPr>
          <w:i/>
          <w:iCs/>
        </w:rPr>
        <w:t>(Untitled)</w:t>
      </w:r>
      <w:r w:rsidRPr="001814D2">
        <w:t xml:space="preserve"> 1972, black ballpoint pen, black felt-tip pen, gift of James Agapitos and Ray Wilson 1997; </w:t>
      </w:r>
      <w:r w:rsidRPr="001814D2">
        <w:rPr>
          <w:i/>
          <w:iCs/>
        </w:rPr>
        <w:t>Impressions</w:t>
      </w:r>
      <w:r w:rsidRPr="001814D2">
        <w:t xml:space="preserve"> </w:t>
      </w:r>
      <w:r w:rsidRPr="001814D2">
        <w:rPr>
          <w:i/>
          <w:iCs/>
        </w:rPr>
        <w:t>from France</w:t>
      </w:r>
      <w:r w:rsidRPr="001814D2">
        <w:t xml:space="preserve"> 1985, bound book: twenty-one leaves, thirty-two drawings, gouache and watercolour, gift of James Agapitos and Ray Wilson 2002</w:t>
      </w:r>
    </w:p>
    <w:p w14:paraId="1FC8166D" w14:textId="77777777" w:rsidR="009103CC" w:rsidRPr="001814D2" w:rsidRDefault="009103CC" w:rsidP="009103CC">
      <w:pPr>
        <w:pStyle w:val="Listitemasbody"/>
      </w:pPr>
      <w:r w:rsidRPr="001814D2">
        <w:rPr>
          <w:b/>
          <w:bCs/>
        </w:rPr>
        <w:t>The Metropolitan Museum of Art</w:t>
      </w:r>
      <w:r w:rsidRPr="001814D2">
        <w:t xml:space="preserve"> </w:t>
      </w:r>
      <w:r w:rsidRPr="001814D2">
        <w:rPr>
          <w:i/>
          <w:iCs/>
        </w:rPr>
        <w:t xml:space="preserve">Portraits, Power and Identity: Florence under Cosimo I de’ Medici, </w:t>
      </w:r>
      <w:r w:rsidRPr="001814D2">
        <w:t xml:space="preserve">21 June – 11 October 2021: Agnolo Bronzino </w:t>
      </w:r>
      <w:r w:rsidRPr="001814D2">
        <w:rPr>
          <w:i/>
          <w:iCs/>
        </w:rPr>
        <w:t>Cosimo I de’ Medici in armour</w:t>
      </w:r>
      <w:r w:rsidRPr="001814D2">
        <w:t xml:space="preserve"> c1545, oil on poplar panel, Art Gallery of New South Wales Foundation Purchase 1996</w:t>
      </w:r>
    </w:p>
    <w:p w14:paraId="5A112112" w14:textId="77777777" w:rsidR="009103CC" w:rsidRPr="001814D2" w:rsidRDefault="009103CC" w:rsidP="009103CC">
      <w:pPr>
        <w:pStyle w:val="Listitemasbody"/>
      </w:pPr>
      <w:r w:rsidRPr="001814D2">
        <w:rPr>
          <w:b/>
          <w:bCs/>
        </w:rPr>
        <w:t>Australian Centre for Contemporary Art</w:t>
      </w:r>
      <w:r w:rsidRPr="001814D2">
        <w:t xml:space="preserve"> </w:t>
      </w:r>
      <w:r w:rsidRPr="001814D2">
        <w:rPr>
          <w:i/>
          <w:iCs/>
        </w:rPr>
        <w:t xml:space="preserve">A Biography of Daphne, </w:t>
      </w:r>
      <w:r w:rsidRPr="001814D2">
        <w:t xml:space="preserve">26 June – 5 September 2021: Agostino dei Musi </w:t>
      </w:r>
      <w:r w:rsidRPr="001814D2">
        <w:rPr>
          <w:i/>
          <w:iCs/>
        </w:rPr>
        <w:t>Apollo and Daphne</w:t>
      </w:r>
      <w:r w:rsidRPr="001814D2">
        <w:t xml:space="preserve"> 1515, engraving, purchased 1937</w:t>
      </w:r>
    </w:p>
    <w:p w14:paraId="5E2EA8B2" w14:textId="77777777" w:rsidR="009103CC" w:rsidRPr="001814D2" w:rsidRDefault="009103CC" w:rsidP="009103CC">
      <w:pPr>
        <w:pStyle w:val="Listitemasbody"/>
      </w:pPr>
      <w:r w:rsidRPr="001814D2">
        <w:rPr>
          <w:b/>
          <w:bCs/>
        </w:rPr>
        <w:t>New South Wales Parliament House, Office of Speaker of the Legislative Assembly</w:t>
      </w:r>
      <w:r w:rsidRPr="001814D2">
        <w:t xml:space="preserve"> Furnishing loan (renewed), 1 October 2020 – 31 January 2022: Michael Shannon </w:t>
      </w:r>
      <w:r w:rsidRPr="001814D2">
        <w:rPr>
          <w:i/>
          <w:iCs/>
        </w:rPr>
        <w:t>Autumn landscape</w:t>
      </w:r>
      <w:r w:rsidRPr="001814D2">
        <w:t xml:space="preserve">, </w:t>
      </w:r>
      <w:r w:rsidRPr="001814D2">
        <w:rPr>
          <w:i/>
          <w:iCs/>
        </w:rPr>
        <w:t>Heathcote no 1</w:t>
      </w:r>
      <w:r w:rsidRPr="001814D2">
        <w:t xml:space="preserve"> 1985, oil on canvas, purchased 1988; Thelma Hulbert </w:t>
      </w:r>
      <w:r w:rsidRPr="001814D2">
        <w:rPr>
          <w:i/>
          <w:iCs/>
        </w:rPr>
        <w:t>Mecklenburgh Square</w:t>
      </w:r>
      <w:r w:rsidRPr="001814D2">
        <w:t xml:space="preserve"> 1947, oil on canvas, purchased 1952; Clifford Hall </w:t>
      </w:r>
      <w:r w:rsidRPr="001814D2">
        <w:rPr>
          <w:i/>
          <w:iCs/>
        </w:rPr>
        <w:t>Maida Vale in snow</w:t>
      </w:r>
      <w:r w:rsidRPr="001814D2">
        <w:t xml:space="preserve"> c1947, oil on hardboard, purchased 1947; Edgar Holding </w:t>
      </w:r>
      <w:r w:rsidRPr="001814D2">
        <w:rPr>
          <w:i/>
          <w:iCs/>
        </w:rPr>
        <w:t xml:space="preserve">Littlehampton </w:t>
      </w:r>
      <w:r w:rsidRPr="001814D2">
        <w:t xml:space="preserve">undated, oil on pulpboard, purchased 1957; Robert Campbell </w:t>
      </w:r>
      <w:r w:rsidRPr="001814D2">
        <w:rPr>
          <w:i/>
          <w:iCs/>
        </w:rPr>
        <w:t>Avenue du</w:t>
      </w:r>
      <w:r w:rsidRPr="001814D2">
        <w:t xml:space="preserve"> </w:t>
      </w:r>
      <w:r w:rsidRPr="001814D2">
        <w:rPr>
          <w:i/>
          <w:iCs/>
        </w:rPr>
        <w:t>Maine, Paris</w:t>
      </w:r>
      <w:r w:rsidRPr="001814D2">
        <w:t xml:space="preserve"> c1930, oil on canvas, purchased 1963; Charles Bryant </w:t>
      </w:r>
      <w:r w:rsidRPr="001814D2">
        <w:rPr>
          <w:i/>
          <w:iCs/>
        </w:rPr>
        <w:t>Low tide, St Ives</w:t>
      </w:r>
      <w:r w:rsidRPr="001814D2">
        <w:t xml:space="preserve"> undated, oil on canvas, purchased 1922; Jack Carington Smith </w:t>
      </w:r>
      <w:r w:rsidRPr="001814D2">
        <w:rPr>
          <w:i/>
          <w:iCs/>
        </w:rPr>
        <w:t>Regatta, Sandy Bay</w:t>
      </w:r>
      <w:r w:rsidRPr="001814D2">
        <w:t xml:space="preserve"> 1949, oil on canvas, purchased 1949; Eugene Crick Claux </w:t>
      </w:r>
      <w:r w:rsidRPr="001814D2">
        <w:rPr>
          <w:i/>
          <w:iCs/>
        </w:rPr>
        <w:t>Street</w:t>
      </w:r>
      <w:r w:rsidRPr="001814D2">
        <w:t xml:space="preserve"> </w:t>
      </w:r>
      <w:r w:rsidRPr="001814D2">
        <w:rPr>
          <w:i/>
          <w:iCs/>
        </w:rPr>
        <w:t xml:space="preserve">scene </w:t>
      </w:r>
      <w:r w:rsidRPr="001814D2">
        <w:t xml:space="preserve">undated, oil on canvas, purchased 1950; George Lawrence </w:t>
      </w:r>
      <w:r w:rsidRPr="001814D2">
        <w:rPr>
          <w:i/>
          <w:iCs/>
        </w:rPr>
        <w:t>Foveaux Street, Surry Hills</w:t>
      </w:r>
      <w:r w:rsidRPr="001814D2">
        <w:t xml:space="preserve"> 1945, oil on canvas on paperboard, purchased 1945; Clem Millward </w:t>
      </w:r>
      <w:r w:rsidRPr="001814D2">
        <w:rPr>
          <w:i/>
          <w:iCs/>
        </w:rPr>
        <w:t>Red ground near Weipa</w:t>
      </w:r>
      <w:r w:rsidRPr="001814D2">
        <w:t xml:space="preserve"> 1977–78, oil on canvas, gift of John Brackenreg OBE 1978</w:t>
      </w:r>
    </w:p>
    <w:p w14:paraId="3F0AA9DA" w14:textId="77777777" w:rsidR="009103CC" w:rsidRPr="001814D2" w:rsidRDefault="009103CC" w:rsidP="009103CC">
      <w:pPr>
        <w:pStyle w:val="ARheading3"/>
      </w:pPr>
      <w:r w:rsidRPr="001814D2">
        <w:lastRenderedPageBreak/>
        <w:t>Conservation</w:t>
      </w:r>
    </w:p>
    <w:p w14:paraId="1722ED56" w14:textId="77777777" w:rsidR="009103CC" w:rsidRPr="001814D2" w:rsidRDefault="009103CC" w:rsidP="009103CC">
      <w:pPr>
        <w:pStyle w:val="ARbody"/>
      </w:pPr>
      <w:r w:rsidRPr="001814D2">
        <w:t xml:space="preserve">This year in Conservation, over 2800 works were assessed and prepared for display, exhibition, outward loan and touring exhibitions. The department also assessed 323 new acquisitions and prepared them for storage as required. </w:t>
      </w:r>
    </w:p>
    <w:p w14:paraId="31F7A741" w14:textId="77777777" w:rsidR="009103CC" w:rsidRPr="001814D2" w:rsidRDefault="009103CC" w:rsidP="009103CC">
      <w:pPr>
        <w:pStyle w:val="ARbody"/>
      </w:pPr>
      <w:r w:rsidRPr="001814D2">
        <w:t xml:space="preserve">In addition to preparing works for all Art Gallery exhibitions in 2020–21, the Conservation Department has been undertaking a major conservation project associated with the refurbishment of the Grand Courts with over 480 artworks being treated and prepared for display. This major conservation project would not have been possible without the generous support of The Pohl Foundation, Sally White OAM, The Howarth Foundation and Conservation Benefactors. Artworks across a range of media from paintings, objects, watercolours and drawings through to archival material and contemporary photography have been prepared for display in the Grand Courts. This work has included dusting, cleaning and consolidating fragile paint, putting glass on vulnerable works, securing paintings and works on paper in frames and preparing mounts, frames and new display systems. Major conservation treatments on works by Hugh Ramsay, Thomas Dicksee, Gordon Coutts, Benjamin Edwin Minns, Conrad Martens, John Skinner Prout and Joseph Backler will allow the Art Gallery to highlight some key works for the new display. </w:t>
      </w:r>
    </w:p>
    <w:p w14:paraId="04D82622" w14:textId="77777777" w:rsidR="009103CC" w:rsidRPr="001814D2" w:rsidRDefault="009103CC" w:rsidP="009103CC">
      <w:pPr>
        <w:pStyle w:val="ARbody"/>
      </w:pPr>
      <w:r w:rsidRPr="001814D2">
        <w:t xml:space="preserve">The Conservation Department continued regular work to ensure the care and conservation of the Art Gallery’s collection while also undertaking research and documentation projects. Conservation is a partner investigator on three Australian Research Council Linkage projects. </w:t>
      </w:r>
      <w:r w:rsidRPr="001814D2">
        <w:rPr>
          <w:i/>
          <w:iCs/>
        </w:rPr>
        <w:t>Archiving Australian media arts: towards a method and national collection</w:t>
      </w:r>
      <w:r w:rsidRPr="001814D2">
        <w:t xml:space="preserve">, with Swinburne University, Australian Centre for Moving Image and other partners, is assisting the Art Gallery in developing better approaches to archiving, and providing access to, Australian media arts heritage in the National Art Archive. </w:t>
      </w:r>
      <w:r w:rsidRPr="001814D2">
        <w:rPr>
          <w:i/>
          <w:iCs/>
        </w:rPr>
        <w:t>Polymuse: a national framework for managing malignant plastics in museum collections</w:t>
      </w:r>
      <w:r w:rsidRPr="001814D2">
        <w:t xml:space="preserve">, with the University of Melbourne, Museum Victoria, Museum of Applied Arts and Sciences and other partners, is assisting the Art Gallery in developing protocols for the identification and preservation of malignant plastics in artworks. </w:t>
      </w:r>
      <w:r w:rsidRPr="001814D2">
        <w:rPr>
          <w:i/>
          <w:iCs/>
        </w:rPr>
        <w:t>Precarious movements: choreography and the museum</w:t>
      </w:r>
      <w:r w:rsidRPr="001814D2">
        <w:t xml:space="preserve"> is a collaboration started in 2021 between the Art Gallery, Monash University Museum of Art, National Gallery of Victoria, Tate, University of New South Wales and artist Shelley Lasica. This three-year research partnership explores the challenges around presenting and preserving choreographic performance works in visual arts institutions. The project addresses the rise of performance and dance in contemporary art, and the need for collecting institutions to be able to capture and preserve this important aspect of art history.</w:t>
      </w:r>
    </w:p>
    <w:p w14:paraId="733B9EB2" w14:textId="77777777" w:rsidR="009103CC" w:rsidRPr="001814D2" w:rsidRDefault="009103CC" w:rsidP="009103CC">
      <w:pPr>
        <w:pStyle w:val="ARbody"/>
      </w:pPr>
      <w:r w:rsidRPr="001814D2">
        <w:t xml:space="preserve">Support from the Bank of China enabled a digital exchange between Art Gallery conservation staff and experts at the Palace Museum Beijing. The digital exchange focused on </w:t>
      </w:r>
      <w:r w:rsidRPr="001814D2">
        <w:lastRenderedPageBreak/>
        <w:t>approaches to the care and treatment of Asian textiles and lacquerware.</w:t>
      </w:r>
    </w:p>
    <w:p w14:paraId="51440348" w14:textId="77777777" w:rsidR="009103CC" w:rsidRPr="001814D2" w:rsidRDefault="009103CC" w:rsidP="009103CC">
      <w:pPr>
        <w:pStyle w:val="ARbody"/>
      </w:pPr>
      <w:r w:rsidRPr="001814D2">
        <w:t>The Art Gallery’s Digital Preservation Project is underway with generous support from the Metal Manufactures Fund (MMF). The digital archivist, whose position is funded by MMF, has been working with the new digital preservation manager to scope requirements for a new digital preservation storage system for the Art Gallery. This system will ensure the preservation of the digital collection items in the art collection and the National Art Archive as well as gallery-produced digital content. This is an exciting and timely next step in the Art Gallery’s ongoing work in time-based, audio-visual and digital art and archive conservation and preservation.</w:t>
      </w:r>
    </w:p>
    <w:p w14:paraId="393EBB4C" w14:textId="77777777" w:rsidR="009103CC" w:rsidRPr="001814D2" w:rsidRDefault="009103CC" w:rsidP="009103CC">
      <w:pPr>
        <w:pStyle w:val="ARbody"/>
      </w:pPr>
      <w:r w:rsidRPr="001814D2">
        <w:t>The impact of COVID-19 meant that Conservation hosted only two virtual interns this year, as onsite internships were not possible. The department was still able to provide six tours for benefactors, students, staff and colleagues, presented talks and conference papers, and provided ‘caring for collection’ training for staff and contractors.</w:t>
      </w:r>
    </w:p>
    <w:p w14:paraId="36A419CB" w14:textId="77777777" w:rsidR="009103CC" w:rsidRPr="001814D2" w:rsidRDefault="009103CC" w:rsidP="009103CC">
      <w:pPr>
        <w:pStyle w:val="ARheading3"/>
      </w:pPr>
      <w:r w:rsidRPr="001814D2">
        <w:t>National Art Archive and Capon Research Library</w:t>
      </w:r>
    </w:p>
    <w:p w14:paraId="507E49A7" w14:textId="77777777" w:rsidR="009103CC" w:rsidRPr="001814D2" w:rsidRDefault="009103CC" w:rsidP="009103CC">
      <w:pPr>
        <w:pStyle w:val="ARbody"/>
      </w:pPr>
      <w:r w:rsidRPr="001814D2">
        <w:t xml:space="preserve">During the year, the National Art Archive received gifts of the personal archives of artists Ramesh Mario Nithiyendran, Margaret Woodward and Noel Hutchison. After including it in his survey exhibition at the SH Ervin Gallery, Peter Kingston donated his popular </w:t>
      </w:r>
      <w:r w:rsidRPr="001814D2">
        <w:rPr>
          <w:i/>
          <w:iCs/>
        </w:rPr>
        <w:t xml:space="preserve">Wunderkabinet </w:t>
      </w:r>
      <w:r w:rsidRPr="001814D2">
        <w:t>1963–2018, collected and assembled by him over fifty years as a stand-alone archival work of art. Elinor Wrobel donated her personal archive, documenting her diverse career as a curator, collector, gallerist and founder in Sydney of the Woolloomooloo Gallery (1983–95), the John Passmore Museum (since 2003) and the award-winning Lucy Osborne-Nightingale Museum at Sydney Hospital (since 2000). The Margaret Woodward archive provided an opportunity for archive and conservation staff to trial new risk assessment procedures for the potential acquisition of archives.</w:t>
      </w:r>
    </w:p>
    <w:p w14:paraId="17DC5B65" w14:textId="77777777" w:rsidR="009103CC" w:rsidRPr="001814D2" w:rsidRDefault="009103CC" w:rsidP="009103CC">
      <w:pPr>
        <w:pStyle w:val="ARbody"/>
      </w:pPr>
      <w:r w:rsidRPr="001814D2">
        <w:t xml:space="preserve">The exhibition </w:t>
      </w:r>
      <w:r w:rsidRPr="001814D2">
        <w:rPr>
          <w:i/>
          <w:iCs/>
        </w:rPr>
        <w:t>Pat Larter: Get Arted</w:t>
      </w:r>
      <w:r w:rsidRPr="001814D2">
        <w:t xml:space="preserve"> opened in the Lowy Gonski Gallery in November 2020. Over 90% of the content for this exhibition was drawn from the National Art Archive. In preparation for the exhibition, video recordings of the artist’s performances were conserved and digitised with funding support from Fearless, a women-focused membership program within the Art Gallery. The co-curators of the exhibition spoke about the exhibition to the Australian Society of Archivists, the Sydney Culture Network’s Data Salon and the Australian Art Benefactors, and wrote articles about it for </w:t>
      </w:r>
      <w:r w:rsidRPr="001814D2">
        <w:rPr>
          <w:i/>
          <w:iCs/>
        </w:rPr>
        <w:t>Vault Magazine</w:t>
      </w:r>
      <w:r w:rsidRPr="001814D2">
        <w:t xml:space="preserve"> and </w:t>
      </w:r>
      <w:r w:rsidRPr="001814D2">
        <w:rPr>
          <w:i/>
          <w:iCs/>
        </w:rPr>
        <w:t>Art Monthly Australia</w:t>
      </w:r>
      <w:r w:rsidRPr="001814D2">
        <w:t>.</w:t>
      </w:r>
    </w:p>
    <w:p w14:paraId="7BAAEF5B" w14:textId="77777777" w:rsidR="009103CC" w:rsidRPr="001814D2" w:rsidRDefault="009103CC" w:rsidP="009103CC">
      <w:pPr>
        <w:pStyle w:val="ARbody"/>
      </w:pPr>
      <w:r w:rsidRPr="001814D2">
        <w:t xml:space="preserve">The book launch for </w:t>
      </w:r>
      <w:r w:rsidRPr="001814D2">
        <w:rPr>
          <w:i/>
          <w:iCs/>
        </w:rPr>
        <w:t>Recent past: writing Australian art</w:t>
      </w:r>
      <w:r w:rsidRPr="001814D2">
        <w:t xml:space="preserve">, co-edited by the head of the library and archive, was held in the presence of Daniel Thomas, the Art Gallery of New South Wales’ first curator. This anthology of his writings was generously supported by the Gordon Darling Foundation, the late James Fairfax AC and James Darling AM. The Gordon Darling </w:t>
      </w:r>
      <w:r w:rsidRPr="001814D2">
        <w:lastRenderedPageBreak/>
        <w:t xml:space="preserve">Foundation also contributed to the publication </w:t>
      </w:r>
      <w:r w:rsidRPr="001814D2">
        <w:rPr>
          <w:i/>
          <w:iCs/>
        </w:rPr>
        <w:t>The exhibitionists: a history of Sydney’s Art Gallery of New South Wales</w:t>
      </w:r>
      <w:r w:rsidRPr="001814D2">
        <w:t xml:space="preserve"> written for the Art Gallery’s 150th anniversary in 2021. </w:t>
      </w:r>
    </w:p>
    <w:p w14:paraId="67AD62B4" w14:textId="77777777" w:rsidR="009103CC" w:rsidRPr="001814D2" w:rsidRDefault="009103CC" w:rsidP="009103CC">
      <w:pPr>
        <w:pStyle w:val="ARbody"/>
      </w:pPr>
      <w:r w:rsidRPr="001814D2">
        <w:t xml:space="preserve">A new digital and special collections archivist was appointed to work on the Art Gallery’s Digital Preservation Project, in a three-year position generously funded by Metal Manufactures through Carol Grigor. </w:t>
      </w:r>
    </w:p>
    <w:p w14:paraId="01B07BEB" w14:textId="77777777" w:rsidR="009103CC" w:rsidRPr="001814D2" w:rsidRDefault="009103CC" w:rsidP="009103CC">
      <w:pPr>
        <w:pStyle w:val="ARbody"/>
      </w:pPr>
      <w:r w:rsidRPr="001814D2">
        <w:t>The COVID-19 pandemic and the planned moving of the library and archive to new facilities on lower level 3 meant that physical and online resources were only available this financial year for 100 days from June to December 2020. Nonetheless, 370 people used resources onsite and 430 online during this time. Statistics indicate that 40% came from Greater Sydney, 30% from regional New South Wales and the remaining 30% from interstate and overseas.</w:t>
      </w:r>
    </w:p>
    <w:p w14:paraId="6A8EA8C1" w14:textId="77777777" w:rsidR="009103CC" w:rsidRPr="001814D2" w:rsidRDefault="009103CC" w:rsidP="009103CC">
      <w:pPr>
        <w:pStyle w:val="ARbody"/>
      </w:pPr>
      <w:r w:rsidRPr="001814D2">
        <w:t>Staff from the department continued to work closely with Tonkin Zulaikha Greer Architects on the exciting and visionary plans for the new library and archive, scheduled to open in 2022.</w:t>
      </w:r>
    </w:p>
    <w:p w14:paraId="7DECF1C4" w14:textId="77777777" w:rsidR="009103CC" w:rsidRPr="001814D2" w:rsidRDefault="009103CC" w:rsidP="009103CC">
      <w:pPr>
        <w:pStyle w:val="ARheading3"/>
      </w:pPr>
      <w:r w:rsidRPr="001814D2">
        <w:t xml:space="preserve">Photography Studio </w:t>
      </w:r>
    </w:p>
    <w:p w14:paraId="0603F480" w14:textId="77777777" w:rsidR="009103CC" w:rsidRPr="001814D2" w:rsidRDefault="009103CC" w:rsidP="009103CC">
      <w:pPr>
        <w:pStyle w:val="ARbody"/>
      </w:pPr>
      <w:r w:rsidRPr="001814D2">
        <w:t xml:space="preserve">The Photography Studio undertook work for major exhibitions including </w:t>
      </w:r>
      <w:r w:rsidRPr="001814D2">
        <w:rPr>
          <w:i/>
          <w:iCs/>
        </w:rPr>
        <w:t>Streeton</w:t>
      </w:r>
      <w:r w:rsidRPr="001814D2">
        <w:t xml:space="preserve">, </w:t>
      </w:r>
      <w:r w:rsidRPr="001814D2">
        <w:rPr>
          <w:i/>
          <w:iCs/>
        </w:rPr>
        <w:t>The National 2021: New Australian Art</w:t>
      </w:r>
      <w:r w:rsidRPr="001814D2">
        <w:t xml:space="preserve">, </w:t>
      </w:r>
      <w:r w:rsidRPr="001814D2">
        <w:rPr>
          <w:i/>
          <w:iCs/>
        </w:rPr>
        <w:t xml:space="preserve">Archie 100: A Century of the Archibald Prize </w:t>
      </w:r>
      <w:r w:rsidRPr="001814D2">
        <w:t>as well as both the 2020 and 2021 Archibald, Wynne and Sulman Prizes. Arthur Streeton works were photographed from private collections in Sydney, Brisbane and Victoria, and Art Gallery collection works were newly photographed after conservation treatment.</w:t>
      </w:r>
    </w:p>
    <w:p w14:paraId="60C7958F" w14:textId="77777777" w:rsidR="009103CC" w:rsidRPr="001814D2" w:rsidRDefault="009103CC" w:rsidP="009103CC">
      <w:pPr>
        <w:pStyle w:val="ARbody"/>
      </w:pPr>
      <w:r w:rsidRPr="001814D2">
        <w:t xml:space="preserve">New photography of collection works was undertaken for the exhibitions </w:t>
      </w:r>
      <w:r w:rsidRPr="001814D2">
        <w:rPr>
          <w:i/>
          <w:iCs/>
        </w:rPr>
        <w:t>Margel Hinder: Modern in Motion</w:t>
      </w:r>
      <w:r w:rsidRPr="001814D2">
        <w:t xml:space="preserve"> (including digitisation of over 3000 images of Hinder archives from the National Art Archive), </w:t>
      </w:r>
      <w:r w:rsidRPr="001814D2">
        <w:rPr>
          <w:i/>
          <w:iCs/>
        </w:rPr>
        <w:t>Archie Plus</w:t>
      </w:r>
      <w:r w:rsidRPr="001814D2">
        <w:t xml:space="preserve">, </w:t>
      </w:r>
      <w:r w:rsidRPr="001814D2">
        <w:rPr>
          <w:i/>
          <w:iCs/>
        </w:rPr>
        <w:t>Pat Larter: Get Arted</w:t>
      </w:r>
      <w:r w:rsidRPr="001814D2">
        <w:t xml:space="preserve">, </w:t>
      </w:r>
      <w:r w:rsidRPr="001814D2">
        <w:rPr>
          <w:i/>
          <w:iCs/>
        </w:rPr>
        <w:t>Real Worlds:</w:t>
      </w:r>
      <w:r w:rsidRPr="001814D2">
        <w:t xml:space="preserve"> </w:t>
      </w:r>
      <w:r w:rsidRPr="001814D2">
        <w:rPr>
          <w:i/>
          <w:iCs/>
        </w:rPr>
        <w:t>Dobell Australian Drawing Biennial 2020</w:t>
      </w:r>
      <w:r w:rsidRPr="001814D2">
        <w:t xml:space="preserve">, </w:t>
      </w:r>
      <w:r w:rsidRPr="001814D2">
        <w:rPr>
          <w:i/>
          <w:iCs/>
        </w:rPr>
        <w:t>Joy</w:t>
      </w:r>
      <w:r w:rsidRPr="001814D2">
        <w:t xml:space="preserve">, </w:t>
      </w:r>
      <w:r w:rsidRPr="001814D2">
        <w:rPr>
          <w:i/>
          <w:iCs/>
        </w:rPr>
        <w:t>Longing for Home</w:t>
      </w:r>
      <w:r w:rsidRPr="001814D2">
        <w:t xml:space="preserve">, </w:t>
      </w:r>
      <w:r w:rsidRPr="001814D2">
        <w:rPr>
          <w:i/>
          <w:iCs/>
        </w:rPr>
        <w:t>Brett Whiteley: Printmaker</w:t>
      </w:r>
      <w:r w:rsidRPr="001814D2">
        <w:t xml:space="preserve"> and </w:t>
      </w:r>
      <w:r w:rsidRPr="001814D2">
        <w:rPr>
          <w:i/>
          <w:iCs/>
        </w:rPr>
        <w:t>Archie 100</w:t>
      </w:r>
      <w:r w:rsidRPr="001814D2">
        <w:t>.</w:t>
      </w:r>
    </w:p>
    <w:p w14:paraId="63C17E97" w14:textId="77777777" w:rsidR="009103CC" w:rsidRPr="001814D2" w:rsidRDefault="009103CC" w:rsidP="009103CC">
      <w:pPr>
        <w:pStyle w:val="ARbody"/>
      </w:pPr>
      <w:r w:rsidRPr="001814D2">
        <w:t xml:space="preserve">Over 120 events and activities at the Art Gallery were photographed, including </w:t>
      </w:r>
      <w:r w:rsidRPr="001814D2">
        <w:rPr>
          <w:i/>
          <w:iCs/>
        </w:rPr>
        <w:t>Archie Plus</w:t>
      </w:r>
      <w:r w:rsidRPr="001814D2">
        <w:t xml:space="preserve"> performances with Meryl Tankard, the Studio A mural project, and a series of workshops held with Plunkett Street Public School students in Woolloomooloo. Artist educators were photographed with teacher groups, students and other community groups in the Art Pathways and Djamu shield-making programs.</w:t>
      </w:r>
    </w:p>
    <w:p w14:paraId="1122596D" w14:textId="77777777" w:rsidR="009103CC" w:rsidRPr="001814D2" w:rsidRDefault="009103CC" w:rsidP="009103CC">
      <w:pPr>
        <w:pStyle w:val="ARbody"/>
      </w:pPr>
      <w:r w:rsidRPr="001814D2">
        <w:t>The studio sourced, colour-checked and provided 723 high-resolution images for 110 external image sales requests.</w:t>
      </w:r>
    </w:p>
    <w:p w14:paraId="6DCD53A8" w14:textId="77777777" w:rsidR="009103CC" w:rsidRPr="001814D2" w:rsidRDefault="009103CC" w:rsidP="009103CC">
      <w:pPr>
        <w:pStyle w:val="ARbody"/>
      </w:pPr>
      <w:r w:rsidRPr="001814D2">
        <w:t>The Photography Studio received a generous donation from Elisabeth and Phillip Ramsden for camera equipment to enhance the mirrorless camera system.</w:t>
      </w:r>
    </w:p>
    <w:p w14:paraId="790F428C" w14:textId="77777777" w:rsidR="009103CC" w:rsidRPr="001814D2" w:rsidRDefault="009103CC" w:rsidP="009103CC">
      <w:pPr>
        <w:pStyle w:val="ARheading3"/>
      </w:pPr>
      <w:r w:rsidRPr="001814D2">
        <w:lastRenderedPageBreak/>
        <w:t>Study room</w:t>
      </w:r>
    </w:p>
    <w:p w14:paraId="5978F210" w14:textId="77777777" w:rsidR="009103CC" w:rsidRPr="001814D2" w:rsidRDefault="009103CC" w:rsidP="009103CC">
      <w:pPr>
        <w:pStyle w:val="ARbody"/>
      </w:pPr>
      <w:r w:rsidRPr="001814D2">
        <w:t xml:space="preserve">The study room provides public access by request to the Art Gallery’s growing collection of over 25,200 works on paper. It is recognised as a valuable research facility, offering an intimate, supportive and engaging environment where individuals or groups can copy from original works as well as explore prints, drawings and photographs from the collection not currently on display. </w:t>
      </w:r>
    </w:p>
    <w:p w14:paraId="0FEB3DBC" w14:textId="77777777" w:rsidR="009103CC" w:rsidRPr="001814D2" w:rsidRDefault="009103CC" w:rsidP="009103CC">
      <w:pPr>
        <w:pStyle w:val="ARbody"/>
      </w:pPr>
      <w:r w:rsidRPr="001814D2">
        <w:t xml:space="preserve">During 2020–21, 137 visitors to the Art Gallery viewed artworks from storage. While access was greatly impacted by COVID-19 closures and restrictions and a five-month building works project, wherever possible the study room provided visitors with a focus point for learning and research. Visitors included lecturers with student groups from universities, artists, academics, benefactors, museum and gallery professionals, and curious members of the public. </w:t>
      </w:r>
    </w:p>
    <w:p w14:paraId="4EAC1AAE" w14:textId="77777777" w:rsidR="009103CC" w:rsidRPr="001814D2" w:rsidRDefault="009103CC" w:rsidP="009103CC">
      <w:pPr>
        <w:pStyle w:val="ARbody"/>
      </w:pPr>
      <w:r w:rsidRPr="001814D2">
        <w:t xml:space="preserve">Interdepartmental staff collaborations expanded study room usage to facilitate a deeper collection awareness and special art experience to outreach programs. The Home art education program’s virtual school excursion was filmed in the study room in 2020, featuring a conversation between Art Gallery staff about the artist Roy Kennedy and his prints in the Art Gallery’s collection. </w:t>
      </w:r>
    </w:p>
    <w:p w14:paraId="3B8866B1" w14:textId="77777777" w:rsidR="009103CC" w:rsidRPr="001814D2" w:rsidRDefault="009103CC" w:rsidP="009103CC">
      <w:pPr>
        <w:pStyle w:val="ARbody"/>
      </w:pPr>
      <w:r w:rsidRPr="001814D2">
        <w:t xml:space="preserve">During the year, staff from the study room worked with Building Services to deliver a redesigned viewing facility and continued to collaborate with Digital Engagement on the study room′s online profile. </w:t>
      </w:r>
    </w:p>
    <w:p w14:paraId="7AD87A33" w14:textId="77777777" w:rsidR="009103CC" w:rsidRPr="001814D2" w:rsidRDefault="009103CC" w:rsidP="009103CC">
      <w:pPr>
        <w:pStyle w:val="ARbody"/>
      </w:pPr>
      <w:r w:rsidRPr="001814D2">
        <w:t>Collection management involved sighting Asian works on paper as part of the current inventory cycle, processing new acquisitions of works on paper. Staff also coordinated the interdepartmental preparation of artworks for exhibitions within the Art Gallery, artworks for the touring exhibition program, and artworks for inward and outward loans to local, interstate and international venues.</w:t>
      </w:r>
    </w:p>
    <w:p w14:paraId="5DD4F7ED" w14:textId="77777777" w:rsidR="009103CC" w:rsidRPr="001814D2" w:rsidRDefault="009103CC" w:rsidP="009103CC">
      <w:pPr>
        <w:pStyle w:val="ARheading3"/>
      </w:pPr>
      <w:r w:rsidRPr="001814D2">
        <w:t>Exhibitions and attendance</w:t>
      </w:r>
    </w:p>
    <w:p w14:paraId="4E38339C" w14:textId="77777777" w:rsidR="009103CC" w:rsidRPr="001814D2" w:rsidRDefault="009103CC" w:rsidP="009103CC">
      <w:pPr>
        <w:pStyle w:val="ARlistparagraph"/>
      </w:pPr>
      <w:r w:rsidRPr="001814D2">
        <w:t>19 exhibitions at the Art Gallery’s Domain site seen by 530,567 visitors, with impacts seen from capacity limits and temporary closure as a result of COVID-19</w:t>
      </w:r>
    </w:p>
    <w:p w14:paraId="5D20D2D1" w14:textId="77777777" w:rsidR="009103CC" w:rsidRPr="001814D2" w:rsidRDefault="009103CC" w:rsidP="009103CC">
      <w:pPr>
        <w:pStyle w:val="ARlistparagraph"/>
      </w:pPr>
      <w:r w:rsidRPr="001814D2">
        <w:t>4 ticketed exhibitions attended by 179,795 visitors</w:t>
      </w:r>
    </w:p>
    <w:p w14:paraId="4F449263" w14:textId="77777777" w:rsidR="009103CC" w:rsidRPr="001814D2" w:rsidRDefault="009103CC" w:rsidP="009103CC">
      <w:pPr>
        <w:pStyle w:val="ARlistparagraph"/>
      </w:pPr>
      <w:r w:rsidRPr="001814D2">
        <w:t>6 touring exhibitions, across 13 tour venues, attended by 128,194 visitors</w:t>
      </w:r>
    </w:p>
    <w:p w14:paraId="14B0C07A" w14:textId="77777777" w:rsidR="009103CC" w:rsidRPr="001814D2" w:rsidRDefault="009103CC" w:rsidP="009103CC">
      <w:pPr>
        <w:pStyle w:val="ARheading4"/>
      </w:pPr>
      <w:r w:rsidRPr="001814D2">
        <w:lastRenderedPageBreak/>
        <w:t>Attendence</w:t>
      </w:r>
    </w:p>
    <w:tbl>
      <w:tblPr>
        <w:tblStyle w:val="TableGrid"/>
        <w:tblW w:w="0" w:type="auto"/>
        <w:tblBorders>
          <w:top w:val="none" w:sz="0" w:space="0" w:color="auto"/>
          <w:left w:val="none" w:sz="0" w:space="0" w:color="auto"/>
          <w:right w:val="none" w:sz="0" w:space="0" w:color="auto"/>
          <w:insideV w:val="none" w:sz="0" w:space="0" w:color="auto"/>
        </w:tblBorders>
        <w:tblCellMar>
          <w:left w:w="0" w:type="dxa"/>
        </w:tblCellMar>
        <w:tblLook w:val="04A0" w:firstRow="1" w:lastRow="0" w:firstColumn="1" w:lastColumn="0" w:noHBand="0" w:noVBand="1"/>
        <w:tblCaption w:val="Attendence: number of monthly visitors, from 2016-17 to 2020-21"/>
        <w:tblDescription w:val="Total visitor numbers for each month of each financial year as well as a yearly total. In addition, the 2020-21 monthly figures are also segmented into Domain site, Brett Whiteley Studio and regional touring."/>
      </w:tblPr>
      <w:tblGrid>
        <w:gridCol w:w="1146"/>
        <w:gridCol w:w="1025"/>
        <w:gridCol w:w="1025"/>
        <w:gridCol w:w="1025"/>
        <w:gridCol w:w="1025"/>
        <w:gridCol w:w="952"/>
        <w:gridCol w:w="959"/>
        <w:gridCol w:w="906"/>
        <w:gridCol w:w="1007"/>
      </w:tblGrid>
      <w:tr w:rsidR="009103CC" w:rsidRPr="00B752F2" w14:paraId="1D769D5D" w14:textId="77777777" w:rsidTr="002718DF">
        <w:trPr>
          <w:tblHeader/>
        </w:trPr>
        <w:tc>
          <w:tcPr>
            <w:tcW w:w="1284" w:type="dxa"/>
          </w:tcPr>
          <w:p w14:paraId="5BD4B9FF" w14:textId="77777777" w:rsidR="009103CC" w:rsidRPr="00B752F2" w:rsidRDefault="009103CC" w:rsidP="002718DF">
            <w:pPr>
              <w:pStyle w:val="Tabletext"/>
              <w:rPr>
                <w:b/>
                <w:bCs/>
              </w:rPr>
            </w:pPr>
            <w:r w:rsidRPr="00B752F2">
              <w:rPr>
                <w:b/>
                <w:bCs/>
              </w:rPr>
              <w:t>Month</w:t>
            </w:r>
          </w:p>
        </w:tc>
        <w:tc>
          <w:tcPr>
            <w:tcW w:w="1129" w:type="dxa"/>
          </w:tcPr>
          <w:p w14:paraId="0AF055E3" w14:textId="77777777" w:rsidR="009103CC" w:rsidRPr="00B752F2" w:rsidRDefault="009103CC" w:rsidP="002718DF">
            <w:pPr>
              <w:pStyle w:val="Tabletext"/>
              <w:jc w:val="right"/>
              <w:rPr>
                <w:b/>
                <w:bCs/>
              </w:rPr>
            </w:pPr>
            <w:r w:rsidRPr="00B752F2">
              <w:rPr>
                <w:b/>
                <w:bCs/>
              </w:rPr>
              <w:t xml:space="preserve">Total </w:t>
            </w:r>
            <w:r w:rsidRPr="00B752F2">
              <w:rPr>
                <w:b/>
                <w:bCs/>
              </w:rPr>
              <w:br/>
              <w:t>visitors 2016–17</w:t>
            </w:r>
          </w:p>
        </w:tc>
        <w:tc>
          <w:tcPr>
            <w:tcW w:w="1130" w:type="dxa"/>
          </w:tcPr>
          <w:p w14:paraId="411BAEAC" w14:textId="77777777" w:rsidR="009103CC" w:rsidRPr="00B752F2" w:rsidRDefault="009103CC" w:rsidP="002718DF">
            <w:pPr>
              <w:pStyle w:val="Tabletext"/>
              <w:jc w:val="right"/>
              <w:rPr>
                <w:b/>
                <w:bCs/>
              </w:rPr>
            </w:pPr>
            <w:r w:rsidRPr="00B752F2">
              <w:rPr>
                <w:b/>
                <w:bCs/>
              </w:rPr>
              <w:t xml:space="preserve">Total </w:t>
            </w:r>
            <w:r w:rsidRPr="00B752F2">
              <w:rPr>
                <w:b/>
                <w:bCs/>
              </w:rPr>
              <w:br/>
              <w:t>visitors 2017–18</w:t>
            </w:r>
          </w:p>
        </w:tc>
        <w:tc>
          <w:tcPr>
            <w:tcW w:w="1130" w:type="dxa"/>
          </w:tcPr>
          <w:p w14:paraId="5E08C1B7" w14:textId="77777777" w:rsidR="009103CC" w:rsidRPr="00B752F2" w:rsidRDefault="009103CC" w:rsidP="002718DF">
            <w:pPr>
              <w:pStyle w:val="Tabletext"/>
              <w:jc w:val="right"/>
              <w:rPr>
                <w:b/>
                <w:bCs/>
              </w:rPr>
            </w:pPr>
            <w:r w:rsidRPr="00B752F2">
              <w:rPr>
                <w:b/>
                <w:bCs/>
              </w:rPr>
              <w:t xml:space="preserve">Total </w:t>
            </w:r>
            <w:r w:rsidRPr="00B752F2">
              <w:rPr>
                <w:b/>
                <w:bCs/>
              </w:rPr>
              <w:br/>
              <w:t>visitors 2018–19</w:t>
            </w:r>
          </w:p>
        </w:tc>
        <w:tc>
          <w:tcPr>
            <w:tcW w:w="1129" w:type="dxa"/>
          </w:tcPr>
          <w:p w14:paraId="10FC8364" w14:textId="77777777" w:rsidR="009103CC" w:rsidRPr="00B752F2" w:rsidRDefault="009103CC" w:rsidP="002718DF">
            <w:pPr>
              <w:pStyle w:val="Tabletext"/>
              <w:jc w:val="right"/>
              <w:rPr>
                <w:b/>
                <w:bCs/>
              </w:rPr>
            </w:pPr>
            <w:r w:rsidRPr="00B752F2">
              <w:rPr>
                <w:b/>
                <w:bCs/>
              </w:rPr>
              <w:t xml:space="preserve">Total </w:t>
            </w:r>
            <w:r w:rsidRPr="00B752F2">
              <w:rPr>
                <w:b/>
                <w:bCs/>
              </w:rPr>
              <w:br/>
              <w:t>visitors 2019–20</w:t>
            </w:r>
          </w:p>
        </w:tc>
        <w:tc>
          <w:tcPr>
            <w:tcW w:w="1126" w:type="dxa"/>
          </w:tcPr>
          <w:p w14:paraId="42495B1C" w14:textId="77777777" w:rsidR="009103CC" w:rsidRPr="00B752F2" w:rsidRDefault="009103CC" w:rsidP="002718DF">
            <w:pPr>
              <w:pStyle w:val="Tabletext"/>
              <w:jc w:val="right"/>
              <w:rPr>
                <w:b/>
                <w:bCs/>
              </w:rPr>
            </w:pPr>
            <w:r w:rsidRPr="00B752F2">
              <w:rPr>
                <w:b/>
                <w:bCs/>
              </w:rPr>
              <w:t xml:space="preserve">Total </w:t>
            </w:r>
            <w:r w:rsidRPr="00B752F2">
              <w:rPr>
                <w:b/>
                <w:bCs/>
              </w:rPr>
              <w:br/>
              <w:t>visitors 2020–21</w:t>
            </w:r>
          </w:p>
        </w:tc>
        <w:tc>
          <w:tcPr>
            <w:tcW w:w="1130" w:type="dxa"/>
          </w:tcPr>
          <w:p w14:paraId="13391B77" w14:textId="77777777" w:rsidR="009103CC" w:rsidRPr="00B752F2" w:rsidRDefault="009103CC" w:rsidP="002718DF">
            <w:pPr>
              <w:pStyle w:val="Tabletext"/>
              <w:jc w:val="right"/>
              <w:rPr>
                <w:b/>
                <w:bCs/>
              </w:rPr>
            </w:pPr>
            <w:r w:rsidRPr="00B752F2">
              <w:rPr>
                <w:b/>
                <w:bCs/>
              </w:rPr>
              <w:t xml:space="preserve">Domain </w:t>
            </w:r>
            <w:r w:rsidRPr="00B752F2">
              <w:rPr>
                <w:b/>
                <w:bCs/>
              </w:rPr>
              <w:br/>
              <w:t xml:space="preserve">site </w:t>
            </w:r>
            <w:r w:rsidRPr="00B752F2">
              <w:rPr>
                <w:b/>
                <w:bCs/>
              </w:rPr>
              <w:br/>
              <w:t>2020–21</w:t>
            </w:r>
          </w:p>
        </w:tc>
        <w:tc>
          <w:tcPr>
            <w:tcW w:w="1119" w:type="dxa"/>
          </w:tcPr>
          <w:p w14:paraId="10DF52FD" w14:textId="77777777" w:rsidR="009103CC" w:rsidRPr="00B752F2" w:rsidRDefault="009103CC" w:rsidP="002718DF">
            <w:pPr>
              <w:pStyle w:val="Tabletext"/>
              <w:jc w:val="right"/>
              <w:rPr>
                <w:b/>
                <w:bCs/>
              </w:rPr>
            </w:pPr>
            <w:r w:rsidRPr="00B752F2">
              <w:rPr>
                <w:b/>
                <w:bCs/>
              </w:rPr>
              <w:t xml:space="preserve">BW </w:t>
            </w:r>
            <w:r w:rsidRPr="00B752F2">
              <w:rPr>
                <w:b/>
                <w:bCs/>
              </w:rPr>
              <w:br/>
              <w:t>Studio</w:t>
            </w:r>
          </w:p>
          <w:p w14:paraId="627F7492" w14:textId="77777777" w:rsidR="009103CC" w:rsidRPr="00B752F2" w:rsidRDefault="009103CC" w:rsidP="002718DF">
            <w:pPr>
              <w:pStyle w:val="Tabletext"/>
              <w:jc w:val="right"/>
              <w:rPr>
                <w:b/>
                <w:bCs/>
              </w:rPr>
            </w:pPr>
            <w:r w:rsidRPr="00B752F2">
              <w:rPr>
                <w:b/>
                <w:bCs/>
              </w:rPr>
              <w:t>2020–21</w:t>
            </w:r>
          </w:p>
        </w:tc>
        <w:tc>
          <w:tcPr>
            <w:tcW w:w="1131" w:type="dxa"/>
          </w:tcPr>
          <w:p w14:paraId="4EA7FBE0" w14:textId="77777777" w:rsidR="009103CC" w:rsidRPr="00B752F2" w:rsidRDefault="009103CC" w:rsidP="002718DF">
            <w:pPr>
              <w:pStyle w:val="Tabletext"/>
              <w:jc w:val="right"/>
              <w:rPr>
                <w:b/>
                <w:bCs/>
              </w:rPr>
            </w:pPr>
            <w:r w:rsidRPr="00B752F2">
              <w:rPr>
                <w:b/>
                <w:bCs/>
              </w:rPr>
              <w:t>Regional touring 2020–21</w:t>
            </w:r>
          </w:p>
        </w:tc>
      </w:tr>
      <w:tr w:rsidR="009103CC" w:rsidRPr="001814D2" w14:paraId="56BF5AA7" w14:textId="77777777" w:rsidTr="002718DF">
        <w:tc>
          <w:tcPr>
            <w:tcW w:w="1284" w:type="dxa"/>
            <w:vAlign w:val="center"/>
          </w:tcPr>
          <w:p w14:paraId="6A7FBC38" w14:textId="77777777" w:rsidR="009103CC" w:rsidRPr="001814D2" w:rsidRDefault="009103CC" w:rsidP="002718DF">
            <w:pPr>
              <w:pStyle w:val="Tabletext"/>
            </w:pPr>
            <w:r w:rsidRPr="001814D2">
              <w:t>July</w:t>
            </w:r>
          </w:p>
        </w:tc>
        <w:tc>
          <w:tcPr>
            <w:tcW w:w="1129" w:type="dxa"/>
            <w:vAlign w:val="center"/>
          </w:tcPr>
          <w:p w14:paraId="41649C77" w14:textId="77777777" w:rsidR="009103CC" w:rsidRPr="001814D2" w:rsidRDefault="009103CC" w:rsidP="002718DF">
            <w:pPr>
              <w:pStyle w:val="Tabletext"/>
              <w:jc w:val="right"/>
            </w:pPr>
            <w:r w:rsidRPr="001814D2">
              <w:t>207,223</w:t>
            </w:r>
          </w:p>
        </w:tc>
        <w:tc>
          <w:tcPr>
            <w:tcW w:w="1130" w:type="dxa"/>
            <w:vAlign w:val="center"/>
          </w:tcPr>
          <w:p w14:paraId="4BD35F31" w14:textId="77777777" w:rsidR="009103CC" w:rsidRPr="001814D2" w:rsidRDefault="009103CC" w:rsidP="002718DF">
            <w:pPr>
              <w:pStyle w:val="Tabletext"/>
              <w:jc w:val="right"/>
            </w:pPr>
            <w:r w:rsidRPr="001814D2">
              <w:t>118,691</w:t>
            </w:r>
          </w:p>
        </w:tc>
        <w:tc>
          <w:tcPr>
            <w:tcW w:w="1130" w:type="dxa"/>
            <w:vAlign w:val="center"/>
          </w:tcPr>
          <w:p w14:paraId="06F7AC1A" w14:textId="77777777" w:rsidR="009103CC" w:rsidRPr="001814D2" w:rsidRDefault="009103CC" w:rsidP="002718DF">
            <w:pPr>
              <w:pStyle w:val="Tabletext"/>
              <w:jc w:val="right"/>
            </w:pPr>
            <w:r w:rsidRPr="001814D2">
              <w:t>115,650</w:t>
            </w:r>
          </w:p>
        </w:tc>
        <w:tc>
          <w:tcPr>
            <w:tcW w:w="1129" w:type="dxa"/>
            <w:vAlign w:val="center"/>
          </w:tcPr>
          <w:p w14:paraId="669217FE" w14:textId="77777777" w:rsidR="009103CC" w:rsidRPr="001814D2" w:rsidRDefault="009103CC" w:rsidP="002718DF">
            <w:pPr>
              <w:pStyle w:val="Tabletext"/>
              <w:jc w:val="right"/>
            </w:pPr>
            <w:r w:rsidRPr="001814D2">
              <w:t>104,620</w:t>
            </w:r>
          </w:p>
        </w:tc>
        <w:tc>
          <w:tcPr>
            <w:tcW w:w="1126" w:type="dxa"/>
            <w:vAlign w:val="center"/>
          </w:tcPr>
          <w:p w14:paraId="0DAF4E1B" w14:textId="77777777" w:rsidR="009103CC" w:rsidRPr="001814D2" w:rsidRDefault="009103CC" w:rsidP="002718DF">
            <w:pPr>
              <w:pStyle w:val="Tabletext"/>
              <w:jc w:val="right"/>
            </w:pPr>
            <w:r w:rsidRPr="001814D2">
              <w:t>32,974</w:t>
            </w:r>
          </w:p>
        </w:tc>
        <w:tc>
          <w:tcPr>
            <w:tcW w:w="1130" w:type="dxa"/>
            <w:vAlign w:val="center"/>
          </w:tcPr>
          <w:p w14:paraId="19542BB1" w14:textId="77777777" w:rsidR="009103CC" w:rsidRPr="001814D2" w:rsidRDefault="009103CC" w:rsidP="002718DF">
            <w:pPr>
              <w:pStyle w:val="Tabletext"/>
              <w:jc w:val="right"/>
            </w:pPr>
            <w:r w:rsidRPr="001814D2">
              <w:t>29,888</w:t>
            </w:r>
          </w:p>
        </w:tc>
        <w:tc>
          <w:tcPr>
            <w:tcW w:w="1119" w:type="dxa"/>
            <w:vAlign w:val="center"/>
          </w:tcPr>
          <w:p w14:paraId="4D1CDC86" w14:textId="77777777" w:rsidR="009103CC" w:rsidRPr="001814D2" w:rsidRDefault="009103CC" w:rsidP="002718DF">
            <w:pPr>
              <w:pStyle w:val="Tabletext"/>
              <w:jc w:val="right"/>
            </w:pPr>
            <w:r w:rsidRPr="001814D2">
              <w:t>711</w:t>
            </w:r>
          </w:p>
        </w:tc>
        <w:tc>
          <w:tcPr>
            <w:tcW w:w="1131" w:type="dxa"/>
            <w:vAlign w:val="center"/>
          </w:tcPr>
          <w:p w14:paraId="6744D57F" w14:textId="77777777" w:rsidR="009103CC" w:rsidRPr="001814D2" w:rsidRDefault="009103CC" w:rsidP="002718DF">
            <w:pPr>
              <w:pStyle w:val="Tabletext"/>
              <w:jc w:val="right"/>
            </w:pPr>
            <w:r w:rsidRPr="001814D2">
              <w:t>2375</w:t>
            </w:r>
          </w:p>
        </w:tc>
      </w:tr>
      <w:tr w:rsidR="009103CC" w:rsidRPr="001814D2" w14:paraId="18C03C86" w14:textId="77777777" w:rsidTr="002718DF">
        <w:tc>
          <w:tcPr>
            <w:tcW w:w="1284" w:type="dxa"/>
            <w:vAlign w:val="center"/>
          </w:tcPr>
          <w:p w14:paraId="060599A1" w14:textId="77777777" w:rsidR="009103CC" w:rsidRPr="001814D2" w:rsidRDefault="009103CC" w:rsidP="002718DF">
            <w:pPr>
              <w:pStyle w:val="Tabletext"/>
            </w:pPr>
            <w:r w:rsidRPr="001814D2">
              <w:t>August</w:t>
            </w:r>
          </w:p>
        </w:tc>
        <w:tc>
          <w:tcPr>
            <w:tcW w:w="1129" w:type="dxa"/>
            <w:vAlign w:val="center"/>
          </w:tcPr>
          <w:p w14:paraId="1FE36A9D" w14:textId="77777777" w:rsidR="009103CC" w:rsidRPr="001814D2" w:rsidRDefault="009103CC" w:rsidP="002718DF">
            <w:pPr>
              <w:pStyle w:val="Tabletext"/>
              <w:jc w:val="right"/>
            </w:pPr>
            <w:r w:rsidRPr="001814D2">
              <w:t>160,847</w:t>
            </w:r>
          </w:p>
        </w:tc>
        <w:tc>
          <w:tcPr>
            <w:tcW w:w="1130" w:type="dxa"/>
            <w:vAlign w:val="center"/>
          </w:tcPr>
          <w:p w14:paraId="727DDA8E" w14:textId="77777777" w:rsidR="009103CC" w:rsidRPr="001814D2" w:rsidRDefault="009103CC" w:rsidP="002718DF">
            <w:pPr>
              <w:pStyle w:val="Tabletext"/>
              <w:jc w:val="right"/>
            </w:pPr>
            <w:r w:rsidRPr="001814D2">
              <w:t>150,683</w:t>
            </w:r>
          </w:p>
        </w:tc>
        <w:tc>
          <w:tcPr>
            <w:tcW w:w="1130" w:type="dxa"/>
            <w:vAlign w:val="center"/>
          </w:tcPr>
          <w:p w14:paraId="61366B66" w14:textId="77777777" w:rsidR="009103CC" w:rsidRPr="001814D2" w:rsidRDefault="009103CC" w:rsidP="002718DF">
            <w:pPr>
              <w:pStyle w:val="Tabletext"/>
              <w:jc w:val="right"/>
            </w:pPr>
            <w:r w:rsidRPr="001814D2">
              <w:t>123,534</w:t>
            </w:r>
          </w:p>
        </w:tc>
        <w:tc>
          <w:tcPr>
            <w:tcW w:w="1129" w:type="dxa"/>
            <w:vAlign w:val="center"/>
          </w:tcPr>
          <w:p w14:paraId="7FC324F5" w14:textId="77777777" w:rsidR="009103CC" w:rsidRPr="001814D2" w:rsidRDefault="009103CC" w:rsidP="002718DF">
            <w:pPr>
              <w:pStyle w:val="Tabletext"/>
              <w:jc w:val="right"/>
            </w:pPr>
            <w:r w:rsidRPr="001814D2">
              <w:t>98,994</w:t>
            </w:r>
          </w:p>
        </w:tc>
        <w:tc>
          <w:tcPr>
            <w:tcW w:w="1126" w:type="dxa"/>
            <w:vAlign w:val="center"/>
          </w:tcPr>
          <w:p w14:paraId="7C6DC356" w14:textId="77777777" w:rsidR="009103CC" w:rsidRPr="001814D2" w:rsidRDefault="009103CC" w:rsidP="002718DF">
            <w:pPr>
              <w:pStyle w:val="Tabletext"/>
              <w:jc w:val="right"/>
            </w:pPr>
            <w:r w:rsidRPr="001814D2">
              <w:t>23,880</w:t>
            </w:r>
          </w:p>
        </w:tc>
        <w:tc>
          <w:tcPr>
            <w:tcW w:w="1130" w:type="dxa"/>
            <w:vAlign w:val="center"/>
          </w:tcPr>
          <w:p w14:paraId="19EBAFA8" w14:textId="77777777" w:rsidR="009103CC" w:rsidRPr="001814D2" w:rsidRDefault="009103CC" w:rsidP="002718DF">
            <w:pPr>
              <w:pStyle w:val="Tabletext"/>
              <w:jc w:val="right"/>
            </w:pPr>
            <w:r w:rsidRPr="001814D2">
              <w:t>20,275</w:t>
            </w:r>
          </w:p>
        </w:tc>
        <w:tc>
          <w:tcPr>
            <w:tcW w:w="1119" w:type="dxa"/>
            <w:vAlign w:val="center"/>
          </w:tcPr>
          <w:p w14:paraId="01BE8BCA" w14:textId="77777777" w:rsidR="009103CC" w:rsidRPr="001814D2" w:rsidRDefault="009103CC" w:rsidP="002718DF">
            <w:pPr>
              <w:pStyle w:val="Tabletext"/>
              <w:jc w:val="right"/>
            </w:pPr>
            <w:r w:rsidRPr="001814D2">
              <w:t>546</w:t>
            </w:r>
          </w:p>
        </w:tc>
        <w:tc>
          <w:tcPr>
            <w:tcW w:w="1131" w:type="dxa"/>
            <w:vAlign w:val="center"/>
          </w:tcPr>
          <w:p w14:paraId="06056A00" w14:textId="77777777" w:rsidR="009103CC" w:rsidRPr="001814D2" w:rsidRDefault="009103CC" w:rsidP="002718DF">
            <w:pPr>
              <w:pStyle w:val="Tabletext"/>
              <w:jc w:val="right"/>
            </w:pPr>
            <w:r w:rsidRPr="001814D2">
              <w:t>3059</w:t>
            </w:r>
          </w:p>
        </w:tc>
      </w:tr>
      <w:tr w:rsidR="009103CC" w:rsidRPr="001814D2" w14:paraId="3E376FA6" w14:textId="77777777" w:rsidTr="002718DF">
        <w:tc>
          <w:tcPr>
            <w:tcW w:w="1284" w:type="dxa"/>
            <w:vAlign w:val="center"/>
          </w:tcPr>
          <w:p w14:paraId="21DEA5D5" w14:textId="77777777" w:rsidR="009103CC" w:rsidRPr="001814D2" w:rsidRDefault="009103CC" w:rsidP="002718DF">
            <w:pPr>
              <w:pStyle w:val="Tabletext"/>
            </w:pPr>
            <w:r w:rsidRPr="001814D2">
              <w:t>September</w:t>
            </w:r>
          </w:p>
        </w:tc>
        <w:tc>
          <w:tcPr>
            <w:tcW w:w="1129" w:type="dxa"/>
            <w:vAlign w:val="center"/>
          </w:tcPr>
          <w:p w14:paraId="758C99B4" w14:textId="77777777" w:rsidR="009103CC" w:rsidRPr="001814D2" w:rsidRDefault="009103CC" w:rsidP="002718DF">
            <w:pPr>
              <w:pStyle w:val="Tabletext"/>
              <w:jc w:val="right"/>
            </w:pPr>
            <w:r w:rsidRPr="001814D2">
              <w:t>136,592</w:t>
            </w:r>
          </w:p>
        </w:tc>
        <w:tc>
          <w:tcPr>
            <w:tcW w:w="1130" w:type="dxa"/>
            <w:vAlign w:val="center"/>
          </w:tcPr>
          <w:p w14:paraId="2DF1953A" w14:textId="77777777" w:rsidR="009103CC" w:rsidRPr="001814D2" w:rsidRDefault="009103CC" w:rsidP="002718DF">
            <w:pPr>
              <w:pStyle w:val="Tabletext"/>
              <w:jc w:val="right"/>
            </w:pPr>
            <w:r w:rsidRPr="001814D2">
              <w:t>131,689</w:t>
            </w:r>
          </w:p>
        </w:tc>
        <w:tc>
          <w:tcPr>
            <w:tcW w:w="1130" w:type="dxa"/>
            <w:vAlign w:val="center"/>
          </w:tcPr>
          <w:p w14:paraId="27F6937C" w14:textId="77777777" w:rsidR="009103CC" w:rsidRPr="001814D2" w:rsidRDefault="009103CC" w:rsidP="002718DF">
            <w:pPr>
              <w:pStyle w:val="Tabletext"/>
              <w:jc w:val="right"/>
            </w:pPr>
            <w:r w:rsidRPr="001814D2">
              <w:t>100,784</w:t>
            </w:r>
          </w:p>
        </w:tc>
        <w:tc>
          <w:tcPr>
            <w:tcW w:w="1129" w:type="dxa"/>
            <w:vAlign w:val="center"/>
          </w:tcPr>
          <w:p w14:paraId="3984C57A" w14:textId="77777777" w:rsidR="009103CC" w:rsidRPr="001814D2" w:rsidRDefault="009103CC" w:rsidP="002718DF">
            <w:pPr>
              <w:pStyle w:val="Tabletext"/>
              <w:jc w:val="right"/>
            </w:pPr>
            <w:r w:rsidRPr="001814D2">
              <w:t>92,235</w:t>
            </w:r>
          </w:p>
        </w:tc>
        <w:tc>
          <w:tcPr>
            <w:tcW w:w="1126" w:type="dxa"/>
            <w:vAlign w:val="center"/>
          </w:tcPr>
          <w:p w14:paraId="3598B376" w14:textId="77777777" w:rsidR="009103CC" w:rsidRPr="001814D2" w:rsidRDefault="009103CC" w:rsidP="002718DF">
            <w:pPr>
              <w:pStyle w:val="Tabletext"/>
              <w:jc w:val="right"/>
            </w:pPr>
            <w:r w:rsidRPr="001814D2">
              <w:t>31,821</w:t>
            </w:r>
          </w:p>
        </w:tc>
        <w:tc>
          <w:tcPr>
            <w:tcW w:w="1130" w:type="dxa"/>
            <w:vAlign w:val="center"/>
          </w:tcPr>
          <w:p w14:paraId="3E297D0D" w14:textId="77777777" w:rsidR="009103CC" w:rsidRPr="001814D2" w:rsidRDefault="009103CC" w:rsidP="002718DF">
            <w:pPr>
              <w:pStyle w:val="Tabletext"/>
              <w:jc w:val="right"/>
            </w:pPr>
            <w:r w:rsidRPr="001814D2">
              <w:t>27,180</w:t>
            </w:r>
          </w:p>
        </w:tc>
        <w:tc>
          <w:tcPr>
            <w:tcW w:w="1119" w:type="dxa"/>
            <w:vAlign w:val="center"/>
          </w:tcPr>
          <w:p w14:paraId="58AF24A0" w14:textId="77777777" w:rsidR="009103CC" w:rsidRPr="001814D2" w:rsidRDefault="009103CC" w:rsidP="002718DF">
            <w:pPr>
              <w:pStyle w:val="Tabletext"/>
              <w:jc w:val="right"/>
            </w:pPr>
            <w:r w:rsidRPr="001814D2">
              <w:t>528</w:t>
            </w:r>
          </w:p>
        </w:tc>
        <w:tc>
          <w:tcPr>
            <w:tcW w:w="1131" w:type="dxa"/>
            <w:vAlign w:val="center"/>
          </w:tcPr>
          <w:p w14:paraId="521D0436" w14:textId="77777777" w:rsidR="009103CC" w:rsidRPr="001814D2" w:rsidRDefault="009103CC" w:rsidP="002718DF">
            <w:pPr>
              <w:pStyle w:val="Tabletext"/>
              <w:jc w:val="right"/>
            </w:pPr>
            <w:r w:rsidRPr="001814D2">
              <w:t>4113</w:t>
            </w:r>
          </w:p>
        </w:tc>
      </w:tr>
      <w:tr w:rsidR="009103CC" w:rsidRPr="001814D2" w14:paraId="7578ECA8" w14:textId="77777777" w:rsidTr="002718DF">
        <w:tc>
          <w:tcPr>
            <w:tcW w:w="1284" w:type="dxa"/>
            <w:vAlign w:val="center"/>
          </w:tcPr>
          <w:p w14:paraId="6FC2F996" w14:textId="77777777" w:rsidR="009103CC" w:rsidRPr="001814D2" w:rsidRDefault="009103CC" w:rsidP="002718DF">
            <w:pPr>
              <w:pStyle w:val="Tabletext"/>
            </w:pPr>
            <w:r w:rsidRPr="001814D2">
              <w:t>October</w:t>
            </w:r>
          </w:p>
        </w:tc>
        <w:tc>
          <w:tcPr>
            <w:tcW w:w="1129" w:type="dxa"/>
            <w:vAlign w:val="center"/>
          </w:tcPr>
          <w:p w14:paraId="25EDD7DF" w14:textId="77777777" w:rsidR="009103CC" w:rsidRPr="001814D2" w:rsidRDefault="009103CC" w:rsidP="002718DF">
            <w:pPr>
              <w:pStyle w:val="Tabletext"/>
              <w:jc w:val="right"/>
            </w:pPr>
            <w:r w:rsidRPr="001814D2">
              <w:t>135,663</w:t>
            </w:r>
          </w:p>
        </w:tc>
        <w:tc>
          <w:tcPr>
            <w:tcW w:w="1130" w:type="dxa"/>
            <w:vAlign w:val="center"/>
          </w:tcPr>
          <w:p w14:paraId="307F3A8A" w14:textId="77777777" w:rsidR="009103CC" w:rsidRPr="001814D2" w:rsidRDefault="009103CC" w:rsidP="002718DF">
            <w:pPr>
              <w:pStyle w:val="Tabletext"/>
              <w:jc w:val="right"/>
            </w:pPr>
            <w:r w:rsidRPr="001814D2">
              <w:t>155,265</w:t>
            </w:r>
          </w:p>
        </w:tc>
        <w:tc>
          <w:tcPr>
            <w:tcW w:w="1130" w:type="dxa"/>
            <w:vAlign w:val="center"/>
          </w:tcPr>
          <w:p w14:paraId="1BF58046" w14:textId="77777777" w:rsidR="009103CC" w:rsidRPr="001814D2" w:rsidRDefault="009103CC" w:rsidP="002718DF">
            <w:pPr>
              <w:pStyle w:val="Tabletext"/>
              <w:jc w:val="right"/>
            </w:pPr>
            <w:r w:rsidRPr="001814D2">
              <w:t>146,172</w:t>
            </w:r>
          </w:p>
        </w:tc>
        <w:tc>
          <w:tcPr>
            <w:tcW w:w="1129" w:type="dxa"/>
            <w:vAlign w:val="center"/>
          </w:tcPr>
          <w:p w14:paraId="3446C37D" w14:textId="77777777" w:rsidR="009103CC" w:rsidRPr="001814D2" w:rsidRDefault="009103CC" w:rsidP="002718DF">
            <w:pPr>
              <w:pStyle w:val="Tabletext"/>
              <w:jc w:val="right"/>
            </w:pPr>
            <w:r w:rsidRPr="001814D2">
              <w:t>120,254</w:t>
            </w:r>
          </w:p>
        </w:tc>
        <w:tc>
          <w:tcPr>
            <w:tcW w:w="1126" w:type="dxa"/>
            <w:vAlign w:val="center"/>
          </w:tcPr>
          <w:p w14:paraId="19C665E2" w14:textId="77777777" w:rsidR="009103CC" w:rsidRPr="001814D2" w:rsidRDefault="009103CC" w:rsidP="002718DF">
            <w:pPr>
              <w:pStyle w:val="Tabletext"/>
              <w:jc w:val="right"/>
            </w:pPr>
            <w:r w:rsidRPr="001814D2">
              <w:t>52,720</w:t>
            </w:r>
          </w:p>
        </w:tc>
        <w:tc>
          <w:tcPr>
            <w:tcW w:w="1130" w:type="dxa"/>
            <w:vAlign w:val="center"/>
          </w:tcPr>
          <w:p w14:paraId="6B3F4FEA" w14:textId="77777777" w:rsidR="009103CC" w:rsidRPr="001814D2" w:rsidRDefault="009103CC" w:rsidP="002718DF">
            <w:pPr>
              <w:pStyle w:val="Tabletext"/>
              <w:jc w:val="right"/>
            </w:pPr>
            <w:r w:rsidRPr="001814D2">
              <w:t>50,319</w:t>
            </w:r>
          </w:p>
        </w:tc>
        <w:tc>
          <w:tcPr>
            <w:tcW w:w="1119" w:type="dxa"/>
            <w:vAlign w:val="center"/>
          </w:tcPr>
          <w:p w14:paraId="76E9A26A" w14:textId="77777777" w:rsidR="009103CC" w:rsidRPr="001814D2" w:rsidRDefault="009103CC" w:rsidP="002718DF">
            <w:pPr>
              <w:pStyle w:val="Tabletext"/>
              <w:jc w:val="right"/>
            </w:pPr>
            <w:r w:rsidRPr="001814D2">
              <w:t>692</w:t>
            </w:r>
          </w:p>
        </w:tc>
        <w:tc>
          <w:tcPr>
            <w:tcW w:w="1131" w:type="dxa"/>
            <w:vAlign w:val="center"/>
          </w:tcPr>
          <w:p w14:paraId="7C08B79D" w14:textId="77777777" w:rsidR="009103CC" w:rsidRPr="001814D2" w:rsidRDefault="009103CC" w:rsidP="002718DF">
            <w:pPr>
              <w:pStyle w:val="Tabletext"/>
              <w:jc w:val="right"/>
            </w:pPr>
            <w:r w:rsidRPr="001814D2">
              <w:t>1709</w:t>
            </w:r>
          </w:p>
        </w:tc>
      </w:tr>
      <w:tr w:rsidR="009103CC" w:rsidRPr="001814D2" w14:paraId="7A11AD5B" w14:textId="77777777" w:rsidTr="002718DF">
        <w:tc>
          <w:tcPr>
            <w:tcW w:w="1284" w:type="dxa"/>
            <w:vAlign w:val="center"/>
          </w:tcPr>
          <w:p w14:paraId="3B1BD527" w14:textId="77777777" w:rsidR="009103CC" w:rsidRPr="001814D2" w:rsidRDefault="009103CC" w:rsidP="002718DF">
            <w:pPr>
              <w:pStyle w:val="Tabletext"/>
            </w:pPr>
            <w:r w:rsidRPr="001814D2">
              <w:t>November</w:t>
            </w:r>
          </w:p>
        </w:tc>
        <w:tc>
          <w:tcPr>
            <w:tcW w:w="1129" w:type="dxa"/>
            <w:vAlign w:val="center"/>
          </w:tcPr>
          <w:p w14:paraId="35CD1734" w14:textId="77777777" w:rsidR="009103CC" w:rsidRPr="001814D2" w:rsidRDefault="009103CC" w:rsidP="002718DF">
            <w:pPr>
              <w:pStyle w:val="Tabletext"/>
              <w:jc w:val="right"/>
            </w:pPr>
            <w:r w:rsidRPr="001814D2">
              <w:t>135,329</w:t>
            </w:r>
          </w:p>
        </w:tc>
        <w:tc>
          <w:tcPr>
            <w:tcW w:w="1130" w:type="dxa"/>
            <w:vAlign w:val="center"/>
          </w:tcPr>
          <w:p w14:paraId="17FFFE29" w14:textId="77777777" w:rsidR="009103CC" w:rsidRPr="001814D2" w:rsidRDefault="009103CC" w:rsidP="002718DF">
            <w:pPr>
              <w:pStyle w:val="Tabletext"/>
              <w:jc w:val="right"/>
            </w:pPr>
            <w:r w:rsidRPr="001814D2">
              <w:t>164,511</w:t>
            </w:r>
          </w:p>
        </w:tc>
        <w:tc>
          <w:tcPr>
            <w:tcW w:w="1130" w:type="dxa"/>
            <w:vAlign w:val="center"/>
          </w:tcPr>
          <w:p w14:paraId="52C61D52" w14:textId="77777777" w:rsidR="009103CC" w:rsidRPr="001814D2" w:rsidRDefault="009103CC" w:rsidP="002718DF">
            <w:pPr>
              <w:pStyle w:val="Tabletext"/>
              <w:jc w:val="right"/>
            </w:pPr>
            <w:r w:rsidRPr="001814D2">
              <w:t>140,613</w:t>
            </w:r>
          </w:p>
        </w:tc>
        <w:tc>
          <w:tcPr>
            <w:tcW w:w="1129" w:type="dxa"/>
            <w:vAlign w:val="center"/>
          </w:tcPr>
          <w:p w14:paraId="155FB5FF" w14:textId="77777777" w:rsidR="009103CC" w:rsidRPr="001814D2" w:rsidRDefault="009103CC" w:rsidP="002718DF">
            <w:pPr>
              <w:pStyle w:val="Tabletext"/>
              <w:jc w:val="right"/>
            </w:pPr>
            <w:r w:rsidRPr="001814D2">
              <w:t>130,116</w:t>
            </w:r>
          </w:p>
        </w:tc>
        <w:tc>
          <w:tcPr>
            <w:tcW w:w="1126" w:type="dxa"/>
            <w:vAlign w:val="center"/>
          </w:tcPr>
          <w:p w14:paraId="13D5BDFF" w14:textId="77777777" w:rsidR="009103CC" w:rsidRPr="001814D2" w:rsidRDefault="009103CC" w:rsidP="002718DF">
            <w:pPr>
              <w:pStyle w:val="Tabletext"/>
              <w:jc w:val="right"/>
            </w:pPr>
            <w:r w:rsidRPr="001814D2">
              <w:t>52,539</w:t>
            </w:r>
          </w:p>
        </w:tc>
        <w:tc>
          <w:tcPr>
            <w:tcW w:w="1130" w:type="dxa"/>
            <w:vAlign w:val="center"/>
          </w:tcPr>
          <w:p w14:paraId="09E6A89F" w14:textId="77777777" w:rsidR="009103CC" w:rsidRPr="001814D2" w:rsidRDefault="009103CC" w:rsidP="002718DF">
            <w:pPr>
              <w:pStyle w:val="Tabletext"/>
              <w:jc w:val="right"/>
            </w:pPr>
            <w:r w:rsidRPr="001814D2">
              <w:t>51,735</w:t>
            </w:r>
          </w:p>
        </w:tc>
        <w:tc>
          <w:tcPr>
            <w:tcW w:w="1119" w:type="dxa"/>
            <w:vAlign w:val="center"/>
          </w:tcPr>
          <w:p w14:paraId="70DF8C16" w14:textId="77777777" w:rsidR="009103CC" w:rsidRPr="001814D2" w:rsidRDefault="009103CC" w:rsidP="002718DF">
            <w:pPr>
              <w:pStyle w:val="Tabletext"/>
              <w:jc w:val="right"/>
            </w:pPr>
            <w:r w:rsidRPr="001814D2">
              <w:t>509</w:t>
            </w:r>
          </w:p>
        </w:tc>
        <w:tc>
          <w:tcPr>
            <w:tcW w:w="1131" w:type="dxa"/>
            <w:vAlign w:val="center"/>
          </w:tcPr>
          <w:p w14:paraId="4B0E2E43" w14:textId="77777777" w:rsidR="009103CC" w:rsidRPr="001814D2" w:rsidRDefault="009103CC" w:rsidP="002718DF">
            <w:pPr>
              <w:pStyle w:val="Tabletext"/>
              <w:jc w:val="right"/>
            </w:pPr>
            <w:r w:rsidRPr="001814D2">
              <w:t>295</w:t>
            </w:r>
          </w:p>
        </w:tc>
      </w:tr>
      <w:tr w:rsidR="009103CC" w:rsidRPr="001814D2" w14:paraId="36E5ED11" w14:textId="77777777" w:rsidTr="002718DF">
        <w:tc>
          <w:tcPr>
            <w:tcW w:w="1284" w:type="dxa"/>
            <w:vAlign w:val="center"/>
          </w:tcPr>
          <w:p w14:paraId="13348747" w14:textId="77777777" w:rsidR="009103CC" w:rsidRPr="001814D2" w:rsidRDefault="009103CC" w:rsidP="002718DF">
            <w:pPr>
              <w:pStyle w:val="Tabletext"/>
            </w:pPr>
            <w:r w:rsidRPr="001814D2">
              <w:t>December</w:t>
            </w:r>
          </w:p>
        </w:tc>
        <w:tc>
          <w:tcPr>
            <w:tcW w:w="1129" w:type="dxa"/>
            <w:vAlign w:val="center"/>
          </w:tcPr>
          <w:p w14:paraId="61367526" w14:textId="77777777" w:rsidR="009103CC" w:rsidRPr="001814D2" w:rsidRDefault="009103CC" w:rsidP="002718DF">
            <w:pPr>
              <w:pStyle w:val="Tabletext"/>
              <w:jc w:val="right"/>
            </w:pPr>
            <w:r w:rsidRPr="001814D2">
              <w:t>99,838</w:t>
            </w:r>
          </w:p>
        </w:tc>
        <w:tc>
          <w:tcPr>
            <w:tcW w:w="1130" w:type="dxa"/>
            <w:vAlign w:val="center"/>
          </w:tcPr>
          <w:p w14:paraId="01392227" w14:textId="77777777" w:rsidR="009103CC" w:rsidRPr="001814D2" w:rsidRDefault="009103CC" w:rsidP="002718DF">
            <w:pPr>
              <w:pStyle w:val="Tabletext"/>
              <w:jc w:val="right"/>
            </w:pPr>
            <w:r w:rsidRPr="001814D2">
              <w:t>126,815</w:t>
            </w:r>
          </w:p>
        </w:tc>
        <w:tc>
          <w:tcPr>
            <w:tcW w:w="1130" w:type="dxa"/>
            <w:vAlign w:val="center"/>
          </w:tcPr>
          <w:p w14:paraId="07DFE280" w14:textId="77777777" w:rsidR="009103CC" w:rsidRPr="001814D2" w:rsidRDefault="009103CC" w:rsidP="002718DF">
            <w:pPr>
              <w:pStyle w:val="Tabletext"/>
              <w:jc w:val="right"/>
            </w:pPr>
            <w:r w:rsidRPr="001814D2">
              <w:t>108,523</w:t>
            </w:r>
          </w:p>
        </w:tc>
        <w:tc>
          <w:tcPr>
            <w:tcW w:w="1129" w:type="dxa"/>
            <w:vAlign w:val="center"/>
          </w:tcPr>
          <w:p w14:paraId="3301020C" w14:textId="77777777" w:rsidR="009103CC" w:rsidRPr="001814D2" w:rsidRDefault="009103CC" w:rsidP="002718DF">
            <w:pPr>
              <w:pStyle w:val="Tabletext"/>
              <w:jc w:val="right"/>
            </w:pPr>
            <w:r w:rsidRPr="001814D2">
              <w:t>113,913</w:t>
            </w:r>
          </w:p>
        </w:tc>
        <w:tc>
          <w:tcPr>
            <w:tcW w:w="1126" w:type="dxa"/>
            <w:vAlign w:val="center"/>
          </w:tcPr>
          <w:p w14:paraId="48B85885" w14:textId="77777777" w:rsidR="009103CC" w:rsidRPr="001814D2" w:rsidRDefault="009103CC" w:rsidP="002718DF">
            <w:pPr>
              <w:pStyle w:val="Tabletext"/>
              <w:jc w:val="right"/>
            </w:pPr>
            <w:r w:rsidRPr="001814D2">
              <w:t>50,129</w:t>
            </w:r>
          </w:p>
        </w:tc>
        <w:tc>
          <w:tcPr>
            <w:tcW w:w="1130" w:type="dxa"/>
            <w:vAlign w:val="center"/>
          </w:tcPr>
          <w:p w14:paraId="6328B374" w14:textId="77777777" w:rsidR="009103CC" w:rsidRPr="001814D2" w:rsidRDefault="009103CC" w:rsidP="002718DF">
            <w:pPr>
              <w:pStyle w:val="Tabletext"/>
              <w:jc w:val="right"/>
            </w:pPr>
            <w:r w:rsidRPr="001814D2">
              <w:t>45,263</w:t>
            </w:r>
          </w:p>
        </w:tc>
        <w:tc>
          <w:tcPr>
            <w:tcW w:w="1119" w:type="dxa"/>
            <w:vAlign w:val="center"/>
          </w:tcPr>
          <w:p w14:paraId="2B795617" w14:textId="77777777" w:rsidR="009103CC" w:rsidRPr="001814D2" w:rsidRDefault="009103CC" w:rsidP="002718DF">
            <w:pPr>
              <w:pStyle w:val="Tabletext"/>
              <w:jc w:val="right"/>
            </w:pPr>
            <w:r w:rsidRPr="001814D2">
              <w:t>414</w:t>
            </w:r>
          </w:p>
        </w:tc>
        <w:tc>
          <w:tcPr>
            <w:tcW w:w="1131" w:type="dxa"/>
            <w:vAlign w:val="center"/>
          </w:tcPr>
          <w:p w14:paraId="68E867E0" w14:textId="77777777" w:rsidR="009103CC" w:rsidRPr="001814D2" w:rsidRDefault="009103CC" w:rsidP="002718DF">
            <w:pPr>
              <w:pStyle w:val="Tabletext"/>
              <w:jc w:val="right"/>
            </w:pPr>
            <w:r w:rsidRPr="001814D2">
              <w:t>4452</w:t>
            </w:r>
          </w:p>
        </w:tc>
      </w:tr>
      <w:tr w:rsidR="009103CC" w:rsidRPr="001814D2" w14:paraId="41136745" w14:textId="77777777" w:rsidTr="002718DF">
        <w:tc>
          <w:tcPr>
            <w:tcW w:w="1284" w:type="dxa"/>
            <w:vAlign w:val="center"/>
          </w:tcPr>
          <w:p w14:paraId="2DC48636" w14:textId="77777777" w:rsidR="009103CC" w:rsidRPr="001814D2" w:rsidRDefault="009103CC" w:rsidP="002718DF">
            <w:pPr>
              <w:pStyle w:val="Tabletext"/>
            </w:pPr>
            <w:r w:rsidRPr="001814D2">
              <w:t>January</w:t>
            </w:r>
          </w:p>
        </w:tc>
        <w:tc>
          <w:tcPr>
            <w:tcW w:w="1129" w:type="dxa"/>
            <w:vAlign w:val="center"/>
          </w:tcPr>
          <w:p w14:paraId="675D81B5" w14:textId="77777777" w:rsidR="009103CC" w:rsidRPr="001814D2" w:rsidRDefault="009103CC" w:rsidP="002718DF">
            <w:pPr>
              <w:pStyle w:val="Tabletext"/>
              <w:jc w:val="right"/>
            </w:pPr>
            <w:r w:rsidRPr="001814D2">
              <w:t>150,967</w:t>
            </w:r>
          </w:p>
        </w:tc>
        <w:tc>
          <w:tcPr>
            <w:tcW w:w="1130" w:type="dxa"/>
            <w:vAlign w:val="center"/>
          </w:tcPr>
          <w:p w14:paraId="0945F086" w14:textId="77777777" w:rsidR="009103CC" w:rsidRPr="001814D2" w:rsidRDefault="009103CC" w:rsidP="002718DF">
            <w:pPr>
              <w:pStyle w:val="Tabletext"/>
              <w:jc w:val="right"/>
            </w:pPr>
            <w:r w:rsidRPr="001814D2">
              <w:t>147,156</w:t>
            </w:r>
          </w:p>
        </w:tc>
        <w:tc>
          <w:tcPr>
            <w:tcW w:w="1130" w:type="dxa"/>
            <w:vAlign w:val="center"/>
          </w:tcPr>
          <w:p w14:paraId="5B28EA24" w14:textId="77777777" w:rsidR="009103CC" w:rsidRPr="001814D2" w:rsidRDefault="009103CC" w:rsidP="002718DF">
            <w:pPr>
              <w:pStyle w:val="Tabletext"/>
              <w:jc w:val="right"/>
            </w:pPr>
            <w:r w:rsidRPr="001814D2">
              <w:t>141,171</w:t>
            </w:r>
          </w:p>
        </w:tc>
        <w:tc>
          <w:tcPr>
            <w:tcW w:w="1129" w:type="dxa"/>
            <w:vAlign w:val="center"/>
          </w:tcPr>
          <w:p w14:paraId="4BAB6063" w14:textId="77777777" w:rsidR="009103CC" w:rsidRPr="001814D2" w:rsidRDefault="009103CC" w:rsidP="002718DF">
            <w:pPr>
              <w:pStyle w:val="Tabletext"/>
              <w:jc w:val="right"/>
            </w:pPr>
            <w:r w:rsidRPr="001814D2">
              <w:t>141,423</w:t>
            </w:r>
          </w:p>
        </w:tc>
        <w:tc>
          <w:tcPr>
            <w:tcW w:w="1126" w:type="dxa"/>
            <w:vAlign w:val="center"/>
          </w:tcPr>
          <w:p w14:paraId="089D92BB" w14:textId="77777777" w:rsidR="009103CC" w:rsidRPr="001814D2" w:rsidRDefault="009103CC" w:rsidP="002718DF">
            <w:pPr>
              <w:pStyle w:val="Tabletext"/>
              <w:jc w:val="right"/>
            </w:pPr>
            <w:r w:rsidRPr="001814D2">
              <w:t>65,795</w:t>
            </w:r>
          </w:p>
        </w:tc>
        <w:tc>
          <w:tcPr>
            <w:tcW w:w="1130" w:type="dxa"/>
            <w:vAlign w:val="center"/>
          </w:tcPr>
          <w:p w14:paraId="2012BE77" w14:textId="77777777" w:rsidR="009103CC" w:rsidRPr="001814D2" w:rsidRDefault="009103CC" w:rsidP="002718DF">
            <w:pPr>
              <w:pStyle w:val="Tabletext"/>
              <w:jc w:val="right"/>
            </w:pPr>
            <w:r w:rsidRPr="001814D2">
              <w:t>54,241</w:t>
            </w:r>
          </w:p>
        </w:tc>
        <w:tc>
          <w:tcPr>
            <w:tcW w:w="1119" w:type="dxa"/>
            <w:vAlign w:val="center"/>
          </w:tcPr>
          <w:p w14:paraId="0A21AD5B" w14:textId="77777777" w:rsidR="009103CC" w:rsidRPr="001814D2" w:rsidRDefault="009103CC" w:rsidP="002718DF">
            <w:pPr>
              <w:pStyle w:val="Tabletext"/>
              <w:jc w:val="right"/>
            </w:pPr>
            <w:r w:rsidRPr="001814D2">
              <w:t>513</w:t>
            </w:r>
          </w:p>
        </w:tc>
        <w:tc>
          <w:tcPr>
            <w:tcW w:w="1131" w:type="dxa"/>
            <w:vAlign w:val="center"/>
          </w:tcPr>
          <w:p w14:paraId="49043288" w14:textId="77777777" w:rsidR="009103CC" w:rsidRPr="001814D2" w:rsidRDefault="009103CC" w:rsidP="002718DF">
            <w:pPr>
              <w:pStyle w:val="Tabletext"/>
              <w:jc w:val="right"/>
            </w:pPr>
            <w:r w:rsidRPr="001814D2">
              <w:t>11,041</w:t>
            </w:r>
          </w:p>
        </w:tc>
      </w:tr>
      <w:tr w:rsidR="009103CC" w:rsidRPr="001814D2" w14:paraId="32674820" w14:textId="77777777" w:rsidTr="002718DF">
        <w:tc>
          <w:tcPr>
            <w:tcW w:w="1284" w:type="dxa"/>
            <w:vAlign w:val="center"/>
          </w:tcPr>
          <w:p w14:paraId="206D9012" w14:textId="77777777" w:rsidR="009103CC" w:rsidRPr="001814D2" w:rsidRDefault="009103CC" w:rsidP="002718DF">
            <w:pPr>
              <w:pStyle w:val="Tabletext"/>
            </w:pPr>
            <w:r w:rsidRPr="001814D2">
              <w:t>February</w:t>
            </w:r>
          </w:p>
        </w:tc>
        <w:tc>
          <w:tcPr>
            <w:tcW w:w="1129" w:type="dxa"/>
            <w:vAlign w:val="center"/>
          </w:tcPr>
          <w:p w14:paraId="263CB963" w14:textId="77777777" w:rsidR="009103CC" w:rsidRPr="001814D2" w:rsidRDefault="009103CC" w:rsidP="002718DF">
            <w:pPr>
              <w:pStyle w:val="Tabletext"/>
              <w:jc w:val="right"/>
            </w:pPr>
            <w:r w:rsidRPr="001814D2">
              <w:t>115,969</w:t>
            </w:r>
          </w:p>
        </w:tc>
        <w:tc>
          <w:tcPr>
            <w:tcW w:w="1130" w:type="dxa"/>
            <w:vAlign w:val="center"/>
          </w:tcPr>
          <w:p w14:paraId="02A0E34F" w14:textId="77777777" w:rsidR="009103CC" w:rsidRPr="001814D2" w:rsidRDefault="009103CC" w:rsidP="002718DF">
            <w:pPr>
              <w:pStyle w:val="Tabletext"/>
              <w:jc w:val="right"/>
            </w:pPr>
            <w:r w:rsidRPr="001814D2">
              <w:t>154,579</w:t>
            </w:r>
          </w:p>
        </w:tc>
        <w:tc>
          <w:tcPr>
            <w:tcW w:w="1130" w:type="dxa"/>
            <w:vAlign w:val="center"/>
          </w:tcPr>
          <w:p w14:paraId="713D0717" w14:textId="77777777" w:rsidR="009103CC" w:rsidRPr="001814D2" w:rsidRDefault="009103CC" w:rsidP="002718DF">
            <w:pPr>
              <w:pStyle w:val="Tabletext"/>
              <w:jc w:val="right"/>
            </w:pPr>
            <w:r w:rsidRPr="001814D2">
              <w:t>150,509</w:t>
            </w:r>
          </w:p>
        </w:tc>
        <w:tc>
          <w:tcPr>
            <w:tcW w:w="1129" w:type="dxa"/>
            <w:vAlign w:val="center"/>
          </w:tcPr>
          <w:p w14:paraId="4D4602CE" w14:textId="77777777" w:rsidR="009103CC" w:rsidRPr="001814D2" w:rsidRDefault="009103CC" w:rsidP="002718DF">
            <w:pPr>
              <w:pStyle w:val="Tabletext"/>
              <w:jc w:val="right"/>
            </w:pPr>
            <w:r w:rsidRPr="001814D2">
              <w:t>106,898</w:t>
            </w:r>
          </w:p>
        </w:tc>
        <w:tc>
          <w:tcPr>
            <w:tcW w:w="1126" w:type="dxa"/>
            <w:vAlign w:val="center"/>
          </w:tcPr>
          <w:p w14:paraId="11E67693" w14:textId="77777777" w:rsidR="009103CC" w:rsidRPr="001814D2" w:rsidRDefault="009103CC" w:rsidP="002718DF">
            <w:pPr>
              <w:pStyle w:val="Tabletext"/>
              <w:jc w:val="right"/>
            </w:pPr>
            <w:r w:rsidRPr="001814D2">
              <w:t>78,271</w:t>
            </w:r>
          </w:p>
        </w:tc>
        <w:tc>
          <w:tcPr>
            <w:tcW w:w="1130" w:type="dxa"/>
            <w:vAlign w:val="center"/>
          </w:tcPr>
          <w:p w14:paraId="515FA1CB" w14:textId="77777777" w:rsidR="009103CC" w:rsidRPr="001814D2" w:rsidRDefault="009103CC" w:rsidP="002718DF">
            <w:pPr>
              <w:pStyle w:val="Tabletext"/>
              <w:jc w:val="right"/>
            </w:pPr>
            <w:r w:rsidRPr="001814D2">
              <w:t>53,542</w:t>
            </w:r>
          </w:p>
        </w:tc>
        <w:tc>
          <w:tcPr>
            <w:tcW w:w="1119" w:type="dxa"/>
            <w:vAlign w:val="center"/>
          </w:tcPr>
          <w:p w14:paraId="5CCED205" w14:textId="77777777" w:rsidR="009103CC" w:rsidRPr="001814D2" w:rsidRDefault="009103CC" w:rsidP="002718DF">
            <w:pPr>
              <w:pStyle w:val="Tabletext"/>
              <w:jc w:val="right"/>
            </w:pPr>
            <w:r w:rsidRPr="001814D2">
              <w:t>642</w:t>
            </w:r>
          </w:p>
        </w:tc>
        <w:tc>
          <w:tcPr>
            <w:tcW w:w="1131" w:type="dxa"/>
            <w:vAlign w:val="center"/>
          </w:tcPr>
          <w:p w14:paraId="055BEB87" w14:textId="77777777" w:rsidR="009103CC" w:rsidRPr="001814D2" w:rsidRDefault="009103CC" w:rsidP="002718DF">
            <w:pPr>
              <w:pStyle w:val="Tabletext"/>
              <w:jc w:val="right"/>
            </w:pPr>
            <w:r w:rsidRPr="001814D2">
              <w:t>24,087</w:t>
            </w:r>
          </w:p>
        </w:tc>
      </w:tr>
      <w:tr w:rsidR="009103CC" w:rsidRPr="001814D2" w14:paraId="2E6A9D39" w14:textId="77777777" w:rsidTr="002718DF">
        <w:tc>
          <w:tcPr>
            <w:tcW w:w="1284" w:type="dxa"/>
            <w:vAlign w:val="center"/>
          </w:tcPr>
          <w:p w14:paraId="3F46C24D" w14:textId="77777777" w:rsidR="009103CC" w:rsidRPr="001814D2" w:rsidRDefault="009103CC" w:rsidP="002718DF">
            <w:pPr>
              <w:pStyle w:val="Tabletext"/>
            </w:pPr>
            <w:r w:rsidRPr="001814D2">
              <w:t>March</w:t>
            </w:r>
          </w:p>
        </w:tc>
        <w:tc>
          <w:tcPr>
            <w:tcW w:w="1129" w:type="dxa"/>
            <w:vAlign w:val="center"/>
          </w:tcPr>
          <w:p w14:paraId="1898D32D" w14:textId="77777777" w:rsidR="009103CC" w:rsidRPr="001814D2" w:rsidRDefault="009103CC" w:rsidP="002718DF">
            <w:pPr>
              <w:pStyle w:val="Tabletext"/>
              <w:jc w:val="right"/>
            </w:pPr>
            <w:r w:rsidRPr="001814D2">
              <w:t>127,911</w:t>
            </w:r>
          </w:p>
        </w:tc>
        <w:tc>
          <w:tcPr>
            <w:tcW w:w="1130" w:type="dxa"/>
            <w:vAlign w:val="center"/>
          </w:tcPr>
          <w:p w14:paraId="39EA1899" w14:textId="77777777" w:rsidR="009103CC" w:rsidRPr="001814D2" w:rsidRDefault="009103CC" w:rsidP="002718DF">
            <w:pPr>
              <w:pStyle w:val="Tabletext"/>
              <w:jc w:val="right"/>
            </w:pPr>
            <w:r w:rsidRPr="001814D2">
              <w:t>114,453</w:t>
            </w:r>
          </w:p>
        </w:tc>
        <w:tc>
          <w:tcPr>
            <w:tcW w:w="1130" w:type="dxa"/>
            <w:vAlign w:val="center"/>
          </w:tcPr>
          <w:p w14:paraId="64BE88B6" w14:textId="77777777" w:rsidR="009103CC" w:rsidRPr="001814D2" w:rsidRDefault="009103CC" w:rsidP="002718DF">
            <w:pPr>
              <w:pStyle w:val="Tabletext"/>
              <w:jc w:val="right"/>
            </w:pPr>
            <w:r w:rsidRPr="001814D2">
              <w:t>136,789</w:t>
            </w:r>
          </w:p>
        </w:tc>
        <w:tc>
          <w:tcPr>
            <w:tcW w:w="1129" w:type="dxa"/>
            <w:vAlign w:val="center"/>
          </w:tcPr>
          <w:p w14:paraId="7C8F93DE" w14:textId="77777777" w:rsidR="009103CC" w:rsidRPr="001814D2" w:rsidRDefault="009103CC" w:rsidP="002718DF">
            <w:pPr>
              <w:pStyle w:val="Tabletext"/>
              <w:jc w:val="right"/>
            </w:pPr>
            <w:r w:rsidRPr="001814D2">
              <w:t>62,282</w:t>
            </w:r>
          </w:p>
        </w:tc>
        <w:tc>
          <w:tcPr>
            <w:tcW w:w="1126" w:type="dxa"/>
            <w:vAlign w:val="center"/>
          </w:tcPr>
          <w:p w14:paraId="2B289F1D" w14:textId="77777777" w:rsidR="009103CC" w:rsidRPr="001814D2" w:rsidRDefault="009103CC" w:rsidP="002718DF">
            <w:pPr>
              <w:pStyle w:val="Tabletext"/>
              <w:jc w:val="right"/>
            </w:pPr>
            <w:r w:rsidRPr="001814D2">
              <w:t>64,071</w:t>
            </w:r>
          </w:p>
        </w:tc>
        <w:tc>
          <w:tcPr>
            <w:tcW w:w="1130" w:type="dxa"/>
            <w:vAlign w:val="center"/>
          </w:tcPr>
          <w:p w14:paraId="506CF1ED" w14:textId="77777777" w:rsidR="009103CC" w:rsidRPr="001814D2" w:rsidRDefault="009103CC" w:rsidP="002718DF">
            <w:pPr>
              <w:pStyle w:val="Tabletext"/>
              <w:jc w:val="right"/>
            </w:pPr>
            <w:r w:rsidRPr="001814D2">
              <w:t>40,793</w:t>
            </w:r>
          </w:p>
        </w:tc>
        <w:tc>
          <w:tcPr>
            <w:tcW w:w="1119" w:type="dxa"/>
            <w:vAlign w:val="center"/>
          </w:tcPr>
          <w:p w14:paraId="7E89FB7E" w14:textId="77777777" w:rsidR="009103CC" w:rsidRPr="001814D2" w:rsidRDefault="009103CC" w:rsidP="002718DF">
            <w:pPr>
              <w:pStyle w:val="Tabletext"/>
              <w:jc w:val="right"/>
            </w:pPr>
            <w:r w:rsidRPr="001814D2">
              <w:t>783</w:t>
            </w:r>
          </w:p>
        </w:tc>
        <w:tc>
          <w:tcPr>
            <w:tcW w:w="1131" w:type="dxa"/>
            <w:vAlign w:val="center"/>
          </w:tcPr>
          <w:p w14:paraId="0E820E48" w14:textId="77777777" w:rsidR="009103CC" w:rsidRPr="001814D2" w:rsidRDefault="009103CC" w:rsidP="002718DF">
            <w:pPr>
              <w:pStyle w:val="Tabletext"/>
              <w:jc w:val="right"/>
            </w:pPr>
            <w:r w:rsidRPr="001814D2">
              <w:t>22,495</w:t>
            </w:r>
          </w:p>
        </w:tc>
      </w:tr>
      <w:tr w:rsidR="009103CC" w:rsidRPr="001814D2" w14:paraId="68BF61F9" w14:textId="77777777" w:rsidTr="002718DF">
        <w:tc>
          <w:tcPr>
            <w:tcW w:w="1284" w:type="dxa"/>
            <w:vAlign w:val="center"/>
          </w:tcPr>
          <w:p w14:paraId="4B1E6EF8" w14:textId="77777777" w:rsidR="009103CC" w:rsidRPr="001814D2" w:rsidRDefault="009103CC" w:rsidP="002718DF">
            <w:pPr>
              <w:pStyle w:val="Tabletext"/>
            </w:pPr>
            <w:r w:rsidRPr="001814D2">
              <w:t>April</w:t>
            </w:r>
          </w:p>
        </w:tc>
        <w:tc>
          <w:tcPr>
            <w:tcW w:w="1129" w:type="dxa"/>
            <w:vAlign w:val="center"/>
          </w:tcPr>
          <w:p w14:paraId="69940312" w14:textId="77777777" w:rsidR="009103CC" w:rsidRPr="001814D2" w:rsidRDefault="009103CC" w:rsidP="002718DF">
            <w:pPr>
              <w:pStyle w:val="Tabletext"/>
              <w:jc w:val="right"/>
            </w:pPr>
            <w:r w:rsidRPr="001814D2">
              <w:t>116,820</w:t>
            </w:r>
          </w:p>
        </w:tc>
        <w:tc>
          <w:tcPr>
            <w:tcW w:w="1130" w:type="dxa"/>
            <w:vAlign w:val="center"/>
          </w:tcPr>
          <w:p w14:paraId="6E46C7B7" w14:textId="77777777" w:rsidR="009103CC" w:rsidRPr="001814D2" w:rsidRDefault="009103CC" w:rsidP="002718DF">
            <w:pPr>
              <w:pStyle w:val="Tabletext"/>
              <w:jc w:val="right"/>
            </w:pPr>
            <w:r w:rsidRPr="001814D2">
              <w:t>111,142</w:t>
            </w:r>
          </w:p>
        </w:tc>
        <w:tc>
          <w:tcPr>
            <w:tcW w:w="1130" w:type="dxa"/>
            <w:vAlign w:val="center"/>
          </w:tcPr>
          <w:p w14:paraId="2C68B330" w14:textId="77777777" w:rsidR="009103CC" w:rsidRPr="001814D2" w:rsidRDefault="009103CC" w:rsidP="002718DF">
            <w:pPr>
              <w:pStyle w:val="Tabletext"/>
              <w:jc w:val="right"/>
            </w:pPr>
            <w:r w:rsidRPr="001814D2">
              <w:t>112,310</w:t>
            </w:r>
          </w:p>
        </w:tc>
        <w:tc>
          <w:tcPr>
            <w:tcW w:w="1129" w:type="dxa"/>
            <w:vAlign w:val="center"/>
          </w:tcPr>
          <w:p w14:paraId="47AF0E15" w14:textId="77777777" w:rsidR="009103CC" w:rsidRPr="001814D2" w:rsidRDefault="009103CC" w:rsidP="002718DF">
            <w:pPr>
              <w:pStyle w:val="Tabletext"/>
              <w:jc w:val="right"/>
            </w:pPr>
            <w:r w:rsidRPr="001814D2">
              <w:t>0</w:t>
            </w:r>
          </w:p>
        </w:tc>
        <w:tc>
          <w:tcPr>
            <w:tcW w:w="1126" w:type="dxa"/>
            <w:vAlign w:val="center"/>
          </w:tcPr>
          <w:p w14:paraId="21BC06B6" w14:textId="77777777" w:rsidR="009103CC" w:rsidRPr="001814D2" w:rsidRDefault="009103CC" w:rsidP="002718DF">
            <w:pPr>
              <w:pStyle w:val="Tabletext"/>
              <w:jc w:val="right"/>
            </w:pPr>
            <w:r w:rsidRPr="001814D2">
              <w:t>80,973</w:t>
            </w:r>
          </w:p>
        </w:tc>
        <w:tc>
          <w:tcPr>
            <w:tcW w:w="1130" w:type="dxa"/>
            <w:vAlign w:val="center"/>
          </w:tcPr>
          <w:p w14:paraId="455A27BE" w14:textId="77777777" w:rsidR="009103CC" w:rsidRPr="001814D2" w:rsidRDefault="009103CC" w:rsidP="002718DF">
            <w:pPr>
              <w:pStyle w:val="Tabletext"/>
              <w:jc w:val="right"/>
            </w:pPr>
            <w:r w:rsidRPr="001814D2">
              <w:t>44,514</w:t>
            </w:r>
          </w:p>
        </w:tc>
        <w:tc>
          <w:tcPr>
            <w:tcW w:w="1119" w:type="dxa"/>
            <w:vAlign w:val="center"/>
          </w:tcPr>
          <w:p w14:paraId="2EB383A2" w14:textId="77777777" w:rsidR="009103CC" w:rsidRPr="001814D2" w:rsidRDefault="009103CC" w:rsidP="002718DF">
            <w:pPr>
              <w:pStyle w:val="Tabletext"/>
              <w:jc w:val="right"/>
            </w:pPr>
            <w:r w:rsidRPr="001814D2">
              <w:t>987</w:t>
            </w:r>
          </w:p>
        </w:tc>
        <w:tc>
          <w:tcPr>
            <w:tcW w:w="1131" w:type="dxa"/>
            <w:vAlign w:val="center"/>
          </w:tcPr>
          <w:p w14:paraId="37CDAF00" w14:textId="77777777" w:rsidR="009103CC" w:rsidRPr="001814D2" w:rsidRDefault="009103CC" w:rsidP="002718DF">
            <w:pPr>
              <w:pStyle w:val="Tabletext"/>
              <w:jc w:val="right"/>
            </w:pPr>
            <w:r w:rsidRPr="001814D2">
              <w:t>35,472</w:t>
            </w:r>
          </w:p>
        </w:tc>
      </w:tr>
      <w:tr w:rsidR="009103CC" w:rsidRPr="001814D2" w14:paraId="24099A22" w14:textId="77777777" w:rsidTr="002718DF">
        <w:tc>
          <w:tcPr>
            <w:tcW w:w="1284" w:type="dxa"/>
            <w:vAlign w:val="center"/>
          </w:tcPr>
          <w:p w14:paraId="111E7888" w14:textId="77777777" w:rsidR="009103CC" w:rsidRPr="001814D2" w:rsidRDefault="009103CC" w:rsidP="002718DF">
            <w:pPr>
              <w:pStyle w:val="Tabletext"/>
            </w:pPr>
            <w:r w:rsidRPr="001814D2">
              <w:t>May</w:t>
            </w:r>
          </w:p>
        </w:tc>
        <w:tc>
          <w:tcPr>
            <w:tcW w:w="1129" w:type="dxa"/>
            <w:vAlign w:val="center"/>
          </w:tcPr>
          <w:p w14:paraId="5902C289" w14:textId="77777777" w:rsidR="009103CC" w:rsidRPr="001814D2" w:rsidRDefault="009103CC" w:rsidP="002718DF">
            <w:pPr>
              <w:pStyle w:val="Tabletext"/>
              <w:jc w:val="right"/>
            </w:pPr>
            <w:r w:rsidRPr="001814D2">
              <w:t>107,544</w:t>
            </w:r>
          </w:p>
        </w:tc>
        <w:tc>
          <w:tcPr>
            <w:tcW w:w="1130" w:type="dxa"/>
            <w:vAlign w:val="center"/>
          </w:tcPr>
          <w:p w14:paraId="59EDE666" w14:textId="77777777" w:rsidR="009103CC" w:rsidRPr="001814D2" w:rsidRDefault="009103CC" w:rsidP="002718DF">
            <w:pPr>
              <w:pStyle w:val="Tabletext"/>
              <w:jc w:val="right"/>
            </w:pPr>
            <w:r w:rsidRPr="001814D2">
              <w:t>116,001</w:t>
            </w:r>
          </w:p>
        </w:tc>
        <w:tc>
          <w:tcPr>
            <w:tcW w:w="1130" w:type="dxa"/>
            <w:vAlign w:val="center"/>
          </w:tcPr>
          <w:p w14:paraId="16ACAEB9" w14:textId="77777777" w:rsidR="009103CC" w:rsidRPr="001814D2" w:rsidRDefault="009103CC" w:rsidP="002718DF">
            <w:pPr>
              <w:pStyle w:val="Tabletext"/>
              <w:jc w:val="right"/>
            </w:pPr>
            <w:r w:rsidRPr="001814D2">
              <w:t>118,986</w:t>
            </w:r>
          </w:p>
        </w:tc>
        <w:tc>
          <w:tcPr>
            <w:tcW w:w="1129" w:type="dxa"/>
            <w:vAlign w:val="center"/>
          </w:tcPr>
          <w:p w14:paraId="79B7B69C" w14:textId="77777777" w:rsidR="009103CC" w:rsidRPr="001814D2" w:rsidRDefault="009103CC" w:rsidP="002718DF">
            <w:pPr>
              <w:pStyle w:val="Tabletext"/>
              <w:jc w:val="right"/>
            </w:pPr>
            <w:r w:rsidRPr="001814D2">
              <w:t>0</w:t>
            </w:r>
          </w:p>
        </w:tc>
        <w:tc>
          <w:tcPr>
            <w:tcW w:w="1126" w:type="dxa"/>
            <w:vAlign w:val="center"/>
          </w:tcPr>
          <w:p w14:paraId="17E582D9" w14:textId="77777777" w:rsidR="009103CC" w:rsidRPr="001814D2" w:rsidRDefault="009103CC" w:rsidP="002718DF">
            <w:pPr>
              <w:pStyle w:val="Tabletext"/>
              <w:jc w:val="right"/>
            </w:pPr>
            <w:r w:rsidRPr="001814D2">
              <w:t>50,944</w:t>
            </w:r>
          </w:p>
        </w:tc>
        <w:tc>
          <w:tcPr>
            <w:tcW w:w="1130" w:type="dxa"/>
            <w:vAlign w:val="center"/>
          </w:tcPr>
          <w:p w14:paraId="5AD98231" w14:textId="77777777" w:rsidR="009103CC" w:rsidRPr="001814D2" w:rsidRDefault="009103CC" w:rsidP="002718DF">
            <w:pPr>
              <w:pStyle w:val="Tabletext"/>
              <w:jc w:val="right"/>
            </w:pPr>
            <w:r w:rsidRPr="001814D2">
              <w:t>38,326</w:t>
            </w:r>
          </w:p>
        </w:tc>
        <w:tc>
          <w:tcPr>
            <w:tcW w:w="1119" w:type="dxa"/>
            <w:vAlign w:val="center"/>
          </w:tcPr>
          <w:p w14:paraId="656476F4" w14:textId="77777777" w:rsidR="009103CC" w:rsidRPr="001814D2" w:rsidRDefault="009103CC" w:rsidP="002718DF">
            <w:pPr>
              <w:pStyle w:val="Tabletext"/>
              <w:jc w:val="right"/>
            </w:pPr>
            <w:r w:rsidRPr="001814D2">
              <w:t>955</w:t>
            </w:r>
          </w:p>
        </w:tc>
        <w:tc>
          <w:tcPr>
            <w:tcW w:w="1131" w:type="dxa"/>
            <w:vAlign w:val="center"/>
          </w:tcPr>
          <w:p w14:paraId="5A3450B8" w14:textId="77777777" w:rsidR="009103CC" w:rsidRPr="001814D2" w:rsidRDefault="009103CC" w:rsidP="002718DF">
            <w:pPr>
              <w:pStyle w:val="Tabletext"/>
              <w:jc w:val="right"/>
            </w:pPr>
            <w:r w:rsidRPr="001814D2">
              <w:t>11,663</w:t>
            </w:r>
          </w:p>
        </w:tc>
      </w:tr>
      <w:tr w:rsidR="009103CC" w:rsidRPr="001814D2" w14:paraId="749D2F06" w14:textId="77777777" w:rsidTr="002718DF">
        <w:tc>
          <w:tcPr>
            <w:tcW w:w="1284" w:type="dxa"/>
            <w:vAlign w:val="center"/>
          </w:tcPr>
          <w:p w14:paraId="1F6AC46C" w14:textId="77777777" w:rsidR="009103CC" w:rsidRPr="001814D2" w:rsidRDefault="009103CC" w:rsidP="002718DF">
            <w:pPr>
              <w:pStyle w:val="Tabletext"/>
            </w:pPr>
            <w:r w:rsidRPr="001814D2">
              <w:t>June</w:t>
            </w:r>
          </w:p>
        </w:tc>
        <w:tc>
          <w:tcPr>
            <w:tcW w:w="1129" w:type="dxa"/>
            <w:vAlign w:val="center"/>
          </w:tcPr>
          <w:p w14:paraId="5DFE344E" w14:textId="77777777" w:rsidR="009103CC" w:rsidRPr="001814D2" w:rsidRDefault="009103CC" w:rsidP="002718DF">
            <w:pPr>
              <w:pStyle w:val="Tabletext"/>
              <w:jc w:val="right"/>
            </w:pPr>
            <w:r w:rsidRPr="001814D2">
              <w:t>92,683</w:t>
            </w:r>
          </w:p>
        </w:tc>
        <w:tc>
          <w:tcPr>
            <w:tcW w:w="1130" w:type="dxa"/>
            <w:vAlign w:val="center"/>
          </w:tcPr>
          <w:p w14:paraId="7C2982B4" w14:textId="77777777" w:rsidR="009103CC" w:rsidRPr="001814D2" w:rsidRDefault="009103CC" w:rsidP="002718DF">
            <w:pPr>
              <w:pStyle w:val="Tabletext"/>
              <w:jc w:val="right"/>
            </w:pPr>
            <w:r w:rsidRPr="001814D2">
              <w:t>116,732</w:t>
            </w:r>
          </w:p>
        </w:tc>
        <w:tc>
          <w:tcPr>
            <w:tcW w:w="1130" w:type="dxa"/>
            <w:vAlign w:val="center"/>
          </w:tcPr>
          <w:p w14:paraId="5F882295" w14:textId="77777777" w:rsidR="009103CC" w:rsidRPr="001814D2" w:rsidRDefault="009103CC" w:rsidP="002718DF">
            <w:pPr>
              <w:pStyle w:val="Tabletext"/>
              <w:jc w:val="right"/>
            </w:pPr>
            <w:r w:rsidRPr="001814D2">
              <w:t>105,133</w:t>
            </w:r>
          </w:p>
        </w:tc>
        <w:tc>
          <w:tcPr>
            <w:tcW w:w="1129" w:type="dxa"/>
            <w:vAlign w:val="center"/>
          </w:tcPr>
          <w:p w14:paraId="04A39D40" w14:textId="77777777" w:rsidR="009103CC" w:rsidRPr="001814D2" w:rsidRDefault="009103CC" w:rsidP="002718DF">
            <w:pPr>
              <w:pStyle w:val="Tabletext"/>
              <w:jc w:val="right"/>
            </w:pPr>
            <w:r w:rsidRPr="001814D2">
              <w:t>29,491</w:t>
            </w:r>
          </w:p>
        </w:tc>
        <w:tc>
          <w:tcPr>
            <w:tcW w:w="1126" w:type="dxa"/>
            <w:vAlign w:val="center"/>
          </w:tcPr>
          <w:p w14:paraId="13D4620A" w14:textId="77777777" w:rsidR="009103CC" w:rsidRPr="001814D2" w:rsidRDefault="009103CC" w:rsidP="002718DF">
            <w:pPr>
              <w:pStyle w:val="Tabletext"/>
              <w:jc w:val="right"/>
            </w:pPr>
            <w:r w:rsidRPr="001814D2">
              <w:t>82 ,55</w:t>
            </w:r>
          </w:p>
        </w:tc>
        <w:tc>
          <w:tcPr>
            <w:tcW w:w="1130" w:type="dxa"/>
            <w:vAlign w:val="center"/>
          </w:tcPr>
          <w:p w14:paraId="55C1DF8A" w14:textId="77777777" w:rsidR="009103CC" w:rsidRPr="001814D2" w:rsidRDefault="009103CC" w:rsidP="002718DF">
            <w:pPr>
              <w:pStyle w:val="Tabletext"/>
              <w:jc w:val="right"/>
            </w:pPr>
            <w:r w:rsidRPr="001814D2">
              <w:t>74,491</w:t>
            </w:r>
          </w:p>
        </w:tc>
        <w:tc>
          <w:tcPr>
            <w:tcW w:w="1119" w:type="dxa"/>
            <w:vAlign w:val="center"/>
          </w:tcPr>
          <w:p w14:paraId="09A99D08" w14:textId="77777777" w:rsidR="009103CC" w:rsidRPr="001814D2" w:rsidRDefault="009103CC" w:rsidP="002718DF">
            <w:pPr>
              <w:pStyle w:val="Tabletext"/>
              <w:jc w:val="right"/>
            </w:pPr>
            <w:r w:rsidRPr="001814D2">
              <w:t>531</w:t>
            </w:r>
          </w:p>
        </w:tc>
        <w:tc>
          <w:tcPr>
            <w:tcW w:w="1131" w:type="dxa"/>
            <w:vAlign w:val="center"/>
          </w:tcPr>
          <w:p w14:paraId="4AFA04F6" w14:textId="77777777" w:rsidR="009103CC" w:rsidRPr="001814D2" w:rsidRDefault="009103CC" w:rsidP="002718DF">
            <w:pPr>
              <w:pStyle w:val="Tabletext"/>
              <w:jc w:val="right"/>
            </w:pPr>
            <w:r w:rsidRPr="001814D2">
              <w:t>7433</w:t>
            </w:r>
          </w:p>
        </w:tc>
      </w:tr>
      <w:tr w:rsidR="009103CC" w:rsidRPr="001814D2" w14:paraId="2988A6DA" w14:textId="77777777" w:rsidTr="002718DF">
        <w:tc>
          <w:tcPr>
            <w:tcW w:w="1284" w:type="dxa"/>
            <w:vAlign w:val="center"/>
          </w:tcPr>
          <w:p w14:paraId="4D21FB54" w14:textId="77777777" w:rsidR="009103CC" w:rsidRPr="001814D2" w:rsidRDefault="009103CC" w:rsidP="002718DF">
            <w:pPr>
              <w:pStyle w:val="Tabletext"/>
            </w:pPr>
            <w:r w:rsidRPr="001814D2">
              <w:t>Year total</w:t>
            </w:r>
          </w:p>
        </w:tc>
        <w:tc>
          <w:tcPr>
            <w:tcW w:w="1129" w:type="dxa"/>
            <w:vAlign w:val="center"/>
          </w:tcPr>
          <w:p w14:paraId="2BB3B2FD" w14:textId="77777777" w:rsidR="009103CC" w:rsidRPr="001814D2" w:rsidRDefault="009103CC" w:rsidP="002718DF">
            <w:pPr>
              <w:pStyle w:val="Tabletext"/>
              <w:jc w:val="right"/>
            </w:pPr>
            <w:r w:rsidRPr="001814D2">
              <w:t>1,587,386</w:t>
            </w:r>
          </w:p>
        </w:tc>
        <w:tc>
          <w:tcPr>
            <w:tcW w:w="1130" w:type="dxa"/>
            <w:vAlign w:val="center"/>
          </w:tcPr>
          <w:p w14:paraId="27E655D9" w14:textId="77777777" w:rsidR="009103CC" w:rsidRPr="001814D2" w:rsidRDefault="009103CC" w:rsidP="002718DF">
            <w:pPr>
              <w:pStyle w:val="Tabletext"/>
              <w:jc w:val="right"/>
            </w:pPr>
            <w:r w:rsidRPr="001814D2">
              <w:t>1,607,717</w:t>
            </w:r>
          </w:p>
        </w:tc>
        <w:tc>
          <w:tcPr>
            <w:tcW w:w="1130" w:type="dxa"/>
            <w:vAlign w:val="center"/>
          </w:tcPr>
          <w:p w14:paraId="4A7839AD" w14:textId="77777777" w:rsidR="009103CC" w:rsidRPr="001814D2" w:rsidRDefault="009103CC" w:rsidP="002718DF">
            <w:pPr>
              <w:pStyle w:val="Tabletext"/>
              <w:jc w:val="right"/>
            </w:pPr>
            <w:r w:rsidRPr="001814D2">
              <w:t>1,500,174</w:t>
            </w:r>
          </w:p>
        </w:tc>
        <w:tc>
          <w:tcPr>
            <w:tcW w:w="1129" w:type="dxa"/>
            <w:vAlign w:val="center"/>
          </w:tcPr>
          <w:p w14:paraId="01498582" w14:textId="77777777" w:rsidR="009103CC" w:rsidRPr="001814D2" w:rsidRDefault="009103CC" w:rsidP="002718DF">
            <w:pPr>
              <w:pStyle w:val="Tabletext"/>
              <w:jc w:val="right"/>
            </w:pPr>
            <w:r w:rsidRPr="001814D2">
              <w:t>1,001,975</w:t>
            </w:r>
          </w:p>
        </w:tc>
        <w:tc>
          <w:tcPr>
            <w:tcW w:w="1126" w:type="dxa"/>
            <w:vAlign w:val="center"/>
          </w:tcPr>
          <w:p w14:paraId="7C936FAA" w14:textId="77777777" w:rsidR="009103CC" w:rsidRPr="001814D2" w:rsidRDefault="009103CC" w:rsidP="002718DF">
            <w:pPr>
              <w:pStyle w:val="Tabletext"/>
              <w:jc w:val="right"/>
            </w:pPr>
            <w:r w:rsidRPr="001814D2">
              <w:t>666,572</w:t>
            </w:r>
          </w:p>
        </w:tc>
        <w:tc>
          <w:tcPr>
            <w:tcW w:w="1130" w:type="dxa"/>
            <w:vAlign w:val="center"/>
          </w:tcPr>
          <w:p w14:paraId="3F2FC9BD" w14:textId="77777777" w:rsidR="009103CC" w:rsidRPr="001814D2" w:rsidRDefault="009103CC" w:rsidP="002718DF">
            <w:pPr>
              <w:pStyle w:val="Tabletext"/>
              <w:jc w:val="right"/>
            </w:pPr>
            <w:r w:rsidRPr="001814D2">
              <w:t>530,567</w:t>
            </w:r>
          </w:p>
        </w:tc>
        <w:tc>
          <w:tcPr>
            <w:tcW w:w="1119" w:type="dxa"/>
            <w:vAlign w:val="center"/>
          </w:tcPr>
          <w:p w14:paraId="275B3C24" w14:textId="77777777" w:rsidR="009103CC" w:rsidRPr="001814D2" w:rsidRDefault="009103CC" w:rsidP="002718DF">
            <w:pPr>
              <w:pStyle w:val="Tabletext"/>
              <w:jc w:val="right"/>
            </w:pPr>
            <w:r w:rsidRPr="001814D2">
              <w:t>7811</w:t>
            </w:r>
          </w:p>
        </w:tc>
        <w:tc>
          <w:tcPr>
            <w:tcW w:w="1131" w:type="dxa"/>
            <w:vAlign w:val="center"/>
          </w:tcPr>
          <w:p w14:paraId="721EFACE" w14:textId="77777777" w:rsidR="009103CC" w:rsidRPr="001814D2" w:rsidRDefault="009103CC" w:rsidP="002718DF">
            <w:pPr>
              <w:pStyle w:val="Tabletext"/>
              <w:jc w:val="right"/>
            </w:pPr>
            <w:r w:rsidRPr="001814D2">
              <w:t>128,194</w:t>
            </w:r>
          </w:p>
        </w:tc>
      </w:tr>
    </w:tbl>
    <w:p w14:paraId="7A75AFF7" w14:textId="77777777" w:rsidR="009103CC" w:rsidRPr="001814D2" w:rsidRDefault="009103CC" w:rsidP="009103CC">
      <w:pPr>
        <w:pStyle w:val="ARheading4"/>
      </w:pPr>
      <w:r w:rsidRPr="001814D2">
        <w:t>Paid exhibition program</w:t>
      </w:r>
    </w:p>
    <w:p w14:paraId="0FEC8E78" w14:textId="77777777" w:rsidR="009103CC" w:rsidRPr="001814D2" w:rsidRDefault="009103CC" w:rsidP="009103CC">
      <w:pPr>
        <w:pStyle w:val="Listitemasbody"/>
      </w:pPr>
      <w:r w:rsidRPr="001814D2">
        <w:rPr>
          <w:i/>
          <w:iCs/>
        </w:rPr>
        <w:t>Archibald, Wynne and Sulman Prizes 2020</w:t>
      </w:r>
      <w:r w:rsidRPr="001814D2">
        <w:t>, September–January, 74,661 visitors</w:t>
      </w:r>
    </w:p>
    <w:p w14:paraId="01224F44" w14:textId="77777777" w:rsidR="009103CC" w:rsidRPr="001814D2" w:rsidRDefault="009103CC" w:rsidP="009103CC">
      <w:pPr>
        <w:pStyle w:val="Listitemasbody"/>
      </w:pPr>
      <w:r w:rsidRPr="001814D2">
        <w:rPr>
          <w:i/>
          <w:iCs/>
        </w:rPr>
        <w:t>Streeton</w:t>
      </w:r>
      <w:r w:rsidRPr="001814D2">
        <w:t>, November–February, 63,032 visitors</w:t>
      </w:r>
    </w:p>
    <w:p w14:paraId="1C4783A0" w14:textId="77777777" w:rsidR="009103CC" w:rsidRPr="001814D2" w:rsidRDefault="009103CC" w:rsidP="009103CC">
      <w:pPr>
        <w:pStyle w:val="Listitemasbody"/>
      </w:pPr>
      <w:r w:rsidRPr="001814D2">
        <w:rPr>
          <w:i/>
          <w:iCs/>
        </w:rPr>
        <w:t>Archibald, Wynne and Sulman Prizes 2021</w:t>
      </w:r>
      <w:r w:rsidRPr="001814D2">
        <w:t xml:space="preserve"> and </w:t>
      </w:r>
      <w:r w:rsidRPr="001814D2">
        <w:rPr>
          <w:i/>
          <w:iCs/>
        </w:rPr>
        <w:t>Archie 100: A Century of the Archibald Prize</w:t>
      </w:r>
      <w:r w:rsidRPr="001814D2">
        <w:t>, June (up to closing on 25 June 2021 due to NSW Government–mandated lockdown), 32,528 visitors</w:t>
      </w:r>
    </w:p>
    <w:p w14:paraId="7E915322" w14:textId="77777777" w:rsidR="009103CC" w:rsidRPr="001814D2" w:rsidRDefault="009103CC" w:rsidP="009103CC">
      <w:pPr>
        <w:pStyle w:val="Listitemasbody"/>
      </w:pPr>
      <w:r w:rsidRPr="001814D2">
        <w:rPr>
          <w:i/>
          <w:iCs/>
        </w:rPr>
        <w:t>Hilma af Klint: The Secret Paintings</w:t>
      </w:r>
      <w:r w:rsidRPr="001814D2">
        <w:t>, June (up to closing on 25 June 2021 due to NSW Government–mandated lockdown), 9574 visitors</w:t>
      </w:r>
    </w:p>
    <w:p w14:paraId="282F4C08" w14:textId="77777777" w:rsidR="009103CC" w:rsidRPr="001814D2" w:rsidRDefault="009103CC" w:rsidP="009103CC">
      <w:pPr>
        <w:pStyle w:val="Listitemasbody"/>
      </w:pPr>
      <w:r w:rsidRPr="001814D2">
        <w:t>Total visitors: 179,795</w:t>
      </w:r>
    </w:p>
    <w:p w14:paraId="398496C3" w14:textId="77777777" w:rsidR="009103CC" w:rsidRPr="001814D2" w:rsidRDefault="009103CC" w:rsidP="009103CC">
      <w:pPr>
        <w:pStyle w:val="ARheading4"/>
      </w:pPr>
      <w:r w:rsidRPr="001814D2">
        <w:t>List of exhibitions</w:t>
      </w:r>
    </w:p>
    <w:p w14:paraId="2E989819" w14:textId="77777777" w:rsidR="009103CC" w:rsidRPr="001814D2" w:rsidRDefault="009103CC" w:rsidP="009103CC">
      <w:pPr>
        <w:pStyle w:val="Listitemasbody"/>
      </w:pPr>
      <w:r w:rsidRPr="001814D2">
        <w:rPr>
          <w:i/>
          <w:iCs/>
        </w:rPr>
        <w:t>Shadow Catchers</w:t>
      </w:r>
      <w:r w:rsidRPr="001814D2">
        <w:t>, 22 February 2020 – 3 January 2021, with catalogue (Note: Visitor numbers from 1 July 2020 to 30 June 2021 for exhibitions running over two financial years)</w:t>
      </w:r>
    </w:p>
    <w:p w14:paraId="2F0FC815" w14:textId="77777777" w:rsidR="009103CC" w:rsidRPr="001814D2" w:rsidRDefault="009103CC" w:rsidP="009103CC">
      <w:pPr>
        <w:pStyle w:val="Listitemasbody"/>
      </w:pPr>
      <w:r w:rsidRPr="001814D2">
        <w:rPr>
          <w:i/>
          <w:iCs/>
        </w:rPr>
        <w:t>22nd Biennale of Sydney: NIRIN</w:t>
      </w:r>
      <w:r w:rsidRPr="001814D2">
        <w:t>, 14 March 2020 – 27 September 2020, with catalogue (Note: Visitor numbers from 1 July 2020 to 30 June 2021 for exhibitions running over two financial years)</w:t>
      </w:r>
    </w:p>
    <w:p w14:paraId="0B7B8EAC" w14:textId="77777777" w:rsidR="009103CC" w:rsidRPr="001814D2" w:rsidRDefault="009103CC" w:rsidP="009103CC">
      <w:pPr>
        <w:pStyle w:val="Listitemasbody"/>
      </w:pPr>
      <w:r w:rsidRPr="001814D2">
        <w:rPr>
          <w:i/>
          <w:iCs/>
        </w:rPr>
        <w:t>Under the Stars</w:t>
      </w:r>
      <w:r w:rsidRPr="001814D2">
        <w:t>, 21 March 2020 – 7 February 2021 (Note: Visitor numbers from 1 July 2020 to 30 June 2021 for exhibitions running over two financial years)</w:t>
      </w:r>
    </w:p>
    <w:p w14:paraId="1E1D0313" w14:textId="77777777" w:rsidR="009103CC" w:rsidRPr="001814D2" w:rsidRDefault="009103CC" w:rsidP="009103CC">
      <w:pPr>
        <w:pStyle w:val="Listitemasbody"/>
      </w:pPr>
      <w:r w:rsidRPr="001814D2">
        <w:rPr>
          <w:i/>
          <w:iCs/>
        </w:rPr>
        <w:t>Some Mysterious Process: 50 Years of Collecting International Art</w:t>
      </w:r>
      <w:r w:rsidRPr="001814D2">
        <w:t>, 1 June 2020 – 13 September 2020 (Note: Visitor numbers from 1 July 2020 to 30 June 2021 for exhibitions running over two financial years)</w:t>
      </w:r>
    </w:p>
    <w:p w14:paraId="5A0BB848" w14:textId="77777777" w:rsidR="009103CC" w:rsidRPr="001814D2" w:rsidRDefault="009103CC" w:rsidP="009103CC">
      <w:pPr>
        <w:pStyle w:val="Listitemasbody"/>
      </w:pPr>
      <w:r w:rsidRPr="001814D2">
        <w:rPr>
          <w:i/>
          <w:iCs/>
        </w:rPr>
        <w:lastRenderedPageBreak/>
        <w:t>Brett Whiteley: Feathers and Flight</w:t>
      </w:r>
      <w:r w:rsidRPr="001814D2">
        <w:t>, 4 June 2020 – 28 March 2021</w:t>
      </w:r>
    </w:p>
    <w:p w14:paraId="0EA98DD5" w14:textId="77777777" w:rsidR="009103CC" w:rsidRPr="001814D2" w:rsidRDefault="009103CC" w:rsidP="009103CC">
      <w:pPr>
        <w:pStyle w:val="Listitemasbody"/>
      </w:pPr>
      <w:r w:rsidRPr="001814D2">
        <w:rPr>
          <w:i/>
          <w:iCs/>
        </w:rPr>
        <w:t>In One Drop of Water</w:t>
      </w:r>
      <w:r w:rsidRPr="001814D2">
        <w:t>, 15 June 2019 – 21 February 2021 (Note: Visitor numbers from 1 July 2020 to 30 June 2021 for exhibitions running over two financial years)</w:t>
      </w:r>
    </w:p>
    <w:p w14:paraId="19B2D888" w14:textId="77777777" w:rsidR="009103CC" w:rsidRPr="001814D2" w:rsidRDefault="009103CC" w:rsidP="009103CC">
      <w:pPr>
        <w:pStyle w:val="Listitemasbody"/>
      </w:pPr>
      <w:r w:rsidRPr="001814D2">
        <w:rPr>
          <w:i/>
          <w:iCs/>
        </w:rPr>
        <w:t>A Promise: Khaled Sabsabi</w:t>
      </w:r>
      <w:r w:rsidRPr="001814D2">
        <w:t>, 18 July 2020 – 10 January 2021</w:t>
      </w:r>
    </w:p>
    <w:p w14:paraId="7D299D10" w14:textId="77777777" w:rsidR="009103CC" w:rsidRPr="001814D2" w:rsidRDefault="009103CC" w:rsidP="009103CC">
      <w:pPr>
        <w:pStyle w:val="Listitemasbody"/>
      </w:pPr>
      <w:r w:rsidRPr="001814D2">
        <w:rPr>
          <w:i/>
          <w:iCs/>
        </w:rPr>
        <w:t>Archibald, Wynne and Sulman Prizes 2020</w:t>
      </w:r>
      <w:r w:rsidRPr="001814D2">
        <w:t>, 26 September 2020 – 10 January 2021, ticketed exhibition with tour and catalogue</w:t>
      </w:r>
    </w:p>
    <w:p w14:paraId="407B6FD7" w14:textId="77777777" w:rsidR="009103CC" w:rsidRPr="001814D2" w:rsidRDefault="009103CC" w:rsidP="009103CC">
      <w:pPr>
        <w:pStyle w:val="Listitemasbody"/>
      </w:pPr>
      <w:r w:rsidRPr="001814D2">
        <w:rPr>
          <w:i/>
          <w:iCs/>
        </w:rPr>
        <w:t>Brett Whiteley Travelling Art Scholarship</w:t>
      </w:r>
      <w:r w:rsidRPr="001814D2">
        <w:t>, 15 October 2020 – 15 November 2020</w:t>
      </w:r>
    </w:p>
    <w:p w14:paraId="5A7E5CDA" w14:textId="77777777" w:rsidR="009103CC" w:rsidRPr="001814D2" w:rsidRDefault="009103CC" w:rsidP="009103CC">
      <w:pPr>
        <w:pStyle w:val="Listitemasbody"/>
      </w:pPr>
      <w:r w:rsidRPr="001814D2">
        <w:rPr>
          <w:i/>
          <w:iCs/>
        </w:rPr>
        <w:t>Real Worlds: Dobell Australian Drawing Biennial 2020</w:t>
      </w:r>
      <w:r w:rsidRPr="001814D2">
        <w:t>, 24 October 2020 – 7 February 2021, with tour</w:t>
      </w:r>
    </w:p>
    <w:p w14:paraId="3CBCF78E" w14:textId="77777777" w:rsidR="009103CC" w:rsidRPr="001814D2" w:rsidRDefault="009103CC" w:rsidP="009103CC">
      <w:pPr>
        <w:pStyle w:val="Listitemasbody"/>
      </w:pPr>
      <w:r w:rsidRPr="001814D2">
        <w:rPr>
          <w:i/>
          <w:iCs/>
        </w:rPr>
        <w:t>Joy</w:t>
      </w:r>
      <w:r w:rsidRPr="001814D2">
        <w:t>, 24 October 2020 – 21 February 2021</w:t>
      </w:r>
    </w:p>
    <w:p w14:paraId="3871CCB1" w14:textId="77777777" w:rsidR="009103CC" w:rsidRPr="001814D2" w:rsidRDefault="009103CC" w:rsidP="009103CC">
      <w:pPr>
        <w:pStyle w:val="Listitemasbody"/>
      </w:pPr>
      <w:r w:rsidRPr="001814D2">
        <w:rPr>
          <w:i/>
          <w:iCs/>
        </w:rPr>
        <w:t>Pat Larter: Get Arted</w:t>
      </w:r>
      <w:r w:rsidRPr="001814D2">
        <w:t>, 14 November 2020 – 21 March 2021</w:t>
      </w:r>
    </w:p>
    <w:p w14:paraId="00C66E6F" w14:textId="77777777" w:rsidR="009103CC" w:rsidRPr="001814D2" w:rsidRDefault="009103CC" w:rsidP="009103CC">
      <w:pPr>
        <w:pStyle w:val="Listitemasbody"/>
      </w:pPr>
      <w:r w:rsidRPr="001814D2">
        <w:rPr>
          <w:i/>
          <w:iCs/>
        </w:rPr>
        <w:t>Streeton</w:t>
      </w:r>
      <w:r w:rsidRPr="001814D2">
        <w:t>, 7 November 2020 – 14 February 2021, ticketed exhibition with catalogue</w:t>
      </w:r>
    </w:p>
    <w:p w14:paraId="57873A6A" w14:textId="77777777" w:rsidR="009103CC" w:rsidRPr="001814D2" w:rsidRDefault="009103CC" w:rsidP="009103CC">
      <w:pPr>
        <w:pStyle w:val="Listitemasbody"/>
      </w:pPr>
      <w:r w:rsidRPr="001814D2">
        <w:rPr>
          <w:i/>
          <w:iCs/>
        </w:rPr>
        <w:t>Margel Hinder: Modern in Motion</w:t>
      </w:r>
      <w:r w:rsidRPr="001814D2">
        <w:t>, 30 January 2021 – 2 May 2021, with tour and catalogue</w:t>
      </w:r>
    </w:p>
    <w:p w14:paraId="79D8E725" w14:textId="77777777" w:rsidR="009103CC" w:rsidRPr="001814D2" w:rsidRDefault="009103CC" w:rsidP="009103CC">
      <w:pPr>
        <w:pStyle w:val="Listitemasbody"/>
      </w:pPr>
      <w:r w:rsidRPr="001814D2">
        <w:rPr>
          <w:i/>
          <w:iCs/>
        </w:rPr>
        <w:t>ARTEXPRESS 2021</w:t>
      </w:r>
      <w:r w:rsidRPr="001814D2">
        <w:t>, 4 February 2021 – 5 April 2021</w:t>
      </w:r>
    </w:p>
    <w:p w14:paraId="11287EAA" w14:textId="77777777" w:rsidR="009103CC" w:rsidRPr="001814D2" w:rsidRDefault="009103CC" w:rsidP="009103CC">
      <w:pPr>
        <w:pStyle w:val="Listitemasbody"/>
      </w:pPr>
      <w:r w:rsidRPr="001814D2">
        <w:rPr>
          <w:i/>
          <w:iCs/>
        </w:rPr>
        <w:t>Longing for Home</w:t>
      </w:r>
      <w:r w:rsidRPr="001814D2">
        <w:t>, 6 March 2021 – 25 June 2021 (Exhibition closed 25 June 2021 due to COVID-19 lockdown)</w:t>
      </w:r>
    </w:p>
    <w:p w14:paraId="598FFBED" w14:textId="77777777" w:rsidR="009103CC" w:rsidRPr="001814D2" w:rsidRDefault="009103CC" w:rsidP="009103CC">
      <w:pPr>
        <w:pStyle w:val="Listitemasbody"/>
      </w:pPr>
      <w:r w:rsidRPr="001814D2">
        <w:rPr>
          <w:i/>
          <w:iCs/>
        </w:rPr>
        <w:t>The National 2021: New Australian Art</w:t>
      </w:r>
      <w:r w:rsidRPr="001814D2">
        <w:t>, 26 March 2021 – 25 June 2021 (Exhibition closed 25 June 2021 due to COVID-19 lockdown)</w:t>
      </w:r>
    </w:p>
    <w:p w14:paraId="03C08779" w14:textId="77777777" w:rsidR="009103CC" w:rsidRPr="001814D2" w:rsidRDefault="009103CC" w:rsidP="009103CC">
      <w:pPr>
        <w:pStyle w:val="Listitemasbody"/>
      </w:pPr>
      <w:r w:rsidRPr="001814D2">
        <w:rPr>
          <w:i/>
          <w:iCs/>
        </w:rPr>
        <w:t>The Way We Eat</w:t>
      </w:r>
      <w:r w:rsidRPr="001814D2">
        <w:t>, 3 April 2021 – 2022</w:t>
      </w:r>
    </w:p>
    <w:p w14:paraId="0C19CE4E" w14:textId="77777777" w:rsidR="009103CC" w:rsidRPr="001814D2" w:rsidRDefault="009103CC" w:rsidP="009103CC">
      <w:pPr>
        <w:pStyle w:val="Listitemasbody"/>
      </w:pPr>
      <w:r w:rsidRPr="001814D2">
        <w:rPr>
          <w:i/>
          <w:iCs/>
        </w:rPr>
        <w:t>Brett Whiteley: Printmaker</w:t>
      </w:r>
      <w:r w:rsidRPr="001814D2">
        <w:t>, 3 April 2021 – 25 June 2021 (Exhibition closed 25 June 2021 due to COVID-19 lockdown)</w:t>
      </w:r>
    </w:p>
    <w:p w14:paraId="550C334B" w14:textId="77777777" w:rsidR="009103CC" w:rsidRPr="001814D2" w:rsidRDefault="009103CC" w:rsidP="009103CC">
      <w:pPr>
        <w:pStyle w:val="Listitemasbody"/>
      </w:pPr>
      <w:r w:rsidRPr="001814D2">
        <w:rPr>
          <w:i/>
          <w:iCs/>
        </w:rPr>
        <w:t>Archibald, Wynne and Sulman Prizes 2021</w:t>
      </w:r>
      <w:r w:rsidRPr="001814D2">
        <w:t>, 5 June 2021 – 25 June 2021 (Exhibition closed 25 June 2021 due to COVID-19 lockdown), ticketed exhibition with tour and catalogue</w:t>
      </w:r>
    </w:p>
    <w:p w14:paraId="50189D7C" w14:textId="77777777" w:rsidR="009103CC" w:rsidRPr="001814D2" w:rsidRDefault="009103CC" w:rsidP="009103CC">
      <w:pPr>
        <w:pStyle w:val="Listitemasbody"/>
      </w:pPr>
      <w:r w:rsidRPr="001814D2">
        <w:rPr>
          <w:i/>
          <w:iCs/>
        </w:rPr>
        <w:t>Archie 100: A Century of the Archibald Prize</w:t>
      </w:r>
      <w:r w:rsidRPr="001814D2">
        <w:t>, 5 June 2021 – 25 June 2021 (Exhibition closed 25 June 2021 due to COVID-19 lockdown), ticketed exhibition with tour and catalogue</w:t>
      </w:r>
    </w:p>
    <w:p w14:paraId="5B5E84B3" w14:textId="77777777" w:rsidR="009103CC" w:rsidRPr="001814D2" w:rsidRDefault="009103CC" w:rsidP="009103CC">
      <w:pPr>
        <w:pStyle w:val="Listitemasbody"/>
      </w:pPr>
      <w:r w:rsidRPr="001814D2">
        <w:rPr>
          <w:i/>
          <w:iCs/>
        </w:rPr>
        <w:t>Hilma af Klint: The Secret Paintings</w:t>
      </w:r>
      <w:r w:rsidRPr="001814D2">
        <w:t>, 12 June 2021 – 25 June 2021 (Exhibition closed 25 June 2021 due to COVID-19 lockdown), ticketed exhibition with catalogue</w:t>
      </w:r>
    </w:p>
    <w:p w14:paraId="54159B05" w14:textId="77777777" w:rsidR="009103CC" w:rsidRPr="001814D2" w:rsidRDefault="009103CC" w:rsidP="009103CC">
      <w:pPr>
        <w:pStyle w:val="ARheading4"/>
      </w:pPr>
      <w:r w:rsidRPr="001814D2">
        <w:lastRenderedPageBreak/>
        <w:t>List of regional exhibitions</w:t>
      </w:r>
    </w:p>
    <w:p w14:paraId="5BE90068" w14:textId="77777777" w:rsidR="009103CC" w:rsidRPr="001814D2" w:rsidRDefault="009103CC" w:rsidP="009103CC">
      <w:pPr>
        <w:pStyle w:val="Listitemasbody"/>
      </w:pPr>
      <w:r w:rsidRPr="001814D2">
        <w:t xml:space="preserve">20 March 2020 – 23 March 2020 / 1 June 2020 – 26 July 2020, Bank Art Museum Moree, Moree, NSW, </w:t>
      </w:r>
      <w:r w:rsidRPr="001814D2">
        <w:rPr>
          <w:i/>
          <w:iCs/>
        </w:rPr>
        <w:t>Archibald Prize 2019</w:t>
      </w:r>
      <w:r w:rsidRPr="001814D2">
        <w:t>, 1793 visitors</w:t>
      </w:r>
    </w:p>
    <w:p w14:paraId="14C17DB6" w14:textId="77777777" w:rsidR="009103CC" w:rsidRPr="001814D2" w:rsidRDefault="009103CC" w:rsidP="009103CC">
      <w:pPr>
        <w:pStyle w:val="Listitemasbody"/>
      </w:pPr>
      <w:r w:rsidRPr="001814D2">
        <w:t xml:space="preserve">20 March 2020 – 20 September 2020, Hawkesbury Regional Gallery, Windsor, NSW, </w:t>
      </w:r>
      <w:r w:rsidRPr="001814D2">
        <w:rPr>
          <w:i/>
          <w:iCs/>
        </w:rPr>
        <w:t>Fieldwork</w:t>
      </w:r>
      <w:r w:rsidRPr="001814D2">
        <w:t>, 2746 visitors</w:t>
      </w:r>
    </w:p>
    <w:p w14:paraId="5E00601E" w14:textId="77777777" w:rsidR="009103CC" w:rsidRPr="001814D2" w:rsidRDefault="009103CC" w:rsidP="009103CC">
      <w:pPr>
        <w:pStyle w:val="Listitemasbody"/>
      </w:pPr>
      <w:r w:rsidRPr="001814D2">
        <w:t xml:space="preserve">17 July 2020 – 11 October 2020, Bathurst Regional Art Gallery, Bathurst, NSW, </w:t>
      </w:r>
      <w:r w:rsidRPr="001814D2">
        <w:rPr>
          <w:i/>
          <w:iCs/>
        </w:rPr>
        <w:t>Archibald Prize 2019</w:t>
      </w:r>
      <w:r w:rsidRPr="001814D2">
        <w:t>, 6717 visitors</w:t>
      </w:r>
    </w:p>
    <w:p w14:paraId="4F745728" w14:textId="77777777" w:rsidR="009103CC" w:rsidRPr="001814D2" w:rsidRDefault="009103CC" w:rsidP="009103CC">
      <w:pPr>
        <w:pStyle w:val="Listitemasbody"/>
      </w:pPr>
      <w:r w:rsidRPr="001814D2">
        <w:t xml:space="preserve">14 August 2020 – 7 February 2021, Maitland Regional Art Gallery, Maitland, NSW, </w:t>
      </w:r>
      <w:r w:rsidRPr="001814D2">
        <w:rPr>
          <w:i/>
          <w:iCs/>
        </w:rPr>
        <w:t>Fieldwork</w:t>
      </w:r>
      <w:r w:rsidRPr="001814D2">
        <w:t>, 11,410 visitors</w:t>
      </w:r>
    </w:p>
    <w:p w14:paraId="3D4087D4" w14:textId="77777777" w:rsidR="009103CC" w:rsidRPr="001814D2" w:rsidRDefault="009103CC" w:rsidP="009103CC">
      <w:pPr>
        <w:pStyle w:val="Listitemasbody"/>
      </w:pPr>
      <w:r w:rsidRPr="001814D2">
        <w:t xml:space="preserve">28 November 2020 – 6 March 2021, Coffs Harbour Regional Gallery, Coffs Harbour, NSW, </w:t>
      </w:r>
      <w:r w:rsidRPr="001814D2">
        <w:rPr>
          <w:i/>
          <w:iCs/>
        </w:rPr>
        <w:t>Archibald Prize 2019</w:t>
      </w:r>
      <w:r w:rsidRPr="001814D2">
        <w:t>, 13,487 visitors</w:t>
      </w:r>
    </w:p>
    <w:p w14:paraId="6FA791E0" w14:textId="77777777" w:rsidR="009103CC" w:rsidRPr="001814D2" w:rsidRDefault="009103CC" w:rsidP="009103CC">
      <w:pPr>
        <w:pStyle w:val="Listitemasbody"/>
      </w:pPr>
      <w:r w:rsidRPr="001814D2">
        <w:t xml:space="preserve">22 January 2021 – 7 March 2021, Tweed Regional Gallery and Margaret Olley Art Centre, Murwillumbah, NSW, </w:t>
      </w:r>
      <w:r w:rsidRPr="001814D2">
        <w:rPr>
          <w:i/>
          <w:iCs/>
        </w:rPr>
        <w:t>Archibald Prize 2020</w:t>
      </w:r>
      <w:r w:rsidRPr="001814D2">
        <w:t>, 21,821 visitors</w:t>
      </w:r>
    </w:p>
    <w:p w14:paraId="0A94319E" w14:textId="77777777" w:rsidR="009103CC" w:rsidRPr="001814D2" w:rsidRDefault="009103CC" w:rsidP="009103CC">
      <w:pPr>
        <w:pStyle w:val="Listitemasbody"/>
      </w:pPr>
      <w:r w:rsidRPr="001814D2">
        <w:t xml:space="preserve">22 January 2021 – 4 October 2021, National Film and Sound Archive, Canberra, ACT, </w:t>
      </w:r>
      <w:r w:rsidRPr="001814D2">
        <w:rPr>
          <w:i/>
          <w:iCs/>
        </w:rPr>
        <w:t>Mervyn Bishop</w:t>
      </w:r>
      <w:r w:rsidRPr="001814D2">
        <w:t>, 2224 visitors</w:t>
      </w:r>
    </w:p>
    <w:p w14:paraId="72403BF5" w14:textId="77777777" w:rsidR="009103CC" w:rsidRPr="001814D2" w:rsidRDefault="009103CC" w:rsidP="009103CC">
      <w:pPr>
        <w:pStyle w:val="Listitemasbody"/>
      </w:pPr>
      <w:r w:rsidRPr="001814D2">
        <w:t xml:space="preserve">6 March 2021 – 25 April 2021, Lismore Regional Gallery, Lismore, NSW, </w:t>
      </w:r>
      <w:r w:rsidRPr="001814D2">
        <w:rPr>
          <w:i/>
          <w:iCs/>
        </w:rPr>
        <w:t>Real Worlds: Dobell Australian Drawing Biennial 2020</w:t>
      </w:r>
      <w:r w:rsidRPr="001814D2">
        <w:t>, 5758 visitors</w:t>
      </w:r>
    </w:p>
    <w:p w14:paraId="254923BC" w14:textId="77777777" w:rsidR="009103CC" w:rsidRPr="001814D2" w:rsidRDefault="009103CC" w:rsidP="009103CC">
      <w:pPr>
        <w:pStyle w:val="Listitemasbody"/>
      </w:pPr>
      <w:r w:rsidRPr="001814D2">
        <w:t xml:space="preserve">6 March 2021 – 10 July 2021, National Library of Australia, Canberra, ACT, </w:t>
      </w:r>
      <w:r w:rsidRPr="001814D2">
        <w:rPr>
          <w:i/>
          <w:iCs/>
        </w:rPr>
        <w:t>A Nation Imagined: The Artists of the Picturesque Atlas</w:t>
      </w:r>
      <w:r w:rsidRPr="001814D2">
        <w:t>, 17,639 visitors</w:t>
      </w:r>
    </w:p>
    <w:p w14:paraId="01ECB559" w14:textId="77777777" w:rsidR="009103CC" w:rsidRPr="001814D2" w:rsidRDefault="009103CC" w:rsidP="009103CC">
      <w:pPr>
        <w:pStyle w:val="Listitemasbody"/>
      </w:pPr>
      <w:r w:rsidRPr="001814D2">
        <w:t xml:space="preserve">12 March 2021 – 9 May 2021, Penrith Regional Gallery, Penrith, NSW, </w:t>
      </w:r>
      <w:r w:rsidRPr="001814D2">
        <w:rPr>
          <w:i/>
          <w:iCs/>
        </w:rPr>
        <w:t>Fieldwork</w:t>
      </w:r>
      <w:r w:rsidRPr="001814D2">
        <w:t>, 4102 visitors</w:t>
      </w:r>
    </w:p>
    <w:p w14:paraId="70F5C6D5" w14:textId="77777777" w:rsidR="009103CC" w:rsidRPr="001814D2" w:rsidRDefault="009103CC" w:rsidP="009103CC">
      <w:pPr>
        <w:pStyle w:val="Listitemasbody"/>
      </w:pPr>
      <w:r w:rsidRPr="001814D2">
        <w:t xml:space="preserve">19 March 2021 – 3 May 2021, Cairns Regional Gallery, Cairns, QLD, </w:t>
      </w:r>
      <w:r w:rsidRPr="001814D2">
        <w:rPr>
          <w:i/>
          <w:iCs/>
        </w:rPr>
        <w:t>Archibald Prize 2020</w:t>
      </w:r>
      <w:r w:rsidRPr="001814D2">
        <w:t>, 34,119 visitors</w:t>
      </w:r>
    </w:p>
    <w:p w14:paraId="1FD9DFBB" w14:textId="77777777" w:rsidR="009103CC" w:rsidRPr="001814D2" w:rsidRDefault="009103CC" w:rsidP="009103CC">
      <w:pPr>
        <w:pStyle w:val="ARheading3"/>
      </w:pPr>
      <w:r w:rsidRPr="001814D2">
        <w:t>Indigenous Advisory Group</w:t>
      </w:r>
    </w:p>
    <w:p w14:paraId="0468C734" w14:textId="77777777" w:rsidR="009103CC" w:rsidRPr="001814D2" w:rsidRDefault="009103CC" w:rsidP="009103CC">
      <w:pPr>
        <w:pStyle w:val="ARbody"/>
      </w:pPr>
      <w:r w:rsidRPr="001814D2">
        <w:t xml:space="preserve">The Art Gallery is deeply committed to supporting and celebrating Aboriginal and Torres Strait Islander people, perspectives and cultural practices. </w:t>
      </w:r>
    </w:p>
    <w:p w14:paraId="42AEC732" w14:textId="77777777" w:rsidR="009103CC" w:rsidRPr="001814D2" w:rsidRDefault="009103CC" w:rsidP="009103CC">
      <w:pPr>
        <w:pStyle w:val="ARbody"/>
      </w:pPr>
      <w:r w:rsidRPr="001814D2">
        <w:t xml:space="preserve">The Indigenous Advisory Group advises the Art Gallery on realising positive and necessary change, implementing the Indigenous Action Plan, and engaging deeply with Aboriginal and Torres Strait Islander cultural considerations in the lead-up to the completion of the Sydney Modern Project. </w:t>
      </w:r>
    </w:p>
    <w:p w14:paraId="461C9092" w14:textId="77777777" w:rsidR="009103CC" w:rsidRPr="001814D2" w:rsidRDefault="009103CC" w:rsidP="009103CC">
      <w:pPr>
        <w:pStyle w:val="ARbody"/>
      </w:pPr>
      <w:r w:rsidRPr="001814D2">
        <w:lastRenderedPageBreak/>
        <w:t>The Art Gallery’s Indigenous Advisory Group met six times between July 2020 and June 2021. Its membership comprises Tony Albert (chair); Uncle Chicka Madden; Uncle Allen Madden; Wesley Enoch; Stephen Gilchrist; Jason Glanville; Hetti Perkins; Rachel Piercy.</w:t>
      </w:r>
    </w:p>
    <w:p w14:paraId="50E30ED9" w14:textId="77777777" w:rsidR="009103CC" w:rsidRPr="001814D2" w:rsidRDefault="009103CC" w:rsidP="009103CC">
      <w:pPr>
        <w:pStyle w:val="ARheading4"/>
      </w:pPr>
      <w:r w:rsidRPr="001814D2">
        <w:t xml:space="preserve">Indigenous Action Plan </w:t>
      </w:r>
    </w:p>
    <w:p w14:paraId="31BD848F" w14:textId="77777777" w:rsidR="009103CC" w:rsidRPr="001814D2" w:rsidRDefault="009103CC" w:rsidP="009103CC">
      <w:pPr>
        <w:pStyle w:val="ARbody"/>
      </w:pPr>
      <w:r w:rsidRPr="001814D2">
        <w:t xml:space="preserve">In 2020–21 the Art Gallery made significant progress against its Indigenous Action Plan 2018–21. Following his appointment as an Art Gallery trustee in January 2020, Tony Albert continued to chair the Indigenous Advisory Group, providing a valuable link between the group and the Board of Trustees. </w:t>
      </w:r>
    </w:p>
    <w:p w14:paraId="4E9320BD" w14:textId="77777777" w:rsidR="009103CC" w:rsidRPr="001814D2" w:rsidRDefault="009103CC" w:rsidP="009103CC">
      <w:pPr>
        <w:pStyle w:val="ARbody"/>
      </w:pPr>
      <w:r w:rsidRPr="001814D2">
        <w:t xml:space="preserve">The Indigenous Advisory Group provided advice on the Art Gallery’s Sydney Modern Project art commissions, and contributed to the Art Gallery’s identity project, especially regarding Welcomes to and Acknowledgements of Country. Guidance from the group also contributed to the Art Gallery’s updated Aboriginal and Torres Strait Islander Engagement Strategy. </w:t>
      </w:r>
    </w:p>
    <w:p w14:paraId="7D5BD4BD" w14:textId="77777777" w:rsidR="009103CC" w:rsidRPr="001814D2" w:rsidRDefault="009103CC" w:rsidP="009103CC">
      <w:pPr>
        <w:pStyle w:val="ARbody"/>
      </w:pPr>
      <w:r w:rsidRPr="001814D2">
        <w:t>The Art Gallery’s Aboriginal and Torres Strait Islander art team worked with the Indigenous Advisory Group to develop and implement a series of cultural learning experiences and training for Art Gallery staff to help embed First Nations perspectives in the organisation ahead of the opening of the Sydney Modern Project.</w:t>
      </w:r>
    </w:p>
    <w:p w14:paraId="46FD4DF2" w14:textId="77777777" w:rsidR="009103CC" w:rsidRPr="001814D2" w:rsidRDefault="009103CC" w:rsidP="009103CC">
      <w:pPr>
        <w:pStyle w:val="ARbody"/>
      </w:pPr>
      <w:r w:rsidRPr="001814D2">
        <w:t xml:space="preserve">With funding provided by the De Carle Bequest, the Djamu and Home art education programs were expanded in 2020–21, providing increased opportunities for school students across NSW, including those in youth justice, to engage with Aboriginal art, artists and educators, both in person and online. The bequest has also enabled the provision of funding to regional galleries to develop artist workshops as part of the program. Indigenous Advisory Group member Rachel Piercy and Cara Pinchbeck, senior curator Aboriginal and Torres Strait Islander art, are part of the committee overseeing this bequest. </w:t>
      </w:r>
    </w:p>
    <w:p w14:paraId="7EA41D58" w14:textId="77777777" w:rsidR="009103CC" w:rsidRPr="001814D2" w:rsidRDefault="009103CC" w:rsidP="009103CC">
      <w:pPr>
        <w:pStyle w:val="ARbody"/>
      </w:pPr>
      <w:r w:rsidRPr="001814D2">
        <w:t xml:space="preserve">Representatives from the Aboriginal and Torres Strait Islander art team joined the Art Gallery’s Community Advisory Group and Exhibitions Approval Committee, supporting deeper awareness of Indigenous culture in the Art Gallery’s collections and planning. </w:t>
      </w:r>
    </w:p>
    <w:p w14:paraId="7906B067" w14:textId="77777777" w:rsidR="009103CC" w:rsidRPr="001814D2" w:rsidRDefault="009103CC" w:rsidP="009103CC">
      <w:pPr>
        <w:pStyle w:val="ARbody"/>
      </w:pPr>
      <w:r w:rsidRPr="001814D2">
        <w:t xml:space="preserve">The Art Gallery collaborated with the Sydney Opera House to realise the third iteration of </w:t>
      </w:r>
      <w:r w:rsidRPr="001814D2">
        <w:rPr>
          <w:i/>
          <w:iCs/>
        </w:rPr>
        <w:t>Badu Gili</w:t>
      </w:r>
      <w:r w:rsidRPr="001814D2">
        <w:t xml:space="preserve">, a projection of artworks on the Sydney Opera House sails, titled </w:t>
      </w:r>
      <w:r w:rsidRPr="001814D2">
        <w:rPr>
          <w:i/>
          <w:iCs/>
        </w:rPr>
        <w:t>Badu Gili: Wonder Women</w:t>
      </w:r>
      <w:r w:rsidRPr="001814D2">
        <w:t xml:space="preserve"> and curated by the Art Gallery’s curator of Aboriginal and Torres Strait Islander art Coby Edgar.</w:t>
      </w:r>
    </w:p>
    <w:p w14:paraId="10AA4DF1" w14:textId="77777777" w:rsidR="009103CC" w:rsidRPr="001814D2" w:rsidRDefault="009103CC" w:rsidP="009103CC">
      <w:pPr>
        <w:pStyle w:val="ARheading3"/>
      </w:pPr>
      <w:r w:rsidRPr="001814D2">
        <w:t>Community Advisory Group</w:t>
      </w:r>
    </w:p>
    <w:p w14:paraId="707CC707" w14:textId="77777777" w:rsidR="009103CC" w:rsidRPr="001814D2" w:rsidRDefault="009103CC" w:rsidP="009103CC">
      <w:pPr>
        <w:pStyle w:val="ARbody"/>
      </w:pPr>
      <w:r w:rsidRPr="001814D2">
        <w:t xml:space="preserve">Building on the Art Gallery’s long history of connection with artists and the public through exhibitions, public programming, education and community-engaged practice, in February 2021 the Art Gallery created a new Community Working Group to act in an advisory capacity </w:t>
      </w:r>
      <w:r w:rsidRPr="001814D2">
        <w:lastRenderedPageBreak/>
        <w:t xml:space="preserve">to guide inclusivity and opportunity for all, and to ensure as many people and communities as possible are represented and acknowledged through exhibitions and programs. </w:t>
      </w:r>
    </w:p>
    <w:p w14:paraId="7DEC4562" w14:textId="77777777" w:rsidR="009103CC" w:rsidRPr="001814D2" w:rsidRDefault="009103CC" w:rsidP="009103CC">
      <w:pPr>
        <w:pStyle w:val="ARbody"/>
      </w:pPr>
      <w:r w:rsidRPr="001814D2">
        <w:t>The Community Advisory Group’s key goals are to:</w:t>
      </w:r>
    </w:p>
    <w:p w14:paraId="6C2ECBE4" w14:textId="77777777" w:rsidR="009103CC" w:rsidRPr="001814D2" w:rsidRDefault="009103CC" w:rsidP="009103CC">
      <w:pPr>
        <w:pStyle w:val="ARlistparagraph"/>
      </w:pPr>
      <w:r w:rsidRPr="001814D2">
        <w:t>advocate for emerging artists to increase their presence within the Art Gallery, and identify ways to embed inclusion in artistic and programming activity to broaden reach across both audiences and artists</w:t>
      </w:r>
    </w:p>
    <w:p w14:paraId="5A50DD71" w14:textId="77777777" w:rsidR="009103CC" w:rsidRPr="001814D2" w:rsidRDefault="009103CC" w:rsidP="009103CC">
      <w:pPr>
        <w:pStyle w:val="ARlistparagraph"/>
      </w:pPr>
      <w:r w:rsidRPr="001814D2">
        <w:t>drive alternative pathways to participation in exhibitions, programs and events within the Art Gallery for artists and creative communities who may experience barriers to access</w:t>
      </w:r>
    </w:p>
    <w:p w14:paraId="6B4C1C61" w14:textId="77777777" w:rsidR="009103CC" w:rsidRPr="001814D2" w:rsidRDefault="009103CC" w:rsidP="009103CC">
      <w:pPr>
        <w:pStyle w:val="ARlistparagraph"/>
      </w:pPr>
      <w:r w:rsidRPr="001814D2">
        <w:t xml:space="preserve">identify core communities and local government areas across Western and South Western Sydney, as well as regional NSW, to ensure opportunities for strategic creative projects that engage directly with communities </w:t>
      </w:r>
    </w:p>
    <w:p w14:paraId="61E99765" w14:textId="77777777" w:rsidR="009103CC" w:rsidRPr="001814D2" w:rsidRDefault="009103CC" w:rsidP="009103CC">
      <w:pPr>
        <w:pStyle w:val="ARlistparagraph"/>
      </w:pPr>
      <w:r w:rsidRPr="001814D2">
        <w:t>support diverse creative communities through resource sharing and identifying ways to acknowledge parallel learning streams that develop new pathways for artists.</w:t>
      </w:r>
    </w:p>
    <w:p w14:paraId="5961D5BB" w14:textId="77777777" w:rsidR="009103CC" w:rsidRPr="001814D2" w:rsidRDefault="009103CC" w:rsidP="009103CC">
      <w:pPr>
        <w:pStyle w:val="ARbody"/>
      </w:pPr>
      <w:r w:rsidRPr="001814D2">
        <w:t>With each meeting attended by both the Art Gallery’s director, Michael Brand, and deputy director and director of collections, Maud Page, and staff representation across Collections, Learning and Participation, and People and Culture, the Community Advisory Group also includes the following external advisers who are all highly respected leaders or emerging leaders in their fields: Abdul Abdullah, multi-disciplinary visual artist; Debbie Nguyen, manager, community engagement, Anti-Discrimination NSW; Lena Nahlous, executive director, Diversity Arts Australia; Marikit Santiago, visual artist; and Sukhdeep Singh Bhogal (L-FRESH The Lion), hip hop musical artist and artistic director of Conscious, an artist development program for artists from Western Sydney.</w:t>
      </w:r>
    </w:p>
    <w:p w14:paraId="1951512F" w14:textId="77777777" w:rsidR="009103CC" w:rsidRPr="001814D2" w:rsidRDefault="009103CC" w:rsidP="009103CC">
      <w:pPr>
        <w:pStyle w:val="ARbody"/>
      </w:pPr>
      <w:r w:rsidRPr="001814D2">
        <w:t>The Art Gallery’s Community Advisory Group met twice between its formation in February 2021 and 30 June 2021.</w:t>
      </w:r>
    </w:p>
    <w:p w14:paraId="5FA44147" w14:textId="77777777" w:rsidR="009103CC" w:rsidRPr="00F61169" w:rsidRDefault="009103CC" w:rsidP="009103CC">
      <w:pPr>
        <w:pStyle w:val="ARheading3"/>
      </w:pPr>
      <w:r w:rsidRPr="00F61169">
        <w:t>Film</w:t>
      </w:r>
    </w:p>
    <w:p w14:paraId="3B692C64" w14:textId="77777777" w:rsidR="009103CC" w:rsidRPr="001814D2" w:rsidRDefault="009103CC" w:rsidP="009103CC">
      <w:pPr>
        <w:pStyle w:val="ARbody"/>
      </w:pPr>
      <w:r w:rsidRPr="001814D2">
        <w:t xml:space="preserve">The Art Gallery’s free weekly film program attracted attendance of 14,495 in 2020–21. Film programs were suspended from 15 March 2020 to 8 November 2021 due to COVID-19 restrictions. </w:t>
      </w:r>
    </w:p>
    <w:p w14:paraId="4CD8CBDF" w14:textId="77777777" w:rsidR="009103CC" w:rsidRPr="001814D2" w:rsidRDefault="009103CC" w:rsidP="009103CC">
      <w:pPr>
        <w:pStyle w:val="ARbody"/>
      </w:pPr>
      <w:r w:rsidRPr="001814D2">
        <w:t xml:space="preserve">Each Wednesday and Sunday, audiences enjoyed free access to thematic and retrospective film seasons, including: </w:t>
      </w:r>
    </w:p>
    <w:p w14:paraId="34121828" w14:textId="77777777" w:rsidR="009103CC" w:rsidRPr="001814D2" w:rsidRDefault="009103CC" w:rsidP="009103CC">
      <w:pPr>
        <w:pStyle w:val="ARlistparagraph"/>
      </w:pPr>
      <w:r w:rsidRPr="001814D2">
        <w:rPr>
          <w:rStyle w:val="RegularItalic"/>
        </w:rPr>
        <w:t>Choreomania</w:t>
      </w:r>
      <w:r w:rsidRPr="001814D2">
        <w:t xml:space="preserve"> (8 November 2020 – 20 January 2021) </w:t>
      </w:r>
    </w:p>
    <w:p w14:paraId="353590D2" w14:textId="77777777" w:rsidR="009103CC" w:rsidRPr="001814D2" w:rsidRDefault="009103CC" w:rsidP="009103CC">
      <w:pPr>
        <w:pStyle w:val="ARlistparagraph"/>
      </w:pPr>
      <w:r w:rsidRPr="001814D2">
        <w:rPr>
          <w:rStyle w:val="RegularItalic"/>
        </w:rPr>
        <w:lastRenderedPageBreak/>
        <w:t>Zany, cute, interesting</w:t>
      </w:r>
      <w:r w:rsidRPr="001814D2">
        <w:t xml:space="preserve"> (10 March – 16 May 2021) </w:t>
      </w:r>
    </w:p>
    <w:p w14:paraId="63019D68" w14:textId="77777777" w:rsidR="009103CC" w:rsidRPr="001814D2" w:rsidRDefault="009103CC" w:rsidP="009103CC">
      <w:pPr>
        <w:pStyle w:val="ARlistparagraph"/>
      </w:pPr>
      <w:r w:rsidRPr="001814D2">
        <w:rPr>
          <w:rStyle w:val="RegularItalic"/>
        </w:rPr>
        <w:t>Pop fictions</w:t>
      </w:r>
      <w:r w:rsidRPr="001814D2">
        <w:t xml:space="preserve"> (3 April – 29 May 2021). </w:t>
      </w:r>
    </w:p>
    <w:p w14:paraId="500085CF" w14:textId="77777777" w:rsidR="009103CC" w:rsidRPr="001814D2" w:rsidRDefault="009103CC" w:rsidP="009103CC">
      <w:pPr>
        <w:pStyle w:val="ARbody"/>
      </w:pPr>
      <w:r w:rsidRPr="001814D2">
        <w:t xml:space="preserve">Program partnerships included: </w:t>
      </w:r>
    </w:p>
    <w:p w14:paraId="3F1A26AC" w14:textId="77777777" w:rsidR="009103CC" w:rsidRPr="001814D2" w:rsidRDefault="009103CC" w:rsidP="009103CC">
      <w:pPr>
        <w:pStyle w:val="ARlistparagraph"/>
      </w:pPr>
      <w:r w:rsidRPr="001814D2">
        <w:rPr>
          <w:rStyle w:val="RegularItalic"/>
        </w:rPr>
        <w:t xml:space="preserve">Love and neon: the cinema of Wong Kar Wai </w:t>
      </w:r>
      <w:r w:rsidRPr="001814D2">
        <w:t xml:space="preserve">– Sydney Film Festival (January 2021) </w:t>
      </w:r>
    </w:p>
    <w:p w14:paraId="694A7178" w14:textId="77777777" w:rsidR="009103CC" w:rsidRPr="001814D2" w:rsidRDefault="009103CC" w:rsidP="009103CC">
      <w:pPr>
        <w:pStyle w:val="ARlistparagraph"/>
      </w:pPr>
      <w:r w:rsidRPr="001814D2">
        <w:rPr>
          <w:rStyle w:val="RegularItalic"/>
        </w:rPr>
        <w:t>Classics retrospective</w:t>
      </w:r>
      <w:r w:rsidRPr="001814D2">
        <w:t xml:space="preserve"> – Japan Foundation (February 2021)</w:t>
      </w:r>
    </w:p>
    <w:p w14:paraId="67EFF264" w14:textId="77777777" w:rsidR="009103CC" w:rsidRPr="001814D2" w:rsidRDefault="009103CC" w:rsidP="009103CC">
      <w:pPr>
        <w:pStyle w:val="ARlistparagraph"/>
      </w:pPr>
      <w:r w:rsidRPr="001814D2">
        <w:rPr>
          <w:rStyle w:val="RegularItalic"/>
        </w:rPr>
        <w:t>Projections</w:t>
      </w:r>
      <w:r w:rsidRPr="001814D2">
        <w:t xml:space="preserve"> (yearly sponsorship) – UTS Faculty of Arts and Social Sciences (May 2021)</w:t>
      </w:r>
    </w:p>
    <w:p w14:paraId="7B32D272" w14:textId="77777777" w:rsidR="009103CC" w:rsidRPr="001814D2" w:rsidRDefault="009103CC" w:rsidP="009103CC">
      <w:pPr>
        <w:pStyle w:val="ARheading4"/>
      </w:pPr>
      <w:r w:rsidRPr="001814D2">
        <w:t>Highlights</w:t>
      </w:r>
    </w:p>
    <w:p w14:paraId="67C063BC" w14:textId="77777777" w:rsidR="009103CC" w:rsidRPr="001814D2" w:rsidRDefault="009103CC" w:rsidP="009103CC">
      <w:pPr>
        <w:pStyle w:val="ARbody"/>
      </w:pPr>
      <w:r w:rsidRPr="001814D2">
        <w:t xml:space="preserve">Throughout the COVID-19 pandemic, the film program continued to offer audiences free online screenings and new work commissions by leading Australian artists including Karrabing Film Collective, Taloi Havini, Gabrielle Brady and mudmind (Ama Josephine Budge, April Lin </w:t>
      </w:r>
      <w:r w:rsidRPr="001814D2">
        <w:rPr>
          <w:rFonts w:ascii="MS Gothic" w:eastAsia="MS Gothic" w:hAnsi="MS Gothic" w:cs="MS Gothic"/>
        </w:rPr>
        <w:t>林森</w:t>
      </w:r>
      <w:r w:rsidRPr="001814D2">
        <w:t xml:space="preserve"> and Sam Smith). </w:t>
      </w:r>
    </w:p>
    <w:p w14:paraId="5ABF1B1B" w14:textId="77777777" w:rsidR="009103CC" w:rsidRPr="001814D2" w:rsidRDefault="009103CC" w:rsidP="009103CC">
      <w:pPr>
        <w:pStyle w:val="ARbody"/>
      </w:pPr>
      <w:r w:rsidRPr="001814D2">
        <w:t>Despite ongoing restrictions, the film program also hosted multiple curated film series, silent film with live music commissions, artist talks and performances.</w:t>
      </w:r>
    </w:p>
    <w:p w14:paraId="707FC5A7" w14:textId="77777777" w:rsidR="009103CC" w:rsidRPr="001814D2" w:rsidRDefault="009103CC" w:rsidP="009103CC">
      <w:pPr>
        <w:pStyle w:val="ARheading3"/>
      </w:pPr>
      <w:r w:rsidRPr="001814D2">
        <w:t xml:space="preserve">Brett Whiteley Studio </w:t>
      </w:r>
    </w:p>
    <w:p w14:paraId="70CE989E" w14:textId="77777777" w:rsidR="009103CC" w:rsidRPr="001814D2" w:rsidRDefault="009103CC" w:rsidP="009103CC">
      <w:pPr>
        <w:pStyle w:val="ARbody"/>
      </w:pPr>
      <w:r w:rsidRPr="001814D2">
        <w:t>In 2020–21, the Brett Whiteley Studio was open to the public four days a week (Thursday to Sunday) and welcomed a total of 7811 visitors, including 7630 members of the public. Principal sponsor JP Morgan continued to fund free admission to the Studio during this period. In addition to public visitation, 181 people attended private and internal functions held at the Studio.</w:t>
      </w:r>
    </w:p>
    <w:p w14:paraId="40C1D677" w14:textId="77777777" w:rsidR="009103CC" w:rsidRPr="001814D2" w:rsidRDefault="009103CC" w:rsidP="009103CC">
      <w:pPr>
        <w:pStyle w:val="ARbody"/>
      </w:pPr>
      <w:r w:rsidRPr="001814D2">
        <w:t xml:space="preserve">The Studio’s public visitation figures are lower than last year (11 611) due to the impacts of COVID-19. Following the 2020 lockdown, public and education programs did not resume at the Studio because its limited capacity restricted attendance. The Studio was again closed to the public from 25 June 2021. </w:t>
      </w:r>
    </w:p>
    <w:p w14:paraId="674D70D0" w14:textId="77777777" w:rsidR="009103CC" w:rsidRPr="001814D2" w:rsidRDefault="009103CC" w:rsidP="009103CC">
      <w:pPr>
        <w:pStyle w:val="ARbody"/>
      </w:pPr>
      <w:r w:rsidRPr="001814D2">
        <w:t xml:space="preserve">The Studio acknowledges the leadership and support of the Brett Whiteley Studio Foundation and its chair Samantha Meers. Wendy Whiteley’s creative and philanthropic commitment and Anne Ryan’s continued significant curatorial support and promotion of the Studio and its touring exhibitions are also sincerely appreciated. </w:t>
      </w:r>
    </w:p>
    <w:p w14:paraId="20EDD6BF" w14:textId="77777777" w:rsidR="009103CC" w:rsidRPr="001814D2" w:rsidRDefault="009103CC" w:rsidP="009103CC">
      <w:pPr>
        <w:pStyle w:val="ARheading4"/>
      </w:pPr>
      <w:r w:rsidRPr="001814D2">
        <w:t xml:space="preserve">Exhibitions </w:t>
      </w:r>
    </w:p>
    <w:p w14:paraId="5F54288A" w14:textId="77777777" w:rsidR="009103CC" w:rsidRPr="001814D2" w:rsidRDefault="009103CC" w:rsidP="009103CC">
      <w:pPr>
        <w:pStyle w:val="ARlistparagraph"/>
      </w:pPr>
      <w:r w:rsidRPr="001814D2">
        <w:rPr>
          <w:i/>
          <w:iCs/>
        </w:rPr>
        <w:t>Brett Whiteley: Feathers and Flight</w:t>
      </w:r>
      <w:r w:rsidRPr="001814D2">
        <w:t>, 4 June 2020 – 28 March 2021</w:t>
      </w:r>
    </w:p>
    <w:p w14:paraId="3AA41717" w14:textId="77777777" w:rsidR="009103CC" w:rsidRPr="001814D2" w:rsidRDefault="009103CC" w:rsidP="009103CC">
      <w:pPr>
        <w:pStyle w:val="ARlistparagraph"/>
      </w:pPr>
      <w:r w:rsidRPr="001814D2">
        <w:rPr>
          <w:i/>
          <w:iCs/>
        </w:rPr>
        <w:t>Brett Whiteley Travelling Art Scholarship 2020</w:t>
      </w:r>
      <w:r w:rsidRPr="001814D2">
        <w:t xml:space="preserve">, 15 October – 15 November 2020 </w:t>
      </w:r>
    </w:p>
    <w:p w14:paraId="4416A8D8" w14:textId="77777777" w:rsidR="009103CC" w:rsidRPr="001814D2" w:rsidRDefault="009103CC" w:rsidP="009103CC">
      <w:pPr>
        <w:pStyle w:val="ARlistparagraph"/>
      </w:pPr>
      <w:r w:rsidRPr="001814D2">
        <w:rPr>
          <w:i/>
          <w:iCs/>
        </w:rPr>
        <w:lastRenderedPageBreak/>
        <w:t>Brett Whiteley: Printmaker</w:t>
      </w:r>
      <w:r w:rsidRPr="001814D2">
        <w:t>, 3 April – 11 July 2021 (closed early due to COVID-19)</w:t>
      </w:r>
    </w:p>
    <w:p w14:paraId="345837FE" w14:textId="77777777" w:rsidR="009103CC" w:rsidRPr="001814D2" w:rsidRDefault="009103CC" w:rsidP="009103CC">
      <w:pPr>
        <w:pStyle w:val="ARheading4"/>
      </w:pPr>
      <w:r w:rsidRPr="001814D2">
        <w:t>Scholarship</w:t>
      </w:r>
    </w:p>
    <w:p w14:paraId="3768D6BA" w14:textId="77777777" w:rsidR="009103CC" w:rsidRPr="001814D2" w:rsidRDefault="009103CC" w:rsidP="009103CC">
      <w:pPr>
        <w:pStyle w:val="ARbody"/>
      </w:pPr>
      <w:r w:rsidRPr="001814D2">
        <w:t xml:space="preserve">The 2020 Brett Whiteley Travelling Art Scholarship was a success despite the impacts of COVID-19. With international border restrictions preventing overseas travel, a new format was adopted for the scholarship, with five selected recipients awarded $10,000 and a two-week residency at, and generously supported by, the Shark Island Institute in Kangaroo Valley, New South Wales. The residency also included an artist mentorship with former scholarship winner Ben Quilty. Guest judge Lucy Culliton selected five recipients from 129 entries. </w:t>
      </w:r>
    </w:p>
    <w:p w14:paraId="4C02740A" w14:textId="77777777" w:rsidR="009103CC" w:rsidRPr="001814D2" w:rsidRDefault="009103CC" w:rsidP="009103CC">
      <w:pPr>
        <w:pStyle w:val="ARbody"/>
      </w:pPr>
      <w:r w:rsidRPr="001814D2">
        <w:t>The five recipients in 2020 were Dan Kyle (NSW); Lily Platts (NSW); Charlie Ingemar Harding (VIC); Georgia Spain (TAS); and Emily Grace Imeson (NSW).</w:t>
      </w:r>
    </w:p>
    <w:p w14:paraId="152A6EA4" w14:textId="77777777" w:rsidR="009103CC" w:rsidRPr="001814D2" w:rsidRDefault="009103CC" w:rsidP="009103CC">
      <w:pPr>
        <w:pStyle w:val="ARbody"/>
      </w:pPr>
      <w:r w:rsidRPr="001814D2">
        <w:t>Entries for the 2021 scholarship opened on 12 July and will follow the same format.</w:t>
      </w:r>
    </w:p>
    <w:p w14:paraId="17E3363D" w14:textId="77777777" w:rsidR="009103CC" w:rsidRPr="001814D2" w:rsidRDefault="009103CC" w:rsidP="009103CC">
      <w:pPr>
        <w:pStyle w:val="ARheading4"/>
      </w:pPr>
      <w:r w:rsidRPr="001814D2">
        <w:t xml:space="preserve">Digital engagement </w:t>
      </w:r>
    </w:p>
    <w:p w14:paraId="02A47F88" w14:textId="77777777" w:rsidR="009103CC" w:rsidRPr="001814D2" w:rsidRDefault="009103CC" w:rsidP="009103CC">
      <w:pPr>
        <w:pStyle w:val="ARlistparagraph"/>
      </w:pPr>
      <w:r w:rsidRPr="001814D2">
        <w:t xml:space="preserve">89,523 Brett Whiteley Studio website pageviews, including exhibition pages and the audio guide (not including Brett Whiteley works on main Art Gallery website, Brett Whiteley shop product, or non-PDF education kits) </w:t>
      </w:r>
    </w:p>
    <w:p w14:paraId="7BBD2ED0" w14:textId="77777777" w:rsidR="009103CC" w:rsidRPr="001814D2" w:rsidRDefault="009103CC" w:rsidP="009103CC">
      <w:pPr>
        <w:pStyle w:val="ARlistparagraph"/>
      </w:pPr>
      <w:r w:rsidRPr="001814D2">
        <w:t xml:space="preserve">Most viewed pages on Brett Whiteley Studio website: Brett Whiteley Travelling Art Scholarship, 8222 pageviews; </w:t>
      </w:r>
      <w:r w:rsidRPr="001814D2">
        <w:rPr>
          <w:i/>
          <w:iCs/>
        </w:rPr>
        <w:t>Feathers and Flight</w:t>
      </w:r>
      <w:r w:rsidRPr="001814D2">
        <w:t xml:space="preserve"> and </w:t>
      </w:r>
      <w:r w:rsidRPr="001814D2">
        <w:rPr>
          <w:i/>
          <w:iCs/>
        </w:rPr>
        <w:t>Printmaker</w:t>
      </w:r>
      <w:r w:rsidRPr="001814D2">
        <w:t xml:space="preserve"> exhibition pages, 23,643 views</w:t>
      </w:r>
    </w:p>
    <w:p w14:paraId="23B9DA6D" w14:textId="77777777" w:rsidR="009103CC" w:rsidRPr="001814D2" w:rsidRDefault="009103CC" w:rsidP="009103CC">
      <w:pPr>
        <w:pStyle w:val="ARlistparagraph"/>
      </w:pPr>
      <w:r w:rsidRPr="001814D2">
        <w:t xml:space="preserve">8400 Brett Whiteley Studio Facebook page followers </w:t>
      </w:r>
    </w:p>
    <w:p w14:paraId="2BFD518E" w14:textId="77777777" w:rsidR="009103CC" w:rsidRPr="001814D2" w:rsidRDefault="009103CC" w:rsidP="009103CC">
      <w:pPr>
        <w:pStyle w:val="ARlistparagraph"/>
      </w:pPr>
      <w:r w:rsidRPr="001814D2">
        <w:t xml:space="preserve">8988 Brett Whiteley Studio Instagram followers </w:t>
      </w:r>
    </w:p>
    <w:p w14:paraId="302E72C7" w14:textId="77777777" w:rsidR="009103CC" w:rsidRPr="001814D2" w:rsidRDefault="009103CC" w:rsidP="009103CC">
      <w:pPr>
        <w:pStyle w:val="ARheading5"/>
      </w:pPr>
      <w:r w:rsidRPr="001814D2">
        <w:t xml:space="preserve">Education resources </w:t>
      </w:r>
    </w:p>
    <w:p w14:paraId="00F60CFF" w14:textId="77777777" w:rsidR="009103CC" w:rsidRPr="001814D2" w:rsidRDefault="009103CC" w:rsidP="009103CC">
      <w:pPr>
        <w:pStyle w:val="ARlistparagraph"/>
      </w:pPr>
      <w:r w:rsidRPr="001814D2">
        <w:t xml:space="preserve">26,667 </w:t>
      </w:r>
      <w:r w:rsidRPr="001814D2">
        <w:rPr>
          <w:i/>
          <w:iCs/>
        </w:rPr>
        <w:t>Brett Whiteley</w:t>
      </w:r>
      <w:r w:rsidRPr="001814D2">
        <w:t xml:space="preserve"> online resource pageviews </w:t>
      </w:r>
    </w:p>
    <w:p w14:paraId="7A5D37CC" w14:textId="77777777" w:rsidR="009103CC" w:rsidRPr="001814D2" w:rsidRDefault="009103CC" w:rsidP="009103CC">
      <w:pPr>
        <w:pStyle w:val="ARlistparagraph"/>
      </w:pPr>
      <w:r w:rsidRPr="001814D2">
        <w:t>Most viewed themes: ‘Self and identity’</w:t>
      </w:r>
      <w:r w:rsidRPr="001814D2">
        <w:rPr>
          <w:i/>
          <w:iCs/>
        </w:rPr>
        <w:t>,</w:t>
      </w:r>
      <w:r w:rsidRPr="001814D2">
        <w:t xml:space="preserve"> 5594 pageviews; ‘Birds and animals’, 4291 pageviews</w:t>
      </w:r>
    </w:p>
    <w:p w14:paraId="653290E8" w14:textId="77777777" w:rsidR="009103CC" w:rsidRPr="001814D2" w:rsidRDefault="009103CC" w:rsidP="009103CC">
      <w:pPr>
        <w:pStyle w:val="ARheading5"/>
      </w:pPr>
      <w:r w:rsidRPr="001814D2">
        <w:t>Education kits</w:t>
      </w:r>
    </w:p>
    <w:p w14:paraId="5FEE0D24" w14:textId="77777777" w:rsidR="009103CC" w:rsidRPr="001814D2" w:rsidRDefault="009103CC" w:rsidP="009103CC">
      <w:pPr>
        <w:pStyle w:val="ARlistparagraph"/>
      </w:pPr>
      <w:r w:rsidRPr="001814D2">
        <w:rPr>
          <w:i/>
          <w:iCs/>
        </w:rPr>
        <w:t>Brett Whiteley: portraits</w:t>
      </w:r>
      <w:r w:rsidRPr="001814D2">
        <w:t>, 967 pageviews</w:t>
      </w:r>
    </w:p>
    <w:p w14:paraId="4A7AF764" w14:textId="77777777" w:rsidR="009103CC" w:rsidRPr="001814D2" w:rsidRDefault="009103CC" w:rsidP="009103CC">
      <w:pPr>
        <w:pStyle w:val="ARlistparagraph"/>
      </w:pPr>
      <w:r w:rsidRPr="001814D2">
        <w:rPr>
          <w:i/>
          <w:iCs/>
        </w:rPr>
        <w:t>The London years</w:t>
      </w:r>
      <w:r w:rsidRPr="001814D2">
        <w:t>, 445 pageviews</w:t>
      </w:r>
    </w:p>
    <w:p w14:paraId="6A71A4F2" w14:textId="77777777" w:rsidR="009103CC" w:rsidRPr="001814D2" w:rsidRDefault="009103CC" w:rsidP="009103CC">
      <w:pPr>
        <w:pStyle w:val="ARlistparagraph"/>
      </w:pPr>
      <w:r w:rsidRPr="001814D2">
        <w:rPr>
          <w:i/>
          <w:iCs/>
        </w:rPr>
        <w:t>9 shades of Whiteley</w:t>
      </w:r>
      <w:r w:rsidRPr="001814D2">
        <w:t>, 143 pageviews</w:t>
      </w:r>
    </w:p>
    <w:p w14:paraId="24D1CE27" w14:textId="77777777" w:rsidR="009103CC" w:rsidRPr="001814D2" w:rsidRDefault="009103CC" w:rsidP="009103CC">
      <w:pPr>
        <w:pStyle w:val="ARlistparagraph"/>
      </w:pPr>
      <w:r w:rsidRPr="001814D2">
        <w:rPr>
          <w:i/>
          <w:iCs/>
        </w:rPr>
        <w:lastRenderedPageBreak/>
        <w:t>BWTAS</w:t>
      </w:r>
      <w:r w:rsidRPr="001814D2">
        <w:t>, 118 pageviews</w:t>
      </w:r>
    </w:p>
    <w:p w14:paraId="1FDE79C6" w14:textId="77777777" w:rsidR="009103CC" w:rsidRPr="001814D2" w:rsidRDefault="009103CC" w:rsidP="009103CC">
      <w:pPr>
        <w:pStyle w:val="ARheading5"/>
      </w:pPr>
      <w:r w:rsidRPr="001814D2">
        <w:t xml:space="preserve">Audio guide </w:t>
      </w:r>
    </w:p>
    <w:p w14:paraId="34F25EF9" w14:textId="77777777" w:rsidR="009103CC" w:rsidRPr="001814D2" w:rsidRDefault="009103CC" w:rsidP="009103CC">
      <w:pPr>
        <w:pStyle w:val="ARbody"/>
      </w:pPr>
      <w:r w:rsidRPr="001814D2">
        <w:t xml:space="preserve">The </w:t>
      </w:r>
      <w:r w:rsidRPr="001814D2">
        <w:rPr>
          <w:i/>
          <w:iCs/>
        </w:rPr>
        <w:t>Brett Whiteley: Feathers and Flight</w:t>
      </w:r>
      <w:r w:rsidRPr="001814D2">
        <w:t xml:space="preserve"> audio guide adds to a growing body of publicly accessible multimedia resources. A resounding success since its first implementation in January 2020, the Brett Whiteley Studio audio guide format has been utilised for both </w:t>
      </w:r>
      <w:r w:rsidRPr="001814D2">
        <w:rPr>
          <w:i/>
          <w:iCs/>
        </w:rPr>
        <w:t>Lavender Bay</w:t>
      </w:r>
      <w:r w:rsidRPr="001814D2">
        <w:t xml:space="preserve"> and </w:t>
      </w:r>
      <w:r w:rsidRPr="001814D2">
        <w:rPr>
          <w:i/>
          <w:iCs/>
        </w:rPr>
        <w:t xml:space="preserve">Feathers and Flight </w:t>
      </w:r>
      <w:r w:rsidRPr="001814D2">
        <w:t>exhibitions and will be available for forthcoming exhibitions in 2021. The audio guide was accessed 1184 times in 2020–21.</w:t>
      </w:r>
    </w:p>
    <w:p w14:paraId="51323938" w14:textId="77777777" w:rsidR="009103CC" w:rsidRPr="001814D2" w:rsidRDefault="009103CC" w:rsidP="009103CC">
      <w:pPr>
        <w:pStyle w:val="ARheading3"/>
      </w:pPr>
      <w:r w:rsidRPr="001814D2">
        <w:t>Prizes</w:t>
      </w:r>
    </w:p>
    <w:p w14:paraId="0EC9ED1E" w14:textId="77777777" w:rsidR="009103CC" w:rsidRPr="001814D2" w:rsidRDefault="009103CC" w:rsidP="009103CC">
      <w:pPr>
        <w:pStyle w:val="ARbody"/>
      </w:pPr>
      <w:r w:rsidRPr="001814D2">
        <w:t>Because COVID-19 affected exhibition timings, prizes were awarded in both the 2020 and 2021 Archibald, Wynne and Sulman competitions in the 2020–21 financial year.</w:t>
      </w:r>
    </w:p>
    <w:p w14:paraId="739A4E38" w14:textId="77777777" w:rsidR="009103CC" w:rsidRPr="00933FC4" w:rsidRDefault="009103CC" w:rsidP="009103CC">
      <w:pPr>
        <w:pStyle w:val="ARheading4"/>
      </w:pPr>
      <w:r w:rsidRPr="00933FC4">
        <w:t>Archibald Prize 2020 and 2021</w:t>
      </w:r>
    </w:p>
    <w:p w14:paraId="01B7AEA3" w14:textId="77777777" w:rsidR="009103CC" w:rsidRPr="001814D2" w:rsidRDefault="009103CC" w:rsidP="009103CC">
      <w:pPr>
        <w:pStyle w:val="ARbody"/>
      </w:pPr>
      <w:r w:rsidRPr="001814D2">
        <w:t>Established in 1921, the Archibald Prize is awarded by the trustees of the Art Gallery of New South Wales, in the terms of the will of the late JF Archibald, for the best portrait ‘preferentially of some man or woman distinguished in art, letters, science or politics, painted by any artist resident in Australasia during the twelve months preceding the date fixed by the trustees for sending in the pictures’. It is currently valued at $100,000.</w:t>
      </w:r>
    </w:p>
    <w:p w14:paraId="7EB35317" w14:textId="77777777" w:rsidR="009103CC" w:rsidRPr="001814D2" w:rsidRDefault="009103CC" w:rsidP="009103CC">
      <w:pPr>
        <w:pStyle w:val="ARbody"/>
      </w:pPr>
      <w:r w:rsidRPr="001814D2">
        <w:t xml:space="preserve">In 2020 the prize was awarded to Vincent Namatjira for his portrait of AFL footballer and Aboriginal activist Adam Goodes, titled </w:t>
      </w:r>
      <w:r w:rsidRPr="001814D2">
        <w:rPr>
          <w:i/>
          <w:iCs/>
        </w:rPr>
        <w:t>Stand strong for who you are</w:t>
      </w:r>
      <w:r w:rsidRPr="001814D2">
        <w:t>.</w:t>
      </w:r>
    </w:p>
    <w:p w14:paraId="40879C2F" w14:textId="77777777" w:rsidR="009103CC" w:rsidRPr="001814D2" w:rsidRDefault="009103CC" w:rsidP="009103CC">
      <w:pPr>
        <w:pStyle w:val="ARbody"/>
      </w:pPr>
      <w:r w:rsidRPr="001814D2">
        <w:t xml:space="preserve">In 2021 the prize was awarded to Peter Wegner for his portrait of artist Guy Warren AM, titled </w:t>
      </w:r>
      <w:r w:rsidRPr="001814D2">
        <w:rPr>
          <w:i/>
          <w:iCs/>
        </w:rPr>
        <w:t>Portrait of Guy Warren at 100</w:t>
      </w:r>
      <w:r w:rsidRPr="001814D2">
        <w:t>.</w:t>
      </w:r>
    </w:p>
    <w:p w14:paraId="2D7F872D" w14:textId="77777777" w:rsidR="009103CC" w:rsidRPr="001814D2" w:rsidRDefault="009103CC" w:rsidP="009103CC">
      <w:pPr>
        <w:pStyle w:val="ARheading4"/>
      </w:pPr>
      <w:r w:rsidRPr="001814D2">
        <w:t>Wynne Prize 2020 and 2021</w:t>
      </w:r>
    </w:p>
    <w:p w14:paraId="1071837F" w14:textId="77777777" w:rsidR="009103CC" w:rsidRPr="001814D2" w:rsidRDefault="009103CC" w:rsidP="009103CC">
      <w:pPr>
        <w:pStyle w:val="ARbody"/>
      </w:pPr>
      <w:r w:rsidRPr="001814D2">
        <w:t xml:space="preserve">Established in 1897 following a bequest by Richard Wynne, the Wynne Prize is awarded annually by the Art Gallery trustees for ‘the best landscape painting of Australian scenery in oils or watercolours or for the best example of figure sculpture by Australian artists’. It is currently valued at $50,000. </w:t>
      </w:r>
    </w:p>
    <w:p w14:paraId="6DCE50D0" w14:textId="77777777" w:rsidR="009103CC" w:rsidRPr="001814D2" w:rsidRDefault="009103CC" w:rsidP="009103CC">
      <w:pPr>
        <w:pStyle w:val="ARbody"/>
      </w:pPr>
      <w:r w:rsidRPr="001814D2">
        <w:t xml:space="preserve">In 2020 the prize was awarded to Hubert Pareroultja for his painting </w:t>
      </w:r>
      <w:r w:rsidRPr="001814D2">
        <w:rPr>
          <w:i/>
          <w:iCs/>
        </w:rPr>
        <w:t>Tjoritja</w:t>
      </w:r>
      <w:r w:rsidRPr="001814D2">
        <w:t>.</w:t>
      </w:r>
    </w:p>
    <w:p w14:paraId="1EFF25D0" w14:textId="77777777" w:rsidR="009103CC" w:rsidRPr="001814D2" w:rsidRDefault="009103CC" w:rsidP="009103CC">
      <w:pPr>
        <w:pStyle w:val="ARbody"/>
        <w:rPr>
          <w:i/>
          <w:iCs/>
        </w:rPr>
      </w:pPr>
      <w:r w:rsidRPr="001814D2">
        <w:t xml:space="preserve">In 2021 the prize was awarded to Nyapanyapa Yunupiŋu for her painting </w:t>
      </w:r>
      <w:r w:rsidRPr="001814D2">
        <w:rPr>
          <w:i/>
          <w:iCs/>
        </w:rPr>
        <w:t>Garak – night sky.</w:t>
      </w:r>
    </w:p>
    <w:p w14:paraId="3D5A65EB" w14:textId="77777777" w:rsidR="009103CC" w:rsidRPr="001814D2" w:rsidRDefault="009103CC" w:rsidP="009103CC">
      <w:pPr>
        <w:pStyle w:val="ARheading4"/>
      </w:pPr>
      <w:r w:rsidRPr="001814D2">
        <w:t>Roberts Family Aboriginal and Torres Strait Islander Prize 2020 and 2021</w:t>
      </w:r>
    </w:p>
    <w:p w14:paraId="5004BB8A" w14:textId="77777777" w:rsidR="009103CC" w:rsidRPr="001814D2" w:rsidRDefault="009103CC" w:rsidP="009103CC">
      <w:pPr>
        <w:pStyle w:val="ARbody"/>
      </w:pPr>
      <w:r w:rsidRPr="001814D2">
        <w:t xml:space="preserve">Finalists in the Wynne Prize are eligible for the Roberts Family Aboriginal and Torres Strait Islander Prize, valued at $10,000 and awarded to an Aboriginal and/or Torres Strait Islander artist. </w:t>
      </w:r>
    </w:p>
    <w:p w14:paraId="609B8ECC" w14:textId="77777777" w:rsidR="009103CC" w:rsidRPr="001814D2" w:rsidRDefault="009103CC" w:rsidP="009103CC">
      <w:pPr>
        <w:pStyle w:val="ARbody"/>
      </w:pPr>
      <w:r w:rsidRPr="001814D2">
        <w:lastRenderedPageBreak/>
        <w:t xml:space="preserve">In 2020, the prize was awarded to Nyunmiti Burton for her work </w:t>
      </w:r>
      <w:r w:rsidRPr="001814D2">
        <w:rPr>
          <w:i/>
          <w:iCs/>
        </w:rPr>
        <w:t>Seven Sisters</w:t>
      </w:r>
      <w:r w:rsidRPr="001814D2">
        <w:t>.</w:t>
      </w:r>
    </w:p>
    <w:p w14:paraId="4AC21701" w14:textId="77777777" w:rsidR="009103CC" w:rsidRPr="001814D2" w:rsidRDefault="009103CC" w:rsidP="009103CC">
      <w:pPr>
        <w:pStyle w:val="ARbody"/>
        <w:rPr>
          <w:i/>
          <w:iCs/>
        </w:rPr>
      </w:pPr>
      <w:r w:rsidRPr="001814D2">
        <w:t xml:space="preserve">In 2021 the prize was awarded to Tjungkara Ken for her work </w:t>
      </w:r>
      <w:r w:rsidRPr="001814D2">
        <w:rPr>
          <w:i/>
          <w:iCs/>
        </w:rPr>
        <w:t>Seven Sisters.</w:t>
      </w:r>
    </w:p>
    <w:p w14:paraId="12F9549D" w14:textId="77777777" w:rsidR="009103CC" w:rsidRPr="001814D2" w:rsidRDefault="009103CC" w:rsidP="009103CC">
      <w:pPr>
        <w:pStyle w:val="ARheading4"/>
      </w:pPr>
      <w:r w:rsidRPr="001814D2">
        <w:t>John and Elizabeth Newnham Pring Memorial Prize 2021</w:t>
      </w:r>
    </w:p>
    <w:p w14:paraId="022FB6F2" w14:textId="77777777" w:rsidR="009103CC" w:rsidRPr="001814D2" w:rsidRDefault="009103CC" w:rsidP="009103CC">
      <w:pPr>
        <w:pStyle w:val="ARbody"/>
      </w:pPr>
      <w:r w:rsidRPr="001814D2">
        <w:t>Finalists in the Wynne Prize are eligible for the Pring Prize, which may be awarded to the best watercolour by a woman artist and was established following a bequest by Bessie Pring – herself a watercolourist, who died in 1965 – in honour of her parents. It was first awarded in 1966 and is currently valued at $1000.</w:t>
      </w:r>
    </w:p>
    <w:p w14:paraId="7B8A2652" w14:textId="77777777" w:rsidR="009103CC" w:rsidRPr="001814D2" w:rsidRDefault="009103CC" w:rsidP="009103CC">
      <w:pPr>
        <w:pStyle w:val="ARbody"/>
      </w:pPr>
      <w:r w:rsidRPr="001814D2">
        <w:t xml:space="preserve">In 2021, the prize was awarded to Leah Bullen for her work </w:t>
      </w:r>
      <w:r w:rsidRPr="001814D2">
        <w:rPr>
          <w:i/>
          <w:iCs/>
        </w:rPr>
        <w:t>Arid garden, Wollongong</w:t>
      </w:r>
      <w:r w:rsidRPr="001814D2">
        <w:t>.</w:t>
      </w:r>
    </w:p>
    <w:p w14:paraId="7DED11C5" w14:textId="77777777" w:rsidR="009103CC" w:rsidRPr="001814D2" w:rsidRDefault="009103CC" w:rsidP="009103CC">
      <w:pPr>
        <w:pStyle w:val="ARheading4"/>
      </w:pPr>
      <w:r w:rsidRPr="001814D2">
        <w:t>Trustees Watercolour Prize 2020 and 2021</w:t>
      </w:r>
    </w:p>
    <w:p w14:paraId="0ACFBEC3" w14:textId="77777777" w:rsidR="009103CC" w:rsidRPr="001814D2" w:rsidRDefault="009103CC" w:rsidP="009103CC">
      <w:pPr>
        <w:pStyle w:val="ARbody"/>
      </w:pPr>
      <w:r w:rsidRPr="001814D2">
        <w:t xml:space="preserve">Finalists in the Wynne Prize are eligible for the Trustees’ Watercolour Prize, currently valued at $5000. </w:t>
      </w:r>
    </w:p>
    <w:p w14:paraId="5ED5EC9F" w14:textId="77777777" w:rsidR="009103CC" w:rsidRPr="001814D2" w:rsidRDefault="009103CC" w:rsidP="009103CC">
      <w:pPr>
        <w:pStyle w:val="ARbody"/>
        <w:rPr>
          <w:i/>
          <w:iCs/>
        </w:rPr>
      </w:pPr>
      <w:r w:rsidRPr="001814D2">
        <w:t xml:space="preserve">In 2020 the prize was awarded to Julianne Ross Allcorn for her work </w:t>
      </w:r>
      <w:r w:rsidRPr="001814D2">
        <w:rPr>
          <w:i/>
          <w:iCs/>
        </w:rPr>
        <w:t>Mollitium 2.</w:t>
      </w:r>
    </w:p>
    <w:p w14:paraId="4FE368ED" w14:textId="77777777" w:rsidR="009103CC" w:rsidRPr="001814D2" w:rsidRDefault="009103CC" w:rsidP="009103CC">
      <w:pPr>
        <w:pStyle w:val="ARbody"/>
      </w:pPr>
      <w:r w:rsidRPr="001814D2">
        <w:t xml:space="preserve">In 2021 the prize was awarded to Noel McKenna for his work </w:t>
      </w:r>
      <w:r w:rsidRPr="001814D2">
        <w:rPr>
          <w:i/>
          <w:iCs/>
        </w:rPr>
        <w:t>South Coast headland (2), Ottoman rose</w:t>
      </w:r>
      <w:r w:rsidRPr="001814D2">
        <w:t>.</w:t>
      </w:r>
    </w:p>
    <w:p w14:paraId="623D2BC8" w14:textId="77777777" w:rsidR="009103CC" w:rsidRPr="001814D2" w:rsidRDefault="009103CC" w:rsidP="009103CC">
      <w:pPr>
        <w:pStyle w:val="ARheading4"/>
      </w:pPr>
      <w:r w:rsidRPr="001814D2">
        <w:t>Sulman Prize 2020 and 2021</w:t>
      </w:r>
    </w:p>
    <w:p w14:paraId="5FC56FC5" w14:textId="77777777" w:rsidR="009103CC" w:rsidRPr="001814D2" w:rsidRDefault="009103CC" w:rsidP="009103CC">
      <w:pPr>
        <w:pStyle w:val="ARbody"/>
      </w:pPr>
      <w:r w:rsidRPr="001814D2">
        <w:t>Established in 1936 following a bequest by Sir John Sulman, the Sulman Prize is awarded for the best subject painting, genre painting or mural project by an Australian artist. Each year the Art Gallery trustees invite a guest artist to judge the prize, currently valued at $40,000.</w:t>
      </w:r>
    </w:p>
    <w:p w14:paraId="345DC9C9" w14:textId="77777777" w:rsidR="009103CC" w:rsidRPr="001814D2" w:rsidRDefault="009103CC" w:rsidP="009103CC">
      <w:pPr>
        <w:pStyle w:val="ARbody"/>
      </w:pPr>
      <w:r w:rsidRPr="001814D2">
        <w:t xml:space="preserve">In 2020 artist Khadim Ali awarded the prize to Marikit Santiago for her work </w:t>
      </w:r>
      <w:r w:rsidRPr="001814D2">
        <w:rPr>
          <w:i/>
          <w:iCs/>
        </w:rPr>
        <w:t>The divine.</w:t>
      </w:r>
    </w:p>
    <w:p w14:paraId="0D12E91B" w14:textId="77777777" w:rsidR="009103CC" w:rsidRPr="001814D2" w:rsidRDefault="009103CC" w:rsidP="009103CC">
      <w:pPr>
        <w:pStyle w:val="ARbody"/>
        <w:rPr>
          <w:i/>
          <w:iCs/>
        </w:rPr>
      </w:pPr>
      <w:r w:rsidRPr="001814D2">
        <w:t xml:space="preserve">In 2021 artist Elisabeth Cummings awarded the prize to Georgia Spain for her work </w:t>
      </w:r>
      <w:r w:rsidRPr="001814D2">
        <w:rPr>
          <w:i/>
          <w:iCs/>
        </w:rPr>
        <w:t>Getting down or falling up.</w:t>
      </w:r>
    </w:p>
    <w:p w14:paraId="2985766B" w14:textId="77777777" w:rsidR="009103CC" w:rsidRPr="001814D2" w:rsidRDefault="009103CC" w:rsidP="009103CC">
      <w:pPr>
        <w:pStyle w:val="ARheading4"/>
      </w:pPr>
      <w:r w:rsidRPr="001814D2">
        <w:t>ANZ People’s Choice Award 2020 and 2021</w:t>
      </w:r>
    </w:p>
    <w:p w14:paraId="001CB6E6" w14:textId="77777777" w:rsidR="009103CC" w:rsidRPr="001814D2" w:rsidRDefault="009103CC" w:rsidP="009103CC">
      <w:pPr>
        <w:pStyle w:val="ARbody"/>
      </w:pPr>
      <w:r w:rsidRPr="001814D2">
        <w:t xml:space="preserve">The ANZ People’s Choice is selected by members of the public visiting the exhibition of Archibald Prize finalists at the Art Gallery. It was valued at $3500 in 2020 and increased in value to $5000 in 2021. </w:t>
      </w:r>
    </w:p>
    <w:p w14:paraId="68A148BB" w14:textId="77777777" w:rsidR="009103CC" w:rsidRPr="001814D2" w:rsidRDefault="009103CC" w:rsidP="009103CC">
      <w:pPr>
        <w:pStyle w:val="ARbody"/>
        <w:rPr>
          <w:i/>
          <w:iCs/>
        </w:rPr>
      </w:pPr>
      <w:r w:rsidRPr="001814D2">
        <w:t xml:space="preserve">In 2020 the prize was awarded to Angus McDonald for his portrait of Kurdish-Iranian writer and refugee Behrouz Boochani, titled </w:t>
      </w:r>
      <w:r w:rsidRPr="001814D2">
        <w:rPr>
          <w:i/>
          <w:iCs/>
        </w:rPr>
        <w:t>Behrouz Boochani.</w:t>
      </w:r>
    </w:p>
    <w:p w14:paraId="0E700A1A" w14:textId="77777777" w:rsidR="009103CC" w:rsidRPr="001814D2" w:rsidRDefault="009103CC" w:rsidP="009103CC">
      <w:pPr>
        <w:pStyle w:val="ARbody"/>
      </w:pPr>
      <w:r w:rsidRPr="001814D2">
        <w:t xml:space="preserve">In 2021 the prize was awarded to Julia Ciccarone for her self-portrait, titled </w:t>
      </w:r>
      <w:r w:rsidRPr="001814D2">
        <w:rPr>
          <w:i/>
          <w:iCs/>
        </w:rPr>
        <w:t>The sea within</w:t>
      </w:r>
      <w:r w:rsidRPr="001814D2">
        <w:t>.</w:t>
      </w:r>
    </w:p>
    <w:p w14:paraId="7B4032FA" w14:textId="77777777" w:rsidR="009103CC" w:rsidRPr="001814D2" w:rsidRDefault="009103CC" w:rsidP="009103CC">
      <w:pPr>
        <w:pStyle w:val="ARheading4"/>
      </w:pPr>
      <w:r w:rsidRPr="001814D2">
        <w:lastRenderedPageBreak/>
        <w:t>Packing Room Prize 2020 and 2021</w:t>
      </w:r>
    </w:p>
    <w:p w14:paraId="68F08F1D" w14:textId="77777777" w:rsidR="009103CC" w:rsidRPr="001814D2" w:rsidRDefault="009103CC" w:rsidP="009103CC">
      <w:pPr>
        <w:pStyle w:val="ARbody"/>
      </w:pPr>
      <w:r w:rsidRPr="001814D2">
        <w:t>The Packing Room Prize is awarded to the best entry in the Archibald Prize as judged by the Art Gallery staff who receive, unpack and hang the entries. It was valued at $1500 in 2020 and increased to $3000 in 2021.</w:t>
      </w:r>
    </w:p>
    <w:p w14:paraId="6FAF33C2" w14:textId="77777777" w:rsidR="009103CC" w:rsidRPr="001814D2" w:rsidRDefault="009103CC" w:rsidP="009103CC">
      <w:pPr>
        <w:pStyle w:val="ARbody"/>
      </w:pPr>
      <w:r w:rsidRPr="001814D2">
        <w:t xml:space="preserve">In 2020 the prize was awarded to Meyne Wyatt for his self-portrait, titled </w:t>
      </w:r>
      <w:r w:rsidRPr="001814D2">
        <w:rPr>
          <w:i/>
          <w:iCs/>
        </w:rPr>
        <w:t>Meyne</w:t>
      </w:r>
      <w:r w:rsidRPr="001814D2">
        <w:t>.</w:t>
      </w:r>
    </w:p>
    <w:p w14:paraId="2F618CB8" w14:textId="77777777" w:rsidR="009103CC" w:rsidRPr="001814D2" w:rsidRDefault="009103CC" w:rsidP="009103CC">
      <w:pPr>
        <w:pStyle w:val="ARbody"/>
      </w:pPr>
      <w:r w:rsidRPr="001814D2">
        <w:t xml:space="preserve">In 2021 the prize was awarded to Kathrin Longhurst for her portrait of singer Kate Ceberano, titled </w:t>
      </w:r>
      <w:r w:rsidRPr="001814D2">
        <w:rPr>
          <w:i/>
          <w:iCs/>
        </w:rPr>
        <w:t>Kate</w:t>
      </w:r>
      <w:r w:rsidRPr="001814D2">
        <w:t>.</w:t>
      </w:r>
    </w:p>
    <w:p w14:paraId="4C603068" w14:textId="77777777" w:rsidR="009103CC" w:rsidRPr="001814D2" w:rsidRDefault="009103CC" w:rsidP="009103CC">
      <w:pPr>
        <w:pStyle w:val="ARheading4"/>
      </w:pPr>
      <w:r w:rsidRPr="001814D2">
        <w:t>Young Archie 2020 and 2021</w:t>
      </w:r>
    </w:p>
    <w:p w14:paraId="212DDD26" w14:textId="77777777" w:rsidR="009103CC" w:rsidRPr="001814D2" w:rsidRDefault="009103CC" w:rsidP="009103CC">
      <w:pPr>
        <w:pStyle w:val="ARbody"/>
      </w:pPr>
      <w:r w:rsidRPr="001814D2">
        <w:t>The Young Archie competition invites children and teenagers aged five to eighteen to submit a portrait of someone who is special to them and plays a significant role in their life. In 2020, more than 1800 entries were received and judged by artist Marikit Santiago, supported by the Art Gallery’s family programs manager. In 2021, over 2100 entries were judged by artist Ramesh Mario Nithiyendran, again supported by the Art Gallery’s family programs manager.</w:t>
      </w:r>
    </w:p>
    <w:p w14:paraId="7789CCB3" w14:textId="77777777" w:rsidR="009103CC" w:rsidRPr="001814D2" w:rsidRDefault="009103CC" w:rsidP="009103CC">
      <w:pPr>
        <w:pStyle w:val="ARbody"/>
      </w:pPr>
      <w:r w:rsidRPr="001814D2">
        <w:t>In 2020 the prizes were awarded to:</w:t>
      </w:r>
    </w:p>
    <w:p w14:paraId="7C7EDD52" w14:textId="77777777" w:rsidR="009103CC" w:rsidRPr="001814D2" w:rsidRDefault="009103CC" w:rsidP="009103CC">
      <w:pPr>
        <w:pStyle w:val="ARlistparagraph"/>
        <w:rPr>
          <w:i/>
          <w:iCs/>
        </w:rPr>
      </w:pPr>
      <w:r w:rsidRPr="001814D2">
        <w:t xml:space="preserve">5–8 years category: Gabrielle Guo, age 7, for a portrait of her sister, </w:t>
      </w:r>
      <w:r w:rsidRPr="001814D2">
        <w:rPr>
          <w:i/>
          <w:iCs/>
        </w:rPr>
        <w:t>My little sister Vivienne</w:t>
      </w:r>
    </w:p>
    <w:p w14:paraId="29FD7B04" w14:textId="77777777" w:rsidR="009103CC" w:rsidRPr="001814D2" w:rsidRDefault="009103CC" w:rsidP="009103CC">
      <w:pPr>
        <w:pStyle w:val="ARlistparagraph"/>
        <w:rPr>
          <w:i/>
          <w:iCs/>
        </w:rPr>
      </w:pPr>
      <w:r w:rsidRPr="001814D2">
        <w:t xml:space="preserve">9–12 years category: Ian Joseph Kim, age 9, for a portrait of his father, </w:t>
      </w:r>
      <w:r w:rsidRPr="001814D2">
        <w:rPr>
          <w:i/>
          <w:iCs/>
        </w:rPr>
        <w:t>My dad’s brush</w:t>
      </w:r>
    </w:p>
    <w:p w14:paraId="7C651567" w14:textId="77777777" w:rsidR="009103CC" w:rsidRPr="001814D2" w:rsidRDefault="009103CC" w:rsidP="009103CC">
      <w:pPr>
        <w:pStyle w:val="ARlistparagraph"/>
      </w:pPr>
      <w:r w:rsidRPr="001814D2">
        <w:t xml:space="preserve">13–15 years category: Lily Hobbs, age 14, for a portrait of her sister, </w:t>
      </w:r>
      <w:r w:rsidRPr="001814D2">
        <w:rPr>
          <w:i/>
          <w:iCs/>
        </w:rPr>
        <w:t>Josephine</w:t>
      </w:r>
      <w:r w:rsidRPr="001814D2">
        <w:t xml:space="preserve"> </w:t>
      </w:r>
    </w:p>
    <w:p w14:paraId="4CF2FF29" w14:textId="77777777" w:rsidR="009103CC" w:rsidRPr="001814D2" w:rsidRDefault="009103CC" w:rsidP="009103CC">
      <w:pPr>
        <w:pStyle w:val="ARlistparagraph"/>
        <w:rPr>
          <w:i/>
          <w:iCs/>
        </w:rPr>
      </w:pPr>
      <w:r w:rsidRPr="001814D2">
        <w:t xml:space="preserve">16–18 years category: James Stibilj, age 18, for a portrait of his sister, </w:t>
      </w:r>
      <w:r w:rsidRPr="001814D2">
        <w:rPr>
          <w:i/>
          <w:iCs/>
        </w:rPr>
        <w:t>India</w:t>
      </w:r>
    </w:p>
    <w:p w14:paraId="2133B3B8" w14:textId="77777777" w:rsidR="009103CC" w:rsidRPr="001814D2" w:rsidRDefault="009103CC" w:rsidP="009103CC">
      <w:pPr>
        <w:pStyle w:val="ARbody"/>
      </w:pPr>
      <w:r w:rsidRPr="001814D2">
        <w:t>In 2021 the prizes were awarded to:</w:t>
      </w:r>
    </w:p>
    <w:p w14:paraId="57825BEE" w14:textId="77777777" w:rsidR="009103CC" w:rsidRPr="001814D2" w:rsidRDefault="009103CC" w:rsidP="009103CC">
      <w:pPr>
        <w:pStyle w:val="ARlistparagraph"/>
        <w:rPr>
          <w:i/>
          <w:iCs/>
        </w:rPr>
      </w:pPr>
      <w:r w:rsidRPr="001814D2">
        <w:t xml:space="preserve">5–8 years category: Thevan Basnayake, age 7, for a self-portrait, </w:t>
      </w:r>
      <w:r w:rsidRPr="001814D2">
        <w:rPr>
          <w:i/>
          <w:iCs/>
        </w:rPr>
        <w:t>Me</w:t>
      </w:r>
    </w:p>
    <w:p w14:paraId="3F0D9B3E" w14:textId="77777777" w:rsidR="009103CC" w:rsidRPr="001814D2" w:rsidRDefault="009103CC" w:rsidP="009103CC">
      <w:pPr>
        <w:pStyle w:val="ARlistparagraph"/>
        <w:rPr>
          <w:i/>
          <w:iCs/>
        </w:rPr>
      </w:pPr>
      <w:r w:rsidRPr="001814D2">
        <w:t xml:space="preserve">9–12 years category: Luanda Lucia Perlstone Monroy, age 9, for a portrait of her brother, </w:t>
      </w:r>
      <w:r w:rsidRPr="001814D2">
        <w:rPr>
          <w:i/>
          <w:iCs/>
        </w:rPr>
        <w:t>My hulk brother</w:t>
      </w:r>
    </w:p>
    <w:p w14:paraId="080974F1" w14:textId="77777777" w:rsidR="009103CC" w:rsidRPr="001814D2" w:rsidRDefault="009103CC" w:rsidP="009103CC">
      <w:pPr>
        <w:pStyle w:val="ARlistparagraph"/>
        <w:rPr>
          <w:i/>
          <w:iCs/>
        </w:rPr>
      </w:pPr>
      <w:r w:rsidRPr="001814D2">
        <w:t xml:space="preserve">13–15 years category: Jacqueline Qin, age 15, for a portrait of her sister, </w:t>
      </w:r>
      <w:r w:rsidRPr="001814D2">
        <w:rPr>
          <w:i/>
          <w:iCs/>
        </w:rPr>
        <w:t>My sister</w:t>
      </w:r>
    </w:p>
    <w:p w14:paraId="6DD7E5BD" w14:textId="77777777" w:rsidR="009103CC" w:rsidRPr="001814D2" w:rsidRDefault="009103CC" w:rsidP="009103CC">
      <w:pPr>
        <w:pStyle w:val="ARlistparagraph"/>
      </w:pPr>
      <w:r w:rsidRPr="001814D2">
        <w:t xml:space="preserve">16–18 years category: Charliese Allen, age 16, for a portrait of her mother, </w:t>
      </w:r>
      <w:r w:rsidRPr="001814D2">
        <w:rPr>
          <w:i/>
          <w:iCs/>
        </w:rPr>
        <w:t>Momasito</w:t>
      </w:r>
    </w:p>
    <w:p w14:paraId="0E95799A" w14:textId="77777777" w:rsidR="009103CC" w:rsidRPr="001814D2" w:rsidRDefault="009103CC" w:rsidP="009103CC">
      <w:pPr>
        <w:pStyle w:val="Tabletext"/>
      </w:pPr>
      <w:r w:rsidRPr="001814D2">
        <w:br w:type="page"/>
      </w:r>
    </w:p>
    <w:p w14:paraId="1766B8D4" w14:textId="77777777" w:rsidR="009103CC" w:rsidRPr="001814D2" w:rsidRDefault="009103CC" w:rsidP="009103CC">
      <w:pPr>
        <w:pStyle w:val="ARheading2"/>
        <w:rPr>
          <w:lang w:val="en-AU"/>
        </w:rPr>
      </w:pPr>
      <w:bookmarkStart w:id="13" w:name="_Toc90982534"/>
      <w:bookmarkStart w:id="14" w:name="_Toc92897863"/>
      <w:r w:rsidRPr="001814D2">
        <w:rPr>
          <w:lang w:val="en-AU"/>
        </w:rPr>
        <w:lastRenderedPageBreak/>
        <w:t>3 Strategic goal: Audience</w:t>
      </w:r>
      <w:bookmarkEnd w:id="13"/>
      <w:bookmarkEnd w:id="14"/>
    </w:p>
    <w:p w14:paraId="5ACD531D" w14:textId="77777777" w:rsidR="009103CC" w:rsidRPr="001814D2" w:rsidRDefault="009103CC" w:rsidP="009103CC">
      <w:pPr>
        <w:pStyle w:val="ARbody"/>
      </w:pPr>
      <w:r w:rsidRPr="001814D2">
        <w:t>Connecting with a broader and more diverse audience onsite, offsite and online</w:t>
      </w:r>
    </w:p>
    <w:p w14:paraId="11FA5EEC" w14:textId="77777777" w:rsidR="009103CC" w:rsidRPr="001814D2" w:rsidRDefault="009103CC" w:rsidP="009103CC">
      <w:pPr>
        <w:pStyle w:val="ARlistparagraph"/>
      </w:pPr>
      <w:r w:rsidRPr="001814D2">
        <w:t>As the Art Gallery celebrated its 150th anniversary and in preparation for the completion of the Sydney Modern Project, we launched a new visual identity, to reflect our status as a key contributor to the cultural life of Sydney and Australia. Drawing inspiration from the Art Gallery’s history and future ambitions, this included a newly designed logo for the first time in almost a quarter of a century. Composed of three open-framed squares, the logo also references the architecture of the new and old buildings. The logo is complemented by a new clean and highly accessible custom typeface named for Margaret Preston, and a new signature colour, an ultramarine blue inspired by the Art Gallery’s unique harbourside location and named for artist Brett Whiteley. All Art Gallery materials and sub-brands now present a clear, unified and highly recognisable identity. The new visual identity was also deployed in a major renewal of the website, which has been designed with a focus on modernity, accessibility, flexibility and sharing visually rich experiences.</w:t>
      </w:r>
    </w:p>
    <w:p w14:paraId="4D183FFA" w14:textId="77777777" w:rsidR="009103CC" w:rsidRPr="001814D2" w:rsidRDefault="009103CC" w:rsidP="009103CC">
      <w:pPr>
        <w:pStyle w:val="ARlistparagraph"/>
      </w:pPr>
      <w:r w:rsidRPr="001814D2">
        <w:t xml:space="preserve">The Art Gallery’s 150th anniversary provided exciting opportunities to break new ground with the launch of </w:t>
      </w:r>
      <w:r w:rsidRPr="001814D2">
        <w:rPr>
          <w:rStyle w:val="RegularItalic"/>
        </w:rPr>
        <w:t>Badu Gili: Women Women</w:t>
      </w:r>
      <w:r w:rsidRPr="001814D2">
        <w:t xml:space="preserve"> at the Sydney Opera House, in which key collection works by six Aboriginal women artists light up the eastern Bennelong sails every evening. The creative collaboration garnered extensive international media coverage, further building the Art Gallery’s global profile in advance of the Sydney Modern Project’s completion.</w:t>
      </w:r>
    </w:p>
    <w:p w14:paraId="365B3529" w14:textId="77777777" w:rsidR="009103CC" w:rsidRPr="001814D2" w:rsidRDefault="009103CC" w:rsidP="009103CC">
      <w:pPr>
        <w:pStyle w:val="ARlistparagraph"/>
      </w:pPr>
      <w:r w:rsidRPr="001814D2">
        <w:t xml:space="preserve">Marking the centenary of the Archibald Prize, the Art Gallery collaborated with Mint Pictures and ABC TV on the three-part documentary </w:t>
      </w:r>
      <w:r w:rsidRPr="001814D2">
        <w:rPr>
          <w:rStyle w:val="RegularItalic"/>
        </w:rPr>
        <w:t>Finding the Archibald</w:t>
      </w:r>
      <w:r w:rsidRPr="001814D2">
        <w:t xml:space="preserve">, co-executive produced and presented by actor/director Rachel Griffiths. The documentary presented a behind-the-scenes exploration of the history of the prize, as </w:t>
      </w:r>
      <w:r w:rsidRPr="001814D2">
        <w:rPr>
          <w:rStyle w:val="RegularItalic"/>
        </w:rPr>
        <w:t>Archie 100</w:t>
      </w:r>
      <w:r w:rsidRPr="001814D2">
        <w:t xml:space="preserve"> curator Natalie Wilson uncovered lost portraits and buried stories, and Griffiths tracked down and interviewed Archibald sitters in search of the one portrait that captures the always-changing face of Australia over the last one hundred years. Each episode attracted over 400,000 viewers, and it is now available on ABC iView, where it will be online until 2026; it had attracted 119,000 plays at 1 July 2021. The Art Gallery’s Education team also created a suite of resources for ABC Education, with learning materials to support schools across Australia, complementing the series and the </w:t>
      </w:r>
      <w:r w:rsidRPr="001814D2">
        <w:rPr>
          <w:rStyle w:val="RegularItalic"/>
        </w:rPr>
        <w:t>Archie 100</w:t>
      </w:r>
      <w:r w:rsidRPr="001814D2">
        <w:t xml:space="preserve"> interstate touring exhibition. </w:t>
      </w:r>
    </w:p>
    <w:p w14:paraId="6413297A" w14:textId="77777777" w:rsidR="009103CC" w:rsidRPr="001814D2" w:rsidRDefault="009103CC" w:rsidP="009103CC">
      <w:pPr>
        <w:pStyle w:val="ARlistparagraph"/>
      </w:pPr>
      <w:r w:rsidRPr="001814D2">
        <w:t xml:space="preserve">The </w:t>
      </w:r>
      <w:r w:rsidRPr="001814D2">
        <w:rPr>
          <w:rStyle w:val="RegularItalic"/>
        </w:rPr>
        <w:t xml:space="preserve">Japan Supernatural </w:t>
      </w:r>
      <w:r w:rsidRPr="001814D2">
        <w:t xml:space="preserve">audio experience was nominated for the International Academy of Digital Arts and Sciences’ 25th Annual Webby Awards in the Apps and Software: Art, Culture and Events category. This achievement meant that the audio experience was </w:t>
      </w:r>
      <w:r w:rsidRPr="001814D2">
        <w:lastRenderedPageBreak/>
        <w:t>identified as one of the five best in the world in its category (among the top 10% of the nearly 13,500 record-breaking projects entered from around the world).</w:t>
      </w:r>
    </w:p>
    <w:p w14:paraId="4E2B2761" w14:textId="77777777" w:rsidR="009103CC" w:rsidRPr="001814D2" w:rsidRDefault="009103CC" w:rsidP="009103CC">
      <w:pPr>
        <w:pStyle w:val="ARlistparagraph"/>
      </w:pPr>
      <w:r w:rsidRPr="001814D2">
        <w:t xml:space="preserve">Social media and digital engagement continued to be central to the Art Gallery’s connection to the community. The Art Gallery’s social media content attracted 64.9 million impressions across Instagram, Twitter, LinkedIn, YouTube and Facebook, with 2.1 million engagements and a total of 491,840 followers. </w:t>
      </w:r>
    </w:p>
    <w:p w14:paraId="689289F4" w14:textId="77777777" w:rsidR="009103CC" w:rsidRPr="001814D2" w:rsidRDefault="009103CC" w:rsidP="009103CC">
      <w:pPr>
        <w:pStyle w:val="ARlistparagraph"/>
      </w:pPr>
      <w:r w:rsidRPr="001814D2">
        <w:t>There were 10,711 media mentions for the Art Gallery over the year, with a potential reach of 12.539 billion and an advertising value equivalent of $115.85 million (source: Meltwater).</w:t>
      </w:r>
    </w:p>
    <w:p w14:paraId="58C34E0D" w14:textId="77777777" w:rsidR="009103CC" w:rsidRPr="001814D2" w:rsidRDefault="009103CC" w:rsidP="009103CC">
      <w:pPr>
        <w:pStyle w:val="ARlistparagraph"/>
      </w:pPr>
      <w:r w:rsidRPr="001814D2">
        <w:t>With physical programming limited by COVID-19 restrictions, the Art Gallery deepened its already-strong online and remote delivery of public engagement programs, enabling new audiences to overcome isolation and access unique art experiences with the Art Gallery’s collection, exhibitions and programs. Highlights included the first-ever livestreamed announcement of the Archibald, Wynne and Sulman Prizes</w:t>
      </w:r>
      <w:r w:rsidRPr="001814D2">
        <w:rPr>
          <w:rStyle w:val="RegularItalic"/>
        </w:rPr>
        <w:t xml:space="preserve"> </w:t>
      </w:r>
      <w:r w:rsidRPr="001814D2">
        <w:t xml:space="preserve">in 2020; the landmark pilot program Arts in Health, supporting residents of aged care in regional NSW; and new digital delivery for </w:t>
      </w:r>
      <w:r w:rsidRPr="001814D2">
        <w:rPr>
          <w:rStyle w:val="RegularItalic"/>
        </w:rPr>
        <w:t>ARTEXPRESS 2021</w:t>
      </w:r>
      <w:r w:rsidRPr="001814D2">
        <w:t>, including a 360-degree virtual tour and access to label text.</w:t>
      </w:r>
    </w:p>
    <w:p w14:paraId="57961E97" w14:textId="77777777" w:rsidR="009103CC" w:rsidRPr="001814D2" w:rsidRDefault="009103CC" w:rsidP="009103CC">
      <w:pPr>
        <w:pStyle w:val="ARlistparagraph"/>
      </w:pPr>
      <w:r w:rsidRPr="001814D2">
        <w:t xml:space="preserve">Richly illustrated publications featuring extensive original research and engaging insights were developed to enhance the exhibition program, including highly popular catalogues for </w:t>
      </w:r>
      <w:r w:rsidRPr="001814D2">
        <w:rPr>
          <w:rStyle w:val="RegularItalic"/>
        </w:rPr>
        <w:t>Streeton</w:t>
      </w:r>
      <w:r w:rsidRPr="001814D2">
        <w:t xml:space="preserve"> and </w:t>
      </w:r>
      <w:r w:rsidRPr="001814D2">
        <w:rPr>
          <w:rStyle w:val="RegularItalic"/>
        </w:rPr>
        <w:t>Hilma af Klint: The Secret Paintings</w:t>
      </w:r>
      <w:r w:rsidRPr="001814D2">
        <w:t>.</w:t>
      </w:r>
    </w:p>
    <w:p w14:paraId="352066D7" w14:textId="77777777" w:rsidR="009103CC" w:rsidRPr="001814D2" w:rsidRDefault="009103CC" w:rsidP="009103CC">
      <w:pPr>
        <w:pStyle w:val="ARlistparagraph"/>
      </w:pPr>
      <w:r w:rsidRPr="001814D2">
        <w:t xml:space="preserve">The Art Gallery was proud to partner with Service NSW to roll out the NSW Dine and Discover vouchers. The program enjoyed enormous popularity, with over 7800 $25 Discover vouchers used to purchase tickets for </w:t>
      </w:r>
      <w:r w:rsidRPr="001814D2">
        <w:rPr>
          <w:rStyle w:val="RegularItalic"/>
        </w:rPr>
        <w:t xml:space="preserve">Archibald, Wynne and Sulman Prizes 2021 </w:t>
      </w:r>
      <w:r w:rsidRPr="001814D2">
        <w:t>and</w:t>
      </w:r>
      <w:r w:rsidRPr="001814D2">
        <w:rPr>
          <w:rStyle w:val="RegularItalic"/>
        </w:rPr>
        <w:t xml:space="preserve"> Archie 100: A Century of the Archibald Prize</w:t>
      </w:r>
      <w:r w:rsidRPr="001814D2">
        <w:t xml:space="preserve">; and over 1400 used for </w:t>
      </w:r>
      <w:r w:rsidRPr="001814D2">
        <w:rPr>
          <w:rStyle w:val="RegularItalic"/>
        </w:rPr>
        <w:t>Hilma af Klint: The Secret Paintings</w:t>
      </w:r>
      <w:r w:rsidRPr="001814D2">
        <w:t xml:space="preserve">; while the Art Gallery Society redeemed over 1570 vouchers toward Gallery memberships and events. Over 3200 Dine vouchers were redeemed through the Gallery cafe and restaurant. </w:t>
      </w:r>
    </w:p>
    <w:p w14:paraId="371613BB" w14:textId="77777777" w:rsidR="009103CC" w:rsidRPr="001814D2" w:rsidRDefault="009103CC" w:rsidP="009103CC">
      <w:pPr>
        <w:pStyle w:val="ARheading3"/>
      </w:pPr>
      <w:r w:rsidRPr="001814D2">
        <w:t>Learning and participation</w:t>
      </w:r>
    </w:p>
    <w:p w14:paraId="64FFCDAA" w14:textId="77777777" w:rsidR="009103CC" w:rsidRPr="001814D2" w:rsidRDefault="009103CC" w:rsidP="009103CC">
      <w:pPr>
        <w:pStyle w:val="ARlistparagraph"/>
      </w:pPr>
      <w:r w:rsidRPr="001814D2">
        <w:t xml:space="preserve">34,417 students and teachers participated in learning programs </w:t>
      </w:r>
    </w:p>
    <w:p w14:paraId="4481DFB4" w14:textId="77777777" w:rsidR="009103CC" w:rsidRPr="001814D2" w:rsidRDefault="009103CC" w:rsidP="009103CC">
      <w:pPr>
        <w:pStyle w:val="ARlistparagraph"/>
      </w:pPr>
      <w:r w:rsidRPr="001814D2">
        <w:t xml:space="preserve">31,995 people attended </w:t>
      </w:r>
      <w:r w:rsidRPr="001814D2">
        <w:rPr>
          <w:i/>
          <w:iCs/>
        </w:rPr>
        <w:t>ARTEXPRESS 2021</w:t>
      </w:r>
      <w:r w:rsidRPr="001814D2">
        <w:t xml:space="preserve"> </w:t>
      </w:r>
    </w:p>
    <w:p w14:paraId="456FDA47" w14:textId="77777777" w:rsidR="009103CC" w:rsidRPr="001814D2" w:rsidRDefault="009103CC" w:rsidP="009103CC">
      <w:pPr>
        <w:pStyle w:val="ARlistparagraph"/>
      </w:pPr>
      <w:r w:rsidRPr="001814D2">
        <w:t xml:space="preserve">14,100 engaged with family experiences </w:t>
      </w:r>
    </w:p>
    <w:p w14:paraId="6F15A01F" w14:textId="77777777" w:rsidR="009103CC" w:rsidRPr="001814D2" w:rsidRDefault="009103CC" w:rsidP="009103CC">
      <w:pPr>
        <w:pStyle w:val="ARlistparagraph"/>
      </w:pPr>
      <w:r w:rsidRPr="001814D2">
        <w:t xml:space="preserve">8681 participated in public programs </w:t>
      </w:r>
    </w:p>
    <w:p w14:paraId="2BACA64C" w14:textId="77777777" w:rsidR="009103CC" w:rsidRPr="001814D2" w:rsidRDefault="009103CC" w:rsidP="009103CC">
      <w:pPr>
        <w:pStyle w:val="ARlistparagraph"/>
      </w:pPr>
      <w:r w:rsidRPr="001814D2">
        <w:lastRenderedPageBreak/>
        <w:t xml:space="preserve">13,886 attended Art After Hours </w:t>
      </w:r>
    </w:p>
    <w:p w14:paraId="19746DC8" w14:textId="77777777" w:rsidR="009103CC" w:rsidRPr="001814D2" w:rsidRDefault="009103CC" w:rsidP="009103CC">
      <w:pPr>
        <w:pStyle w:val="ARbody"/>
      </w:pPr>
      <w:r w:rsidRPr="001814D2">
        <w:t>With COVID-19 limiting onsite participation in programs this year, the Art Gallery took the opportunity to recalibrate and reimagine its learning and participation offering, sustainability of collective output, and opportunities for growth and development to engage with audiences.</w:t>
      </w:r>
    </w:p>
    <w:p w14:paraId="22A43FAA" w14:textId="77777777" w:rsidR="009103CC" w:rsidRPr="001814D2" w:rsidRDefault="009103CC" w:rsidP="009103CC">
      <w:pPr>
        <w:pStyle w:val="ARbody"/>
      </w:pPr>
      <w:r w:rsidRPr="001814D2">
        <w:t xml:space="preserve">The Learning and Participation Department’s central guiding principle is the viewpoint of the artist – whether an emerging artist or one represented in the Art Gallery’s collection. Staff support diversity of artistic practice and emphasise the important role art and artists play in the world through extensive community engagement and partnerships with community and arts organisations in Greater Sydney and regional NSW, as well as international colleagues, and looking to the future of participatory and pedagogical practice. </w:t>
      </w:r>
    </w:p>
    <w:p w14:paraId="122B2478" w14:textId="77777777" w:rsidR="009103CC" w:rsidRPr="001814D2" w:rsidRDefault="009103CC" w:rsidP="009103CC">
      <w:pPr>
        <w:pStyle w:val="ARheading4"/>
      </w:pPr>
      <w:r w:rsidRPr="001814D2">
        <w:t xml:space="preserve">Home art education program </w:t>
      </w:r>
    </w:p>
    <w:p w14:paraId="1C22BC8E" w14:textId="77777777" w:rsidR="009103CC" w:rsidRPr="001814D2" w:rsidRDefault="009103CC" w:rsidP="009103CC">
      <w:pPr>
        <w:pStyle w:val="ARbody"/>
      </w:pPr>
      <w:r w:rsidRPr="001814D2">
        <w:t>The Art Gallery’s groundbreaking and multi-faceted regional education program Home is in its seventh year. Founded on a partnership with the NSW Department of Education’s Arts Unit, the Wiradjuri community at Wagga Wagga, and Wagga Wagga Art Gallery, the Home program develops appreciation for Aboriginal art, working with selected regional galleries and Aboriginal communities to deliver the program to local schools. The program was delivered to thirty-five schools through Wagga Wagga Art Gallery, Murray Art Museum Albury, Tamworth Regional Gallery and Bathurst Regional Art Gallery, and included teacher professional learning, a three-term school-based program, student workshops at regional galleries and an exhibition of student artwork at each participating regional gallery, as well as virtual excursions to the Art Gallery. Students also benefited from virtual art lessons from Wiradjuri artist Karla Dickens in 2020 and Kamilaroi artist and musician Troy Russell in 2021. COVID-19 restrictions required a pivot to online delivery for some components, and the Art Gallery worked with the Department of Education to develop over twenty online videos and six online creative classes to support the program. These resources are now available to all NSW schools.</w:t>
      </w:r>
    </w:p>
    <w:p w14:paraId="7BA84675" w14:textId="77777777" w:rsidR="009103CC" w:rsidRPr="001814D2" w:rsidRDefault="009103CC" w:rsidP="009103CC">
      <w:pPr>
        <w:pStyle w:val="ARheading4"/>
      </w:pPr>
      <w:r w:rsidRPr="001814D2">
        <w:t xml:space="preserve">Djamu </w:t>
      </w:r>
    </w:p>
    <w:p w14:paraId="01A40386" w14:textId="77777777" w:rsidR="009103CC" w:rsidRPr="001814D2" w:rsidRDefault="009103CC" w:rsidP="009103CC">
      <w:pPr>
        <w:pStyle w:val="ARbody"/>
      </w:pPr>
      <w:r w:rsidRPr="001814D2">
        <w:t xml:space="preserve">Now in its third iteration, the Djamu Regional program built on the Art Gallery’s relationship with Wilcannia Central School and local Barkandji community through the significant Barkandji Canoe Project. This unique collaborative project-based program supports Aboriginal and Torres Strait Islander young people in regional New South Wales to learn about art, culture and vocational pathways in the arts. Barkandji artist and cultural leader Badger Bates and his cousin Cyril Hunter worked with the Art Gallery to maintain their grandparents’ tradition of cutting bark canoes. Also supported by Anthony Hayward and David Doyle, the students produced the region’s first river red gum bark canoe cut in seventy </w:t>
      </w:r>
      <w:r w:rsidRPr="001814D2">
        <w:lastRenderedPageBreak/>
        <w:t xml:space="preserve">years. The canoe and a suite of coolamons produced by the students have since been exhibited at Broken Hill Regional Art Gallery. The Art Gallery will again work with communities in Wilcannia and new areas in the Central West to continue to build students’ cultural knowledge. </w:t>
      </w:r>
    </w:p>
    <w:p w14:paraId="0C27D977" w14:textId="77777777" w:rsidR="009103CC" w:rsidRPr="001814D2" w:rsidRDefault="009103CC" w:rsidP="009103CC">
      <w:pPr>
        <w:pStyle w:val="ARheading4"/>
      </w:pPr>
      <w:r w:rsidRPr="001814D2">
        <w:t xml:space="preserve">Djamu Youth Justice </w:t>
      </w:r>
    </w:p>
    <w:p w14:paraId="6FCE5D08" w14:textId="77777777" w:rsidR="009103CC" w:rsidRPr="001814D2" w:rsidRDefault="009103CC" w:rsidP="009103CC">
      <w:pPr>
        <w:pStyle w:val="ARbody"/>
      </w:pPr>
      <w:r w:rsidRPr="001814D2">
        <w:t>The Art Gallery collaborated with Kaurna artist James Tylor to deliver a bark shield project at Frank Baxter Youth Justice Centre in Kariong, as part of its program supporting Aboriginal and Torres Strait Islander young people in the youth justice system to learn about Aboriginal art practice and connect with culture. In this longitudinal collaborative project centred on cultural practices and outdoor learning, participants learned to use manual building techniques to produce shields referencing historical designs relevant to their language group. To support participants’ understanding of the processes involved, the Art Gallery produced a film that documented tree identification, sustainable collection methods and the relationship between shield forms and design. Each component of the project supports participants to carry this practice into community and address cultural connections to help prevent recidivism.</w:t>
      </w:r>
    </w:p>
    <w:p w14:paraId="5AD3E717" w14:textId="77777777" w:rsidR="009103CC" w:rsidRPr="001814D2" w:rsidRDefault="009103CC" w:rsidP="009103CC">
      <w:pPr>
        <w:pStyle w:val="ARheading4"/>
      </w:pPr>
      <w:r w:rsidRPr="001814D2">
        <w:t xml:space="preserve">Art Pathways </w:t>
      </w:r>
    </w:p>
    <w:p w14:paraId="0E55443C" w14:textId="77777777" w:rsidR="009103CC" w:rsidRPr="001814D2" w:rsidRDefault="009103CC" w:rsidP="009103CC">
      <w:pPr>
        <w:pStyle w:val="ARbody"/>
      </w:pPr>
      <w:r w:rsidRPr="001814D2">
        <w:t xml:space="preserve">Partnering with Fairfield City Museum and Gallery and artist Shireen Taweel, this year’s iteration of Art Pathways connected Year 7 students from ten schools across Fairfield with art from the collection and </w:t>
      </w:r>
      <w:r w:rsidRPr="001814D2">
        <w:rPr>
          <w:i/>
          <w:iCs/>
        </w:rPr>
        <w:t>The National 2021: New Australian Art</w:t>
      </w:r>
      <w:r w:rsidRPr="001814D2">
        <w:t xml:space="preserve"> exhibition. Providing innovative and active learning opportunities, the program includes transport to and from the Art Gallery, interactive experiences with artists, educators, and Indigenous educators, and learning resources.</w:t>
      </w:r>
    </w:p>
    <w:p w14:paraId="78277455" w14:textId="77777777" w:rsidR="009103CC" w:rsidRPr="001814D2" w:rsidRDefault="009103CC" w:rsidP="009103CC">
      <w:pPr>
        <w:pStyle w:val="ARheading4"/>
      </w:pPr>
      <w:r w:rsidRPr="001814D2">
        <w:t xml:space="preserve">Digital learning </w:t>
      </w:r>
    </w:p>
    <w:p w14:paraId="1CA6C61C" w14:textId="77777777" w:rsidR="009103CC" w:rsidRPr="001814D2" w:rsidRDefault="009103CC" w:rsidP="009103CC">
      <w:pPr>
        <w:pStyle w:val="ARbody"/>
      </w:pPr>
      <w:r w:rsidRPr="001814D2">
        <w:t xml:space="preserve">The Art Gallery’s evolving learning program has expanded digital offerings to schools, including the first virtual opening for </w:t>
      </w:r>
      <w:r w:rsidRPr="001814D2">
        <w:rPr>
          <w:i/>
          <w:iCs/>
        </w:rPr>
        <w:t>ARTEXPRESS 2021</w:t>
      </w:r>
      <w:r w:rsidRPr="001814D2">
        <w:t xml:space="preserve">, attended by students, teachers and families across the state. Virtual </w:t>
      </w:r>
      <w:r w:rsidRPr="001814D2">
        <w:rPr>
          <w:i/>
          <w:iCs/>
        </w:rPr>
        <w:t>ARTEXPRESS</w:t>
      </w:r>
      <w:r w:rsidRPr="001814D2">
        <w:t xml:space="preserve"> </w:t>
      </w:r>
      <w:r w:rsidRPr="001814D2">
        <w:rPr>
          <w:i/>
          <w:iCs/>
        </w:rPr>
        <w:t xml:space="preserve">2021 </w:t>
      </w:r>
      <w:r w:rsidRPr="001814D2">
        <w:t xml:space="preserve">case studies were well attended by senior visual arts students, and the online resource Inside ARTEXPRESS and </w:t>
      </w:r>
      <w:r w:rsidRPr="001814D2">
        <w:rPr>
          <w:i/>
          <w:iCs/>
        </w:rPr>
        <w:t>ARTEXPRESS 2021</w:t>
      </w:r>
      <w:r w:rsidRPr="001814D2">
        <w:t xml:space="preserve"> exhibition pages attracted over 778</w:t>
      </w:r>
      <w:r w:rsidRPr="00933FC4">
        <w:t>,</w:t>
      </w:r>
      <w:r w:rsidRPr="001814D2">
        <w:t>892 views. The Art Gallery’s suite of online resources are increasingly important tools for at-home learning, attracting 100</w:t>
      </w:r>
      <w:r w:rsidRPr="00933FC4">
        <w:t xml:space="preserve"> </w:t>
      </w:r>
      <w:r w:rsidRPr="001814D2">
        <w:t xml:space="preserve">235 pageviews. Digital professional learning sessions attracted new regional teacher and student audiences, and </w:t>
      </w:r>
      <w:r w:rsidRPr="001814D2">
        <w:rPr>
          <w:i/>
          <w:iCs/>
        </w:rPr>
        <w:t>Let’s face it</w:t>
      </w:r>
      <w:r w:rsidRPr="001814D2">
        <w:t xml:space="preserve"> virtual workshops for primary students aligned to the </w:t>
      </w:r>
      <w:r w:rsidRPr="001814D2">
        <w:rPr>
          <w:i/>
          <w:iCs/>
        </w:rPr>
        <w:t>Archibald, Wynne and Sulman Prizes 2020</w:t>
      </w:r>
      <w:r w:rsidRPr="001814D2">
        <w:t xml:space="preserve"> exhibition and tour highlighted the importance of livestream programming for regional schools. Schools also accessed immersive 360-degree virtual tours of </w:t>
      </w:r>
      <w:r w:rsidRPr="001814D2">
        <w:rPr>
          <w:i/>
          <w:iCs/>
        </w:rPr>
        <w:t>ARTEXPRESS 2021</w:t>
      </w:r>
      <w:r w:rsidRPr="001814D2">
        <w:t xml:space="preserve">, </w:t>
      </w:r>
      <w:r w:rsidRPr="001814D2">
        <w:rPr>
          <w:i/>
          <w:iCs/>
        </w:rPr>
        <w:t>Archibald Prize 2020</w:t>
      </w:r>
      <w:r w:rsidRPr="001814D2">
        <w:t xml:space="preserve"> and </w:t>
      </w:r>
      <w:r w:rsidRPr="001814D2">
        <w:rPr>
          <w:i/>
          <w:iCs/>
        </w:rPr>
        <w:t>Streeton</w:t>
      </w:r>
      <w:r w:rsidRPr="001814D2">
        <w:t>.</w:t>
      </w:r>
    </w:p>
    <w:p w14:paraId="450AE2EF" w14:textId="77777777" w:rsidR="009103CC" w:rsidRPr="001814D2" w:rsidRDefault="009103CC" w:rsidP="009103CC">
      <w:pPr>
        <w:pStyle w:val="ARheading4"/>
      </w:pPr>
      <w:r w:rsidRPr="001814D2">
        <w:lastRenderedPageBreak/>
        <w:t xml:space="preserve">Starting with Art </w:t>
      </w:r>
    </w:p>
    <w:p w14:paraId="4DB0BE98" w14:textId="77777777" w:rsidR="009103CC" w:rsidRPr="001814D2" w:rsidRDefault="009103CC" w:rsidP="009103CC">
      <w:pPr>
        <w:pStyle w:val="ARbody"/>
      </w:pPr>
      <w:r w:rsidRPr="001814D2">
        <w:t xml:space="preserve">Although in-person engagement was limited for this signature access education program, the Art Gallery provided a series of virtual excursions to support schools and students with disability in regional NSW, aligned with curriculum outcomes. Artist Digby Webster created a video to lead online art-making experiences, and a program was also delivered in partnership with Heart to Heart to three metropolitan Sydney schools, providing creative and mindful activities to students with 120 boxes of art supplies and activity sheets distributed during the project and supported by a professional development session for twenty teachers. Students from Kiama High School support unit were able to visit the Art Gallery for the first time to engage with the Aboriginal and Torres Strait Islander art collection before COVID-19 restrictions were reinstated. </w:t>
      </w:r>
    </w:p>
    <w:p w14:paraId="108CA9E9" w14:textId="77777777" w:rsidR="009103CC" w:rsidRPr="001814D2" w:rsidRDefault="009103CC" w:rsidP="009103CC">
      <w:pPr>
        <w:pStyle w:val="ARheading4"/>
      </w:pPr>
      <w:r w:rsidRPr="001814D2">
        <w:t xml:space="preserve">Arts and Health </w:t>
      </w:r>
    </w:p>
    <w:p w14:paraId="7F5EF734" w14:textId="77777777" w:rsidR="009103CC" w:rsidRPr="001814D2" w:rsidRDefault="009103CC" w:rsidP="009103CC">
      <w:pPr>
        <w:pStyle w:val="ARbody"/>
      </w:pPr>
      <w:r w:rsidRPr="001814D2">
        <w:t xml:space="preserve">In partnership with Health Infrastructure and Murrumbidgee Local Health District, the Art Gallery launched an innovative program to provide quality arts engagement experiences for aged care residents living in three newly opened regional Multi-Purpose Services sites. Modelled on similar Art Gallery programs for people with lived experience of dementia, the program provides meaningful ways for aged care residents to connect with others and overcome isolation. The program aims to reduce reliance on pharmacological approaches in residential aged care, and research and evaluation models have been designed to document the three-year pilot. Art Gallery resources include sixty framed high-quality prints of artworks from the Australian collection to enhance residential care environments and provide a focus for engagement, resource guides to support discussion about the artworks, and enlarged fabric reproductions of the artworks for use in small group discussions. A professional development program was provided to health professionals and community members to support program delivery. </w:t>
      </w:r>
    </w:p>
    <w:p w14:paraId="793E827E" w14:textId="77777777" w:rsidR="009103CC" w:rsidRPr="001814D2" w:rsidRDefault="009103CC" w:rsidP="009103CC">
      <w:pPr>
        <w:pStyle w:val="ARheading4"/>
      </w:pPr>
      <w:r w:rsidRPr="001814D2">
        <w:t xml:space="preserve">Culture Dose </w:t>
      </w:r>
    </w:p>
    <w:p w14:paraId="6E211EAC" w14:textId="77777777" w:rsidR="009103CC" w:rsidRPr="001814D2" w:rsidRDefault="009103CC" w:rsidP="009103CC">
      <w:pPr>
        <w:pStyle w:val="ARbody"/>
      </w:pPr>
      <w:r w:rsidRPr="001814D2">
        <w:t xml:space="preserve">Developed in collaboration with Black Dog Institute, Culture Dose evolved into an online program in response to the COVID-19 restrictions and their impacts on mental health, with ten fortnightly sessions presented live and made available online to view anytime. Led by Art Gallery and Black Dog Institute staff, participants were invited to consider three artworks from the Art Gallery’s collection using mindful strategies, slow-looking techniques and reflection. In 2020–21 over 1700 people engaged with the sessions. The collaboration was featured on ABC Radio National in a 30-minute program (now a podcast) for the ABC series </w:t>
      </w:r>
      <w:r w:rsidRPr="001814D2">
        <w:rPr>
          <w:i/>
          <w:iCs/>
        </w:rPr>
        <w:t>All in the mind</w:t>
      </w:r>
      <w:r w:rsidRPr="001814D2">
        <w:t>, and the Art Gallery and Black Dog Institute will feature in an upcoming SBS documentary.</w:t>
      </w:r>
    </w:p>
    <w:p w14:paraId="07A292EA" w14:textId="77777777" w:rsidR="009103CC" w:rsidRPr="001814D2" w:rsidRDefault="009103CC" w:rsidP="009103CC">
      <w:pPr>
        <w:pStyle w:val="ARheading4"/>
      </w:pPr>
      <w:r w:rsidRPr="001814D2">
        <w:lastRenderedPageBreak/>
        <w:t xml:space="preserve">Art After Hours online and In the Frame </w:t>
      </w:r>
    </w:p>
    <w:p w14:paraId="02EADA2D" w14:textId="77777777" w:rsidR="009103CC" w:rsidRPr="001814D2" w:rsidRDefault="009103CC" w:rsidP="009103CC">
      <w:pPr>
        <w:pStyle w:val="ARbody"/>
      </w:pPr>
      <w:r w:rsidRPr="001814D2">
        <w:t xml:space="preserve">Due to COVID-19 restrictions, Art After Hours went online in 2020 in a series of eleven talks with thirteen exhibiting artists who spoke about their lives, practices and ideas. Online delivery also allowed access to international speakers such as performer Trixie Mattel and journalist Behrouz Boochani. The series had 1722 viewers at the time of broadcast and over 80 000 views after the event. When Art After Hours resumed onsite in early 2021, online talks were rebranded In the Frame, and included a co-presentation with the Sydney Gay and Lesbian Mardi Gras and a talk aligned with </w:t>
      </w:r>
      <w:r w:rsidRPr="001814D2">
        <w:rPr>
          <w:i/>
          <w:iCs/>
        </w:rPr>
        <w:t>The National 2021: New Australian Art</w:t>
      </w:r>
      <w:r w:rsidRPr="001814D2">
        <w:t xml:space="preserve">. These two talks had 240 live views and have been watched over 7000 times since. </w:t>
      </w:r>
    </w:p>
    <w:p w14:paraId="06C0A88C" w14:textId="77777777" w:rsidR="009103CC" w:rsidRPr="001814D2" w:rsidRDefault="009103CC" w:rsidP="009103CC">
      <w:pPr>
        <w:pStyle w:val="ARheading4"/>
      </w:pPr>
      <w:r w:rsidRPr="001814D2">
        <w:t xml:space="preserve">Archie Plus </w:t>
      </w:r>
    </w:p>
    <w:p w14:paraId="280EBF2E" w14:textId="77777777" w:rsidR="009103CC" w:rsidRPr="001814D2" w:rsidRDefault="009103CC" w:rsidP="009103CC">
      <w:pPr>
        <w:pStyle w:val="ARbody"/>
      </w:pPr>
      <w:r w:rsidRPr="001814D2">
        <w:t xml:space="preserve">As part of the </w:t>
      </w:r>
      <w:r w:rsidRPr="001814D2">
        <w:rPr>
          <w:i/>
          <w:iCs/>
        </w:rPr>
        <w:t xml:space="preserve">Archie Plus </w:t>
      </w:r>
      <w:r w:rsidRPr="001814D2">
        <w:t xml:space="preserve">exhibition, a series of pop-up performances and films featured multi-disciplinary artists performing works related to portraiture, including Meryl Tankard, Juliette Barton, Winnie Dunn, Angela Goh, and Frank Mainoo with Ruth Fattal. A cross-divisional </w:t>
      </w:r>
      <w:r w:rsidRPr="001814D2">
        <w:rPr>
          <w:i/>
          <w:iCs/>
        </w:rPr>
        <w:t>Archie Plus</w:t>
      </w:r>
      <w:r w:rsidRPr="001814D2">
        <w:t xml:space="preserve"> collaboration engaged children from families supported by Art Gallery community partners, including the Asylum Seekers Centre, and children from Plunkett Street Public School, Woolloomooloo in workshops led by artist Abdul Abdullah and facilitated by Art Gallery staff. The resulting collaborative artwork was showcased as a series of banner artworks, which were displayed on the Art Gallery’s facade from September 2020 to January 2021.</w:t>
      </w:r>
    </w:p>
    <w:p w14:paraId="58C91AA5" w14:textId="77777777" w:rsidR="009103CC" w:rsidRPr="001814D2" w:rsidRDefault="009103CC" w:rsidP="009103CC">
      <w:pPr>
        <w:pStyle w:val="ARheading4"/>
      </w:pPr>
      <w:r w:rsidRPr="001814D2">
        <w:t xml:space="preserve">The National 2021 performances </w:t>
      </w:r>
    </w:p>
    <w:p w14:paraId="36101FD2" w14:textId="77777777" w:rsidR="009103CC" w:rsidRPr="001814D2" w:rsidRDefault="009103CC" w:rsidP="009103CC">
      <w:pPr>
        <w:pStyle w:val="ARbody"/>
        <w:rPr>
          <w:b/>
          <w:bCs/>
        </w:rPr>
      </w:pPr>
      <w:r w:rsidRPr="001814D2">
        <w:t xml:space="preserve">Live art performances were a highlight of </w:t>
      </w:r>
      <w:r w:rsidRPr="001814D2">
        <w:rPr>
          <w:i/>
          <w:iCs/>
        </w:rPr>
        <w:t xml:space="preserve">The National 2021: New Australian Art </w:t>
      </w:r>
      <w:r w:rsidRPr="001814D2">
        <w:t xml:space="preserve">exhibition. Alick Tipoti and his family performed Baydham a Dhangalaw Sagul, a cultural dance about the handing down of knowledge. Renowned Sydney artist Justin Shoulder presented a booked-out multi-season live work </w:t>
      </w:r>
      <w:r w:rsidRPr="001814D2">
        <w:rPr>
          <w:i/>
          <w:iCs/>
        </w:rPr>
        <w:t>AEON†: TITAN ARUM</w:t>
      </w:r>
      <w:r w:rsidRPr="001814D2">
        <w:t xml:space="preserve">, a 30-minute activation of his installation piece. The performance was complemented by soundscapes created by Shoulder’s collaborators. Agatha Gothe-Snape with Andrew Burrell gave a performance lecture, and the program was also complemented by artist talks and musical responses. </w:t>
      </w:r>
    </w:p>
    <w:p w14:paraId="23A17E6D" w14:textId="77777777" w:rsidR="009103CC" w:rsidRPr="001814D2" w:rsidRDefault="009103CC" w:rsidP="009103CC">
      <w:pPr>
        <w:pStyle w:val="ARheading4"/>
      </w:pPr>
      <w:r w:rsidRPr="001814D2">
        <w:t xml:space="preserve">Art After Hours presents Hilma af Klint </w:t>
      </w:r>
    </w:p>
    <w:p w14:paraId="057BEBDA" w14:textId="77777777" w:rsidR="009103CC" w:rsidRPr="001814D2" w:rsidRDefault="009103CC" w:rsidP="009103CC">
      <w:pPr>
        <w:pStyle w:val="ARbody"/>
      </w:pPr>
      <w:r w:rsidRPr="001814D2">
        <w:t xml:space="preserve">In a special celebration of </w:t>
      </w:r>
      <w:r w:rsidRPr="001814D2">
        <w:rPr>
          <w:i/>
          <w:iCs/>
        </w:rPr>
        <w:t>Hilma af Klint: The Secret Paintings</w:t>
      </w:r>
      <w:r w:rsidRPr="001814D2">
        <w:t xml:space="preserve"> opening week, 1077 visitors explored the exhibition and themes of spirituality with a free drop-in performance workshop by artists Katy B Plummer and Nicole Barakat, soundscapes from DJ Gemma, and booked-out tarot card readings with artist Adam Jones from Little Orange studio. Over 180 visitors experimented with oracle cards and automatic drawing. The workshop was featured as part of ABC TV’s Art Works program.  </w:t>
      </w:r>
    </w:p>
    <w:p w14:paraId="7E13ABE9" w14:textId="77777777" w:rsidR="009103CC" w:rsidRPr="001814D2" w:rsidRDefault="009103CC" w:rsidP="009103CC">
      <w:pPr>
        <w:pStyle w:val="ARheading4"/>
      </w:pPr>
      <w:r w:rsidRPr="001814D2">
        <w:lastRenderedPageBreak/>
        <w:t xml:space="preserve">Art packs and Together In Art Kids </w:t>
      </w:r>
    </w:p>
    <w:p w14:paraId="53B6FFCE" w14:textId="77777777" w:rsidR="009103CC" w:rsidRPr="001814D2" w:rsidRDefault="009103CC" w:rsidP="009103CC">
      <w:pPr>
        <w:pStyle w:val="ARbody"/>
      </w:pPr>
      <w:r w:rsidRPr="001814D2">
        <w:t>The Art Gallery developed and delivered specially designed art packs to NSW communities affected by bushfires, floods and pandemic. With monthly deliveries, more than 3000 packs of art supplies and activity sheets have been distributed this year with community partners Asylum Seekers Centre, WEAVE and Youth and Family Connect in Woolloomooloo and Save the Children. A series of art-making activities was developed for the Art Gallery’s Together In Art Kids project to support children, families and teachers looking for inspiration at home and in the classroom. When Sydney went back into lockdown in June 2021, the Art Gallery posted an offer on social media to provide free art packs for affected families. Within two days, 10,000 requests were received and packs were sent out to every state and territory, engaging over 20,000 children with creative activities while promoting the Art Gallery as a family destination.</w:t>
      </w:r>
    </w:p>
    <w:p w14:paraId="2E806CE9" w14:textId="77777777" w:rsidR="009103CC" w:rsidRPr="00277446" w:rsidRDefault="009103CC" w:rsidP="009103CC">
      <w:pPr>
        <w:pStyle w:val="ARheading4"/>
      </w:pPr>
      <w:r w:rsidRPr="00277446">
        <w:t xml:space="preserve">Make art activity box </w:t>
      </w:r>
    </w:p>
    <w:p w14:paraId="0FDEEFC7" w14:textId="77777777" w:rsidR="009103CC" w:rsidRPr="001814D2" w:rsidRDefault="009103CC" w:rsidP="009103CC">
      <w:pPr>
        <w:pStyle w:val="ARbody"/>
      </w:pPr>
      <w:r w:rsidRPr="001814D2">
        <w:t>In August 2020, the Art Gallery became an official Creative Kids provider in partnership with Service NSW. In consultation with artists and stakeholders, the Art Gallery developed a high-quality activity box filled with art materials, art games, activity sheets, a sketchbook and an activity booklet based on the Art Gallery’s collection and developed in partnership with the Gallery Shop. Over $75,000 worth of vouchers were redeemed for the boxes within two months. The boxes were also sold in the Gallery Shop during the peak Christmas purchasing period. The next version of the activity box will feature new artist-developed activities and highlight the 150th anniversary of the Art Gallery.</w:t>
      </w:r>
    </w:p>
    <w:p w14:paraId="76A1638E" w14:textId="77777777" w:rsidR="009103CC" w:rsidRPr="001814D2" w:rsidRDefault="009103CC" w:rsidP="009103CC">
      <w:pPr>
        <w:pStyle w:val="ARheading4"/>
      </w:pPr>
      <w:r w:rsidRPr="001814D2">
        <w:t xml:space="preserve">Young Archie </w:t>
      </w:r>
    </w:p>
    <w:p w14:paraId="28753C9E" w14:textId="77777777" w:rsidR="009103CC" w:rsidRPr="001814D2" w:rsidRDefault="009103CC" w:rsidP="009103CC">
      <w:pPr>
        <w:pStyle w:val="ARbody"/>
      </w:pPr>
      <w:r w:rsidRPr="001814D2">
        <w:t xml:space="preserve">The Young Archie 2020 competition featured forty finalists selected from 1800 entries led by guest judge artist Marikit Santiago. The 2021 competition was launched at the end of January with videos featuring guest judge artist Ramesh Mario Nithiyendran encouraging children to be imaginative, colourful and creative via the Art Gallery’s social media platforms. This time, almost 2200 entries were received from every state and territory in Australia. </w:t>
      </w:r>
    </w:p>
    <w:p w14:paraId="34A340F5" w14:textId="77777777" w:rsidR="009103CC" w:rsidRPr="001814D2" w:rsidRDefault="009103CC" w:rsidP="009103CC">
      <w:pPr>
        <w:pStyle w:val="ARheading4"/>
      </w:pPr>
      <w:r w:rsidRPr="001814D2">
        <w:t>Disability Inclusion Action Plan</w:t>
      </w:r>
    </w:p>
    <w:p w14:paraId="75FFBC62" w14:textId="77777777" w:rsidR="009103CC" w:rsidRPr="001814D2" w:rsidRDefault="009103CC" w:rsidP="009103CC">
      <w:pPr>
        <w:pStyle w:val="ARbody"/>
      </w:pPr>
      <w:r w:rsidRPr="001814D2">
        <w:t>Key initiatives delivered against the Art Gallery’s Disability Inclusion Action Plan included:</w:t>
      </w:r>
    </w:p>
    <w:p w14:paraId="6EEB0372" w14:textId="77777777" w:rsidR="009103CC" w:rsidRPr="001814D2" w:rsidRDefault="009103CC" w:rsidP="009103CC">
      <w:pPr>
        <w:pStyle w:val="ARheading5"/>
      </w:pPr>
      <w:r w:rsidRPr="001814D2">
        <w:t xml:space="preserve">Attitudes and behaviours </w:t>
      </w:r>
    </w:p>
    <w:p w14:paraId="48F01264" w14:textId="77777777" w:rsidR="009103CC" w:rsidRPr="001814D2" w:rsidRDefault="009103CC" w:rsidP="009103CC">
      <w:pPr>
        <w:pStyle w:val="ARlistparagraph"/>
      </w:pPr>
      <w:r w:rsidRPr="001814D2">
        <w:t>Access audits of all exhibitions; delivery of staff awareness training.</w:t>
      </w:r>
    </w:p>
    <w:p w14:paraId="3CFE6869" w14:textId="77777777" w:rsidR="009103CC" w:rsidRPr="001814D2" w:rsidRDefault="009103CC" w:rsidP="009103CC">
      <w:pPr>
        <w:pStyle w:val="ARlistparagraph"/>
      </w:pPr>
      <w:r w:rsidRPr="001814D2">
        <w:t xml:space="preserve">Growing number of artists with disability submitting artworks for the Archibald, Wynne and Sulman Prizes, including selection of finalists with disability in Archibald and Sulman </w:t>
      </w:r>
      <w:r w:rsidRPr="001814D2">
        <w:lastRenderedPageBreak/>
        <w:t>Prizes.</w:t>
      </w:r>
    </w:p>
    <w:p w14:paraId="06F85512" w14:textId="77777777" w:rsidR="009103CC" w:rsidRPr="001814D2" w:rsidRDefault="009103CC" w:rsidP="009103CC">
      <w:pPr>
        <w:pStyle w:val="ARlistparagraph"/>
      </w:pPr>
      <w:r w:rsidRPr="001814D2">
        <w:t xml:space="preserve">Archibald, Wynne and Sulman Prizes 2021 winners announcement was presented online with accessible features. </w:t>
      </w:r>
    </w:p>
    <w:p w14:paraId="7FE44D9B" w14:textId="77777777" w:rsidR="009103CC" w:rsidRPr="001814D2" w:rsidRDefault="009103CC" w:rsidP="009103CC">
      <w:pPr>
        <w:pStyle w:val="ARlistparagraph"/>
      </w:pPr>
      <w:r w:rsidRPr="001814D2">
        <w:t xml:space="preserve">Art After Hours and In the Frame were presented with open captioning for increased accessibility to programs. </w:t>
      </w:r>
    </w:p>
    <w:p w14:paraId="74822ABE" w14:textId="77777777" w:rsidR="009103CC" w:rsidRPr="001814D2" w:rsidRDefault="009103CC" w:rsidP="009103CC">
      <w:pPr>
        <w:pStyle w:val="ARheading5"/>
      </w:pPr>
      <w:r w:rsidRPr="001814D2">
        <w:t>Liveable communities</w:t>
      </w:r>
    </w:p>
    <w:p w14:paraId="40AEA98B" w14:textId="77777777" w:rsidR="009103CC" w:rsidRPr="001814D2" w:rsidRDefault="009103CC" w:rsidP="009103CC">
      <w:pPr>
        <w:pStyle w:val="ARlistparagraph"/>
      </w:pPr>
      <w:r w:rsidRPr="001814D2">
        <w:t xml:space="preserve">Studio A artists created a major mural as the centrepiece of the </w:t>
      </w:r>
      <w:r w:rsidRPr="001814D2">
        <w:rPr>
          <w:i/>
          <w:iCs/>
        </w:rPr>
        <w:t>Archie Plus</w:t>
      </w:r>
      <w:r w:rsidRPr="001814D2">
        <w:t xml:space="preserve"> exhibition. </w:t>
      </w:r>
    </w:p>
    <w:p w14:paraId="07AB1057" w14:textId="77777777" w:rsidR="009103CC" w:rsidRPr="001814D2" w:rsidRDefault="009103CC" w:rsidP="009103CC">
      <w:pPr>
        <w:pStyle w:val="ARlistparagraph"/>
      </w:pPr>
      <w:r w:rsidRPr="001814D2">
        <w:t xml:space="preserve">International Day of People with Disability (IDPWD) was marked with an Art Gallery event celebrating the </w:t>
      </w:r>
      <w:r w:rsidRPr="001814D2">
        <w:rPr>
          <w:i/>
          <w:iCs/>
        </w:rPr>
        <w:t>Archie Plu</w:t>
      </w:r>
      <w:r w:rsidRPr="001814D2">
        <w:t>s commission; social media posts acknowledging Archibald finalist Emily Crockford’s Australia Council Award; and ABC content featuring Archibald finalist Digby Webster.</w:t>
      </w:r>
      <w:r w:rsidRPr="001814D2">
        <w:rPr>
          <w:i/>
          <w:iCs/>
        </w:rPr>
        <w:t xml:space="preserve"> </w:t>
      </w:r>
      <w:r w:rsidRPr="001814D2">
        <w:t>Art After Hours online presented Studio A artists Meagan Pelham and Jaycee Kim in conversation with Yumi Stynes in honour of IDPWD, and a partnership with Accessible Arts featured Crockford, Webster and fellow Archibald finalist Neil Tomkins in conversation. Partnership with disability organisations to develop pathways to professional practice for artists with disability including Little Orange studio at Campbelltown Arts Centre and Front Up, founded by Ability Options.</w:t>
      </w:r>
    </w:p>
    <w:p w14:paraId="489EA116" w14:textId="77777777" w:rsidR="009103CC" w:rsidRPr="001814D2" w:rsidRDefault="009103CC" w:rsidP="009103CC">
      <w:pPr>
        <w:pStyle w:val="ARlistparagraph"/>
      </w:pPr>
      <w:r w:rsidRPr="001814D2">
        <w:t>Engagement of creatives from the Deaf community as presenters for two Auslan videos created for the Vibes festival on the Archibald Prize 2020.</w:t>
      </w:r>
    </w:p>
    <w:p w14:paraId="0896ADC6" w14:textId="77777777" w:rsidR="009103CC" w:rsidRPr="001814D2" w:rsidRDefault="009103CC" w:rsidP="009103CC">
      <w:pPr>
        <w:pStyle w:val="ARlistparagraph"/>
      </w:pPr>
      <w:r w:rsidRPr="001814D2">
        <w:t xml:space="preserve">Development of the Culture Dose program of ten online sessions through a research partnership with the Black Dog Institute to explore arts engagement for people living with depression. </w:t>
      </w:r>
    </w:p>
    <w:p w14:paraId="1795442C" w14:textId="77777777" w:rsidR="009103CC" w:rsidRPr="001814D2" w:rsidRDefault="009103CC" w:rsidP="009103CC">
      <w:pPr>
        <w:pStyle w:val="ARheading5"/>
      </w:pPr>
      <w:r w:rsidRPr="001814D2">
        <w:t>Employment</w:t>
      </w:r>
    </w:p>
    <w:p w14:paraId="54650B26" w14:textId="77777777" w:rsidR="009103CC" w:rsidRPr="001814D2" w:rsidRDefault="009103CC" w:rsidP="009103CC">
      <w:pPr>
        <w:pStyle w:val="ARlistparagraph"/>
      </w:pPr>
      <w:r w:rsidRPr="001814D2">
        <w:t>Inviting artists with disability to be paid presenters, artists and workshop leaders in non-disability-centred programming; for example, Art After Hours and education programming.</w:t>
      </w:r>
    </w:p>
    <w:p w14:paraId="43698F5D" w14:textId="77777777" w:rsidR="009103CC" w:rsidRPr="001814D2" w:rsidRDefault="009103CC" w:rsidP="009103CC">
      <w:pPr>
        <w:pStyle w:val="ARlistparagraph"/>
      </w:pPr>
      <w:r w:rsidRPr="001814D2">
        <w:t>Stepping Into paid internship program run by the Australian Network on Disability connected a university student with disability with a Visitor Experience internship.</w:t>
      </w:r>
    </w:p>
    <w:p w14:paraId="43ADC577" w14:textId="77777777" w:rsidR="009103CC" w:rsidRPr="001814D2" w:rsidRDefault="009103CC" w:rsidP="009103CC">
      <w:pPr>
        <w:pStyle w:val="ARheading5"/>
      </w:pPr>
      <w:r w:rsidRPr="001814D2">
        <w:t>Systems and processes</w:t>
      </w:r>
    </w:p>
    <w:p w14:paraId="7C7D4888" w14:textId="77777777" w:rsidR="009103CC" w:rsidRPr="001814D2" w:rsidRDefault="009103CC" w:rsidP="009103CC">
      <w:pPr>
        <w:pStyle w:val="ARlistparagraph"/>
      </w:pPr>
      <w:r w:rsidRPr="001814D2">
        <w:t>Targeted marketing of access and inclusive events to ensure disability equality programs and services are well communicated through mainstream marketing and targeted to community groups.</w:t>
      </w:r>
    </w:p>
    <w:p w14:paraId="6D549598" w14:textId="77777777" w:rsidR="009103CC" w:rsidRPr="001814D2" w:rsidRDefault="009103CC" w:rsidP="009103CC">
      <w:pPr>
        <w:pStyle w:val="ARlistparagraph"/>
      </w:pPr>
      <w:r w:rsidRPr="001814D2">
        <w:lastRenderedPageBreak/>
        <w:t>Disability-led evaluation of programs for people with disability in consultation with participants and peak bodies.</w:t>
      </w:r>
    </w:p>
    <w:p w14:paraId="60FBE2BA" w14:textId="77777777" w:rsidR="009103CC" w:rsidRPr="001814D2" w:rsidRDefault="009103CC" w:rsidP="009103CC">
      <w:pPr>
        <w:pStyle w:val="ARlistparagraph"/>
      </w:pPr>
      <w:r w:rsidRPr="001814D2">
        <w:t>Experimentation with presenting access programs via digital platforms in response to the impact of COVID-19.</w:t>
      </w:r>
    </w:p>
    <w:p w14:paraId="3A35D2D0" w14:textId="77777777" w:rsidR="009103CC" w:rsidRPr="001814D2" w:rsidRDefault="009103CC" w:rsidP="009103CC">
      <w:pPr>
        <w:pStyle w:val="ARlistparagraph"/>
      </w:pPr>
      <w:r w:rsidRPr="001814D2">
        <w:t xml:space="preserve">In-house production of an audio guide for the </w:t>
      </w:r>
      <w:r w:rsidRPr="001814D2">
        <w:rPr>
          <w:i/>
          <w:iCs/>
        </w:rPr>
        <w:t>Streeton</w:t>
      </w:r>
      <w:r w:rsidRPr="001814D2">
        <w:t xml:space="preserve"> exhibition including audio descriptions of exhibition highlights. This audio guide was formally evaluated through user testing by Accessible Arts.</w:t>
      </w:r>
    </w:p>
    <w:p w14:paraId="3DE535DA" w14:textId="77777777" w:rsidR="009103CC" w:rsidRPr="001814D2" w:rsidRDefault="009103CC" w:rsidP="009103CC">
      <w:pPr>
        <w:pStyle w:val="ARheading3"/>
      </w:pPr>
      <w:r w:rsidRPr="001814D2">
        <w:t>Visitor experience</w:t>
      </w:r>
    </w:p>
    <w:p w14:paraId="1D4FC031" w14:textId="77777777" w:rsidR="009103CC" w:rsidRPr="001814D2" w:rsidRDefault="009103CC" w:rsidP="009103CC">
      <w:pPr>
        <w:pStyle w:val="ARlistparagraph"/>
      </w:pPr>
      <w:r w:rsidRPr="001814D2">
        <w:t>7753 visitors attended a guided tour</w:t>
      </w:r>
    </w:p>
    <w:p w14:paraId="178CE308" w14:textId="77777777" w:rsidR="009103CC" w:rsidRPr="001814D2" w:rsidRDefault="009103CC" w:rsidP="009103CC">
      <w:pPr>
        <w:pStyle w:val="ARlistparagraph"/>
      </w:pPr>
      <w:r w:rsidRPr="001814D2">
        <w:t>270 volunteers and volunteer guides</w:t>
      </w:r>
    </w:p>
    <w:p w14:paraId="12EE6B79" w14:textId="77777777" w:rsidR="009103CC" w:rsidRPr="001814D2" w:rsidRDefault="009103CC" w:rsidP="009103CC">
      <w:pPr>
        <w:pStyle w:val="ARlistparagraph"/>
      </w:pPr>
      <w:r w:rsidRPr="001814D2">
        <w:t>4000 volunteer hours</w:t>
      </w:r>
    </w:p>
    <w:p w14:paraId="5F9DB1F5" w14:textId="77777777" w:rsidR="009103CC" w:rsidRPr="001814D2" w:rsidRDefault="009103CC" w:rsidP="009103CC">
      <w:pPr>
        <w:pStyle w:val="ARbody"/>
      </w:pPr>
      <w:r w:rsidRPr="001814D2">
        <w:t>Visitor Experience staff and volunteers welcome and support the Art Gallery’s visitors, facilitating dynamic and varied engagement with collections and exhibitions.</w:t>
      </w:r>
    </w:p>
    <w:p w14:paraId="3FC0FC44" w14:textId="77777777" w:rsidR="009103CC" w:rsidRPr="001814D2" w:rsidRDefault="009103CC" w:rsidP="009103CC">
      <w:pPr>
        <w:pStyle w:val="ARbody"/>
      </w:pPr>
      <w:r w:rsidRPr="001814D2">
        <w:t xml:space="preserve">This year was one of change – some changes were planned, as part of the Art Gallery’s expansion and transformation, while other changes were a response to the requirements of the pandemic. These changes brought new and innovative approaches to operations, as well as improving preparedness to service visitors and enhance their experience in a changing world. </w:t>
      </w:r>
    </w:p>
    <w:p w14:paraId="699A84A2" w14:textId="77777777" w:rsidR="009103CC" w:rsidRPr="001814D2" w:rsidRDefault="009103CC" w:rsidP="009103CC">
      <w:pPr>
        <w:pStyle w:val="ARbody"/>
      </w:pPr>
      <w:r w:rsidRPr="001814D2">
        <w:t xml:space="preserve">A key goal was to ensure the team represented the Art Gallery’s new guiding principle, ‘From here. For all.’ The team’s reach across the Art Gallery has expanded, and recruitment and training are ensuring staff and volunteers represent the diversity of our community. </w:t>
      </w:r>
    </w:p>
    <w:p w14:paraId="67DF2313" w14:textId="77777777" w:rsidR="009103CC" w:rsidRPr="00933FC4" w:rsidRDefault="009103CC" w:rsidP="009103CC">
      <w:pPr>
        <w:pStyle w:val="ARheading4"/>
      </w:pPr>
      <w:r w:rsidRPr="00933FC4">
        <w:t xml:space="preserve">Ticketing management </w:t>
      </w:r>
    </w:p>
    <w:p w14:paraId="76518324" w14:textId="77777777" w:rsidR="009103CC" w:rsidRPr="001814D2" w:rsidRDefault="009103CC" w:rsidP="009103CC">
      <w:pPr>
        <w:pStyle w:val="ARbody"/>
      </w:pPr>
      <w:r w:rsidRPr="001814D2">
        <w:t>Following the implementation of a new venue management system, procurement for an improved ticketing system resumed in late 2020 to meet the needs of the expanded Art Gallery campus. Working with a cross-departmental team, the procurement was successfully rolled out with implementation and integration with other systems to commence early in the 2021–22 financial year.</w:t>
      </w:r>
    </w:p>
    <w:p w14:paraId="3020E3DB" w14:textId="77777777" w:rsidR="009103CC" w:rsidRPr="001814D2" w:rsidRDefault="009103CC" w:rsidP="009103CC">
      <w:pPr>
        <w:pStyle w:val="ARheading4"/>
      </w:pPr>
      <w:r w:rsidRPr="001814D2">
        <w:t xml:space="preserve">Visitor engagement </w:t>
      </w:r>
    </w:p>
    <w:p w14:paraId="78D2120F" w14:textId="77777777" w:rsidR="009103CC" w:rsidRPr="001814D2" w:rsidRDefault="009103CC" w:rsidP="009103CC">
      <w:pPr>
        <w:pStyle w:val="ARbody"/>
      </w:pPr>
      <w:r w:rsidRPr="001814D2">
        <w:t xml:space="preserve">Art Gallery hosts remained central to visitor engagement, resuming daily ‘welcome wanders’ from August 2020, capturing audience feedback for the Gallery Stories project in February 2021, supporting the NSW Government’s Culture Up Late project between January and June </w:t>
      </w:r>
      <w:r w:rsidRPr="001814D2">
        <w:lastRenderedPageBreak/>
        <w:t xml:space="preserve">2021, and welcoming self-guided school groups, who returned in 2021 to visit </w:t>
      </w:r>
      <w:r w:rsidRPr="001814D2">
        <w:rPr>
          <w:i/>
          <w:iCs/>
        </w:rPr>
        <w:t>ARTEXPRESS 2021</w:t>
      </w:r>
      <w:r w:rsidRPr="001814D2">
        <w:t xml:space="preserve">, </w:t>
      </w:r>
      <w:r w:rsidRPr="001814D2">
        <w:rPr>
          <w:i/>
          <w:iCs/>
        </w:rPr>
        <w:t>Streeton</w:t>
      </w:r>
      <w:r w:rsidRPr="001814D2">
        <w:t xml:space="preserve"> and the wider collection. </w:t>
      </w:r>
    </w:p>
    <w:p w14:paraId="2E0BD0EC" w14:textId="77777777" w:rsidR="009103CC" w:rsidRPr="001814D2" w:rsidRDefault="009103CC" w:rsidP="009103CC">
      <w:pPr>
        <w:pStyle w:val="ARheading4"/>
      </w:pPr>
      <w:r w:rsidRPr="001814D2">
        <w:t xml:space="preserve">Member engagement </w:t>
      </w:r>
    </w:p>
    <w:p w14:paraId="165AB0CC" w14:textId="77777777" w:rsidR="009103CC" w:rsidRPr="001814D2" w:rsidRDefault="009103CC" w:rsidP="009103CC">
      <w:pPr>
        <w:pStyle w:val="ARbody"/>
      </w:pPr>
      <w:r w:rsidRPr="001814D2">
        <w:t xml:space="preserve">In 2021 the Visitor Experience team began supporting the Art Gallery Society of NSW in member acquisition, with an annual target of 2200 new members signed up. Across 2020–21, the Visitor Experience team surpassed this target, signing up almost 3500 members at a newly consolidated welcome desk, which adds membership support to existing information and ticketing service, providing a unified experience for visitors. </w:t>
      </w:r>
    </w:p>
    <w:p w14:paraId="303D4B64" w14:textId="77777777" w:rsidR="009103CC" w:rsidRPr="001814D2" w:rsidRDefault="009103CC" w:rsidP="009103CC">
      <w:pPr>
        <w:pStyle w:val="ARheading4"/>
      </w:pPr>
      <w:r w:rsidRPr="001814D2">
        <w:t xml:space="preserve">Brett Whiteley Studio </w:t>
      </w:r>
    </w:p>
    <w:p w14:paraId="3A820788" w14:textId="77777777" w:rsidR="009103CC" w:rsidRPr="001814D2" w:rsidRDefault="009103CC" w:rsidP="009103CC">
      <w:pPr>
        <w:pStyle w:val="ARbody"/>
      </w:pPr>
      <w:r w:rsidRPr="001814D2">
        <w:t xml:space="preserve">In February 2021, the Visitor Experience team began supporting the Brett Whiteley Studio, providing an enhanced and consistent visitor experience and front-of-house management framework. </w:t>
      </w:r>
    </w:p>
    <w:p w14:paraId="2967BBD5" w14:textId="77777777" w:rsidR="009103CC" w:rsidRPr="001814D2" w:rsidRDefault="009103CC" w:rsidP="009103CC">
      <w:pPr>
        <w:pStyle w:val="ARheading4"/>
      </w:pPr>
      <w:r w:rsidRPr="001814D2">
        <w:t xml:space="preserve">Volunteer management </w:t>
      </w:r>
    </w:p>
    <w:p w14:paraId="0B9DA28A" w14:textId="77777777" w:rsidR="009103CC" w:rsidRPr="001814D2" w:rsidRDefault="009103CC" w:rsidP="009103CC">
      <w:pPr>
        <w:pStyle w:val="ARbody"/>
      </w:pPr>
      <w:r w:rsidRPr="001814D2">
        <w:t>Based on recommendations from the Volunteer Management Committee, in 2021 the Visitor Experience team commenced coordination of all volunteer programs. New roles have been established to improve visitor experience and support the business objectives of the Art Gallery and Art Gallery Society as the Art Gallery expands and transforms through the Sydney Modern Project. These roles include experience ambassador volunteers, program and events volunteers, and behind-the-scenes volunteers. The adoption of Better Impact volunteer management software has also greatly improved rostering, data analysis and communications with a unified database of volunteers.</w:t>
      </w:r>
    </w:p>
    <w:p w14:paraId="3971388A" w14:textId="77777777" w:rsidR="009103CC" w:rsidRPr="001814D2" w:rsidRDefault="009103CC" w:rsidP="009103CC">
      <w:pPr>
        <w:pStyle w:val="ARbody"/>
      </w:pPr>
      <w:r w:rsidRPr="001814D2">
        <w:t>Volunteers provided the Art Gallery with almost 4000 volunteer hours in 2020–21. Although COVID-19 impacts meant this was significantly lower than in 2019–20 (13,585 hours) and 2018–19 (22,629), the loyalty and flexibility of volunteers has been of enormous value during this time.</w:t>
      </w:r>
    </w:p>
    <w:p w14:paraId="4792C6A5" w14:textId="77777777" w:rsidR="009103CC" w:rsidRPr="001814D2" w:rsidRDefault="009103CC" w:rsidP="009103CC">
      <w:pPr>
        <w:pStyle w:val="ARheading4"/>
      </w:pPr>
      <w:r w:rsidRPr="001814D2">
        <w:t xml:space="preserve">Guided tours </w:t>
      </w:r>
    </w:p>
    <w:p w14:paraId="64DB90D7" w14:textId="77777777" w:rsidR="009103CC" w:rsidRPr="001814D2" w:rsidRDefault="009103CC" w:rsidP="009103CC">
      <w:pPr>
        <w:pStyle w:val="ARbody"/>
      </w:pPr>
      <w:r w:rsidRPr="001814D2">
        <w:t xml:space="preserve">The Art Gallery provided a staged COVID-safe return to guided public and private tours of exhibitions and the collection, with limited offerings from September 2020 then full resumption from early 2021 until early June 2021 when public health orders again required their suspension. </w:t>
      </w:r>
    </w:p>
    <w:p w14:paraId="56506D55" w14:textId="77777777" w:rsidR="009103CC" w:rsidRPr="001814D2" w:rsidRDefault="009103CC" w:rsidP="009103CC">
      <w:pPr>
        <w:pStyle w:val="ARheading4"/>
      </w:pPr>
      <w:r w:rsidRPr="001814D2">
        <w:t>A COVID-safe Art Gallery</w:t>
      </w:r>
    </w:p>
    <w:p w14:paraId="667F3EED" w14:textId="77777777" w:rsidR="009103CC" w:rsidRPr="001814D2" w:rsidRDefault="009103CC" w:rsidP="009103CC">
      <w:pPr>
        <w:pStyle w:val="ARbody"/>
      </w:pPr>
      <w:r w:rsidRPr="001814D2">
        <w:t xml:space="preserve">Together with the wider Return to Work Group, which was established in 2020 to oversee the Art Gallery’s safe reopening to the public after its temporary closure, Visitor Experience </w:t>
      </w:r>
      <w:r w:rsidRPr="001814D2">
        <w:lastRenderedPageBreak/>
        <w:t xml:space="preserve">ensured the safety and positive experience of visitors through management of COVID-19 safety measures such as signage, seating, front-of-house operations, rollout of a new cloaking facility, and leading contact tracing – first with platforms led by the Art Gallery then through Service NSW. Varying capacity limits for major exhibition spaces required careful ticketing management including timed/dated sessions, in-person and digital engagement, and driving pre-purchase of tickets to reduce queues. This transition from a transactional ticketing experience to a serviced welcome experience aligns with the Art Gallery’s wider vision of a more mobile and responsive visitor service. </w:t>
      </w:r>
    </w:p>
    <w:p w14:paraId="3A9DFD43" w14:textId="77777777" w:rsidR="009103CC" w:rsidRPr="001814D2" w:rsidRDefault="009103CC" w:rsidP="009103CC">
      <w:pPr>
        <w:pStyle w:val="ARheading3"/>
      </w:pPr>
      <w:r w:rsidRPr="001814D2">
        <w:t>Digital engagement</w:t>
      </w:r>
    </w:p>
    <w:p w14:paraId="5A09D425" w14:textId="77777777" w:rsidR="009103CC" w:rsidRPr="001814D2" w:rsidRDefault="009103CC" w:rsidP="009103CC">
      <w:pPr>
        <w:pStyle w:val="ARbody"/>
      </w:pPr>
      <w:r w:rsidRPr="001814D2">
        <w:t>The Art Gallery’s new website was launched on 24 April 2021 to coincide with the unveiling of the Art Gallery’s new visual identity and its 150th anniversary. It replaces decade-old technology, and a site built for desktop computers, with a responsive site that works across all digital devices, from smartphones and retina-display tablets to large high-definition screens, to suit how people engage with digital content today.</w:t>
      </w:r>
    </w:p>
    <w:p w14:paraId="461C835B" w14:textId="77777777" w:rsidR="009103CC" w:rsidRPr="001814D2" w:rsidRDefault="009103CC" w:rsidP="009103CC">
      <w:pPr>
        <w:pStyle w:val="ARbody"/>
      </w:pPr>
      <w:r w:rsidRPr="001814D2">
        <w:t>Meeting the diverse needs of the Art Gallery’s audiences is central to the new guiding principle, ‘From here. For all’. The website’s design principles support access and inclusion, informed by Digital.NSW design standards and international best practice.</w:t>
      </w:r>
    </w:p>
    <w:p w14:paraId="4EE813D2" w14:textId="77777777" w:rsidR="009103CC" w:rsidRPr="001814D2" w:rsidRDefault="009103CC" w:rsidP="009103CC">
      <w:pPr>
        <w:pStyle w:val="ARbody"/>
      </w:pPr>
      <w:r w:rsidRPr="001814D2">
        <w:t>Based on extensive research and modelling, the site aims for simplicity and consistency, and to connect the digital with the physical. It provides a more visual, image- and art-based experience, as people expect from a visual arts institution. Importantly, the site supports innovation. The new ‘future-ready’ technology behind it enables us to adapt to change and continuously improve.</w:t>
      </w:r>
    </w:p>
    <w:p w14:paraId="384D505B" w14:textId="77777777" w:rsidR="009103CC" w:rsidRPr="001814D2" w:rsidRDefault="009103CC" w:rsidP="009103CC">
      <w:pPr>
        <w:pStyle w:val="ARbody"/>
      </w:pPr>
      <w:r w:rsidRPr="001814D2">
        <w:t>This major project is the first stage in the Art Gallery’s Digital Experience Platform (DXP) project, which will see many further enhancements and a series of new digital products throughout 2021–22.</w:t>
      </w:r>
    </w:p>
    <w:p w14:paraId="09109093" w14:textId="77777777" w:rsidR="009103CC" w:rsidRPr="001814D2" w:rsidRDefault="009103CC" w:rsidP="009103CC">
      <w:pPr>
        <w:pStyle w:val="ARbody"/>
      </w:pPr>
      <w:r w:rsidRPr="001814D2">
        <w:t>A new online Gallery Shop was also launched during 2020–21, including a sophisticated new design, higher-quality images, updated product information and an opportunity to showcase an expanded range of gallery-exclusive merchandise. Customers benefit from an intuitive layout for improved navigation and purchasing experiences. The system also provides enhanced reporting capabilities and potential for targeted sales, promotion and marketing, and can be readily integrated with other DXP products and point-of-sale and inventory management systems.</w:t>
      </w:r>
    </w:p>
    <w:p w14:paraId="5B86FEE3" w14:textId="77777777" w:rsidR="009103CC" w:rsidRPr="001814D2" w:rsidRDefault="009103CC" w:rsidP="009103CC">
      <w:pPr>
        <w:pStyle w:val="ARheading4"/>
      </w:pPr>
      <w:r w:rsidRPr="001814D2">
        <w:t>Digital responses to COVID-19 impacts</w:t>
      </w:r>
    </w:p>
    <w:p w14:paraId="64ED401A" w14:textId="77777777" w:rsidR="009103CC" w:rsidRPr="001814D2" w:rsidRDefault="009103CC" w:rsidP="009103CC">
      <w:pPr>
        <w:pStyle w:val="ARbody"/>
      </w:pPr>
      <w:r w:rsidRPr="001814D2">
        <w:t xml:space="preserve">The impact of COVID-19 on operations required a quick pivot to digital for several popular </w:t>
      </w:r>
      <w:r w:rsidRPr="001814D2">
        <w:lastRenderedPageBreak/>
        <w:t>audience offerings.</w:t>
      </w:r>
    </w:p>
    <w:p w14:paraId="7CC10606" w14:textId="77777777" w:rsidR="009103CC" w:rsidRPr="001814D2" w:rsidRDefault="009103CC" w:rsidP="009103CC">
      <w:pPr>
        <w:pStyle w:val="ARheading5"/>
      </w:pPr>
      <w:r w:rsidRPr="001814D2">
        <w:t>ANZ People’s Choice competition</w:t>
      </w:r>
    </w:p>
    <w:p w14:paraId="1411198E" w14:textId="77777777" w:rsidR="009103CC" w:rsidRPr="001814D2" w:rsidRDefault="009103CC" w:rsidP="009103CC">
      <w:pPr>
        <w:pStyle w:val="ARbody"/>
      </w:pPr>
      <w:r w:rsidRPr="001814D2">
        <w:t>A contactless voting system was developed where visitors to the Archibald, Wynne and Sulman Prizes exhibition use their own mobile phones to vote by either scanning a QR code or entering a short URL printed in the exhibition brochure. Instigated successfully for the 2020 exhibition (with 13,647 votes received), the same system was used for 2021.</w:t>
      </w:r>
    </w:p>
    <w:p w14:paraId="6F0E1C59" w14:textId="77777777" w:rsidR="009103CC" w:rsidRPr="001814D2" w:rsidRDefault="009103CC" w:rsidP="009103CC">
      <w:pPr>
        <w:pStyle w:val="ARheading5"/>
      </w:pPr>
      <w:r w:rsidRPr="001814D2">
        <w:t>ANZ Blue tour</w:t>
      </w:r>
    </w:p>
    <w:p w14:paraId="0B627247" w14:textId="77777777" w:rsidR="009103CC" w:rsidRPr="001814D2" w:rsidRDefault="009103CC" w:rsidP="009103CC">
      <w:pPr>
        <w:pStyle w:val="ARbody"/>
      </w:pPr>
      <w:r w:rsidRPr="001814D2">
        <w:t xml:space="preserve">To replace in-person tours of </w:t>
      </w:r>
      <w:r w:rsidRPr="001814D2">
        <w:rPr>
          <w:i/>
          <w:iCs/>
        </w:rPr>
        <w:t>Archibald, Wynne and Sulman Prizes 2020</w:t>
      </w:r>
      <w:r w:rsidRPr="001814D2">
        <w:t>, a free audio tour was made available in addition to the usual audio recordings of the labels. Visitors online or in-gallery via their mobile phones could listen to the stories behind select artworks. The audio tour was accessed 33,642 times by 26,869 unique visitors between 25 September 2020 and 10 January 2021.</w:t>
      </w:r>
    </w:p>
    <w:p w14:paraId="5AC6CFA7" w14:textId="77777777" w:rsidR="009103CC" w:rsidRPr="001814D2" w:rsidRDefault="009103CC" w:rsidP="009103CC">
      <w:pPr>
        <w:pStyle w:val="ARheading5"/>
      </w:pPr>
      <w:r w:rsidRPr="001814D2">
        <w:t>Virtual visits</w:t>
      </w:r>
    </w:p>
    <w:p w14:paraId="18192CE9" w14:textId="77777777" w:rsidR="009103CC" w:rsidRPr="001814D2" w:rsidRDefault="009103CC" w:rsidP="009103CC">
      <w:pPr>
        <w:pStyle w:val="ARbody"/>
      </w:pPr>
      <w:r w:rsidRPr="001814D2">
        <w:t xml:space="preserve">With opening night and sponsor events not possible for </w:t>
      </w:r>
      <w:r w:rsidRPr="001814D2">
        <w:rPr>
          <w:i/>
          <w:iCs/>
        </w:rPr>
        <w:t>Archibald, Wynne and Sulman Prizes 2020</w:t>
      </w:r>
      <w:r w:rsidRPr="001814D2">
        <w:t xml:space="preserve"> due to COVID-19 restrictions, the Art Gallery created its first 360-degree virtual visit to showcase the exhibition online. Initially for exclusive use by sponsor ANZ, its staff and customers, it was then shared with education audiences. After the exhibition closed on 25 September 2020, it was made available to the general public, with 14,700 visits and 11,900 unique visitors. Virtual visits were then created for </w:t>
      </w:r>
      <w:r w:rsidRPr="001814D2">
        <w:rPr>
          <w:i/>
          <w:iCs/>
        </w:rPr>
        <w:t xml:space="preserve">Streeton </w:t>
      </w:r>
      <w:r w:rsidRPr="001814D2">
        <w:t xml:space="preserve">(14,700 visits/11,900 unique visitors since November 2020) and </w:t>
      </w:r>
      <w:r w:rsidRPr="001814D2">
        <w:rPr>
          <w:i/>
          <w:iCs/>
        </w:rPr>
        <w:t>ARTEXPRESS 2021</w:t>
      </w:r>
      <w:r w:rsidRPr="001814D2">
        <w:t xml:space="preserve"> (2440 visits/1995 unique visitors since February 2021).</w:t>
      </w:r>
    </w:p>
    <w:p w14:paraId="18DCA80F" w14:textId="77777777" w:rsidR="009103CC" w:rsidRPr="001814D2" w:rsidRDefault="009103CC" w:rsidP="009103CC">
      <w:pPr>
        <w:pStyle w:val="ARheading5"/>
      </w:pPr>
      <w:r w:rsidRPr="001814D2">
        <w:t xml:space="preserve">Livestreamed events </w:t>
      </w:r>
    </w:p>
    <w:p w14:paraId="642810E1" w14:textId="77777777" w:rsidR="009103CC" w:rsidRPr="001814D2" w:rsidRDefault="009103CC" w:rsidP="009103CC">
      <w:pPr>
        <w:pStyle w:val="ARbody"/>
      </w:pPr>
      <w:r w:rsidRPr="001814D2">
        <w:t xml:space="preserve">The Art Gallery hosted a series of livestreamed events on a dedicated custom-built microsite to replace onsite offerings. These included the Archibald, Wynne and Sulman Prizes 2020 and 2021 openings, finalists and winner announcements; the </w:t>
      </w:r>
      <w:r w:rsidRPr="001814D2">
        <w:rPr>
          <w:i/>
          <w:iCs/>
        </w:rPr>
        <w:t>ARTEXPRESS 2021</w:t>
      </w:r>
      <w:r w:rsidRPr="001814D2">
        <w:t xml:space="preserve"> opening; and a variety of member lectures. There were over 6000 views of livestreamed events during this time, with the most viewed being the </w:t>
      </w:r>
      <w:r w:rsidRPr="001814D2">
        <w:rPr>
          <w:i/>
          <w:iCs/>
        </w:rPr>
        <w:t xml:space="preserve">Archibald, Wynne and Sulman Prizes 2020 </w:t>
      </w:r>
      <w:r w:rsidRPr="001814D2">
        <w:t>opening (1451 views).</w:t>
      </w:r>
    </w:p>
    <w:p w14:paraId="701C61E0" w14:textId="77777777" w:rsidR="009103CC" w:rsidRPr="001814D2" w:rsidRDefault="009103CC" w:rsidP="009103CC">
      <w:pPr>
        <w:pStyle w:val="ARheading4"/>
      </w:pPr>
      <w:r w:rsidRPr="001814D2">
        <w:t>Prizes archive</w:t>
      </w:r>
    </w:p>
    <w:p w14:paraId="0BE3BBEC" w14:textId="77777777" w:rsidR="009103CC" w:rsidRPr="001814D2" w:rsidRDefault="009103CC" w:rsidP="009103CC">
      <w:pPr>
        <w:pStyle w:val="ARbody"/>
      </w:pPr>
      <w:r w:rsidRPr="001814D2">
        <w:t xml:space="preserve">The prizes archive is one of the most consistently popular sections of the Art Gallery website, featuring records of every artist and work that has been in the Archibald, Wynne, Sulman and Dobell Prizes since the prizes’ inception. In the lead-up to the 100th anniversary of the Archibald Prize, the Australian Government’s Visions of Australia program assisted a major </w:t>
      </w:r>
      <w:r w:rsidRPr="001814D2">
        <w:lastRenderedPageBreak/>
        <w:t xml:space="preserve">research project to locate images and information for past Archibald works. More than 6000 database records were reviewed and structured data gathered that identifies the gender of artists and sitters, who is Aboriginal and/or Torres Strait Islander, which artists were based in New Zealand, which works are collaborations and which are self-portraits, which artists have works in the Art Gallery collection, which Archibald works are in the collection, and the known location of works. Key information has been added to the website for each year. A comprehensive online resource for </w:t>
      </w:r>
      <w:r w:rsidRPr="001814D2">
        <w:rPr>
          <w:i/>
          <w:iCs/>
        </w:rPr>
        <w:t>Archie 100: A Century of the Archibald Prize</w:t>
      </w:r>
      <w:r w:rsidRPr="001814D2">
        <w:t xml:space="preserve"> also includes all exhibition works and text.</w:t>
      </w:r>
    </w:p>
    <w:p w14:paraId="3AAD15CA" w14:textId="77777777" w:rsidR="009103CC" w:rsidRPr="001814D2" w:rsidRDefault="009103CC" w:rsidP="009103CC">
      <w:pPr>
        <w:pStyle w:val="ARheading4"/>
      </w:pPr>
      <w:r w:rsidRPr="001814D2">
        <w:t xml:space="preserve">Video highlights </w:t>
      </w:r>
    </w:p>
    <w:p w14:paraId="1D29C40C" w14:textId="77777777" w:rsidR="009103CC" w:rsidRPr="001814D2" w:rsidRDefault="009103CC" w:rsidP="009103CC">
      <w:pPr>
        <w:pStyle w:val="ARbody"/>
      </w:pPr>
      <w:r w:rsidRPr="001814D2">
        <w:t xml:space="preserve">The year’s video production highlights included a film featuring the Archibald Prize 2020 winner Vincent Namatjira at his Indulkana studio on Aṉangu Pitjantjatjara Yankunytjatjara Lands in South Australia, discussing why he paints and his winning portrait of Adam Goodes. </w:t>
      </w:r>
    </w:p>
    <w:p w14:paraId="6652B5C8" w14:textId="77777777" w:rsidR="009103CC" w:rsidRPr="001814D2" w:rsidRDefault="009103CC" w:rsidP="009103CC">
      <w:pPr>
        <w:pStyle w:val="ARheading4"/>
      </w:pPr>
      <w:r w:rsidRPr="001814D2">
        <w:t>Streeton digital highlights</w:t>
      </w:r>
    </w:p>
    <w:p w14:paraId="0E14A70E" w14:textId="77777777" w:rsidR="009103CC" w:rsidRPr="001814D2" w:rsidRDefault="009103CC" w:rsidP="009103CC">
      <w:pPr>
        <w:pStyle w:val="ARbody"/>
      </w:pPr>
      <w:r w:rsidRPr="001814D2">
        <w:t xml:space="preserve">The </w:t>
      </w:r>
      <w:r w:rsidRPr="001814D2">
        <w:rPr>
          <w:i/>
          <w:iCs/>
        </w:rPr>
        <w:t>Streeton</w:t>
      </w:r>
      <w:r w:rsidRPr="001814D2">
        <w:t xml:space="preserve"> exhibition featured opportunities for audiences to learn more about one of Australia’s most significant artists, Arthur Streeton. Catherine Hunter Productions was commissioned to produce the film </w:t>
      </w:r>
      <w:r w:rsidRPr="001814D2">
        <w:rPr>
          <w:i/>
          <w:iCs/>
        </w:rPr>
        <w:t>Streeton: a life</w:t>
      </w:r>
      <w:r w:rsidRPr="001814D2">
        <w:t>, which screened at the exhibition entrance and on ABC TV, and an animated video was created to introduce the artist and Australian impressionism to younger audiences. A popular audio guide offered accessible features such as transcripts and audio descriptions for selected artworks. This content was brought together with other material in a rich website resource.</w:t>
      </w:r>
    </w:p>
    <w:p w14:paraId="49597F0E" w14:textId="77777777" w:rsidR="009103CC" w:rsidRPr="001814D2" w:rsidRDefault="009103CC" w:rsidP="009103CC">
      <w:pPr>
        <w:pStyle w:val="ARheading4"/>
      </w:pPr>
      <w:r w:rsidRPr="001814D2">
        <w:t>Art Gallery of New South Wales website</w:t>
      </w:r>
    </w:p>
    <w:p w14:paraId="096C140E" w14:textId="77777777" w:rsidR="009103CC" w:rsidRPr="001814D2" w:rsidRDefault="009103CC" w:rsidP="009103CC">
      <w:pPr>
        <w:pStyle w:val="ARlistparagraph"/>
      </w:pPr>
      <w:r w:rsidRPr="001814D2">
        <w:t xml:space="preserve">Total sessions: 4,051,448 </w:t>
      </w:r>
    </w:p>
    <w:p w14:paraId="124A1A01" w14:textId="77777777" w:rsidR="009103CC" w:rsidRPr="001814D2" w:rsidRDefault="009103CC" w:rsidP="009103CC">
      <w:pPr>
        <w:pStyle w:val="ARlistparagraph"/>
      </w:pPr>
      <w:r w:rsidRPr="001814D2">
        <w:t xml:space="preserve">Total users: 2,895,167 </w:t>
      </w:r>
    </w:p>
    <w:p w14:paraId="3FD465B1" w14:textId="77777777" w:rsidR="009103CC" w:rsidRPr="001814D2" w:rsidRDefault="009103CC" w:rsidP="009103CC">
      <w:pPr>
        <w:pStyle w:val="ARlistparagraph"/>
      </w:pPr>
      <w:r w:rsidRPr="001814D2">
        <w:t xml:space="preserve">Total pageviews: 14,089,287 </w:t>
      </w:r>
    </w:p>
    <w:p w14:paraId="524DFC29" w14:textId="77777777" w:rsidR="009103CC" w:rsidRPr="001814D2" w:rsidRDefault="009103CC" w:rsidP="009103CC">
      <w:pPr>
        <w:pStyle w:val="ARbody"/>
      </w:pPr>
      <w:r w:rsidRPr="001814D2">
        <w:t xml:space="preserve">Most viewed sections (by pageviews) </w:t>
      </w:r>
    </w:p>
    <w:p w14:paraId="14CF87F7" w14:textId="77777777" w:rsidR="009103CC" w:rsidRPr="001814D2" w:rsidRDefault="009103CC" w:rsidP="009103CC">
      <w:pPr>
        <w:pStyle w:val="ARlistparagraph"/>
      </w:pPr>
      <w:r w:rsidRPr="001814D2">
        <w:t xml:space="preserve">Prizes: 3,164,911 (22%) </w:t>
      </w:r>
    </w:p>
    <w:p w14:paraId="789FC4C0" w14:textId="77777777" w:rsidR="009103CC" w:rsidRPr="001814D2" w:rsidRDefault="009103CC" w:rsidP="009103CC">
      <w:pPr>
        <w:pStyle w:val="ARlistparagraph"/>
      </w:pPr>
      <w:r w:rsidRPr="001814D2">
        <w:t xml:space="preserve">Collections: 2,694,458 (19%) </w:t>
      </w:r>
    </w:p>
    <w:p w14:paraId="244BF888" w14:textId="77777777" w:rsidR="009103CC" w:rsidRPr="001814D2" w:rsidRDefault="009103CC" w:rsidP="009103CC">
      <w:pPr>
        <w:pStyle w:val="ARlistparagraph"/>
      </w:pPr>
      <w:r w:rsidRPr="001814D2">
        <w:t xml:space="preserve">Exhibitions: 1,418,209 (10%) </w:t>
      </w:r>
    </w:p>
    <w:p w14:paraId="118A39C6" w14:textId="77777777" w:rsidR="009103CC" w:rsidRPr="001814D2" w:rsidRDefault="009103CC" w:rsidP="009103CC">
      <w:pPr>
        <w:pStyle w:val="ARlistparagraph"/>
      </w:pPr>
      <w:r w:rsidRPr="001814D2">
        <w:t>Online ticketing (Qtix): 1,072,078 (8%)</w:t>
      </w:r>
    </w:p>
    <w:p w14:paraId="7ED71587" w14:textId="77777777" w:rsidR="009103CC" w:rsidRPr="001814D2" w:rsidRDefault="009103CC" w:rsidP="009103CC">
      <w:pPr>
        <w:pStyle w:val="ARlistparagraph"/>
      </w:pPr>
      <w:r w:rsidRPr="001814D2">
        <w:t xml:space="preserve">Online Gallery Shop: 953,651 (7%) </w:t>
      </w:r>
    </w:p>
    <w:p w14:paraId="1C61C984" w14:textId="77777777" w:rsidR="009103CC" w:rsidRPr="001814D2" w:rsidRDefault="009103CC" w:rsidP="009103CC">
      <w:pPr>
        <w:pStyle w:val="ARlistparagraph"/>
      </w:pPr>
      <w:r w:rsidRPr="001814D2">
        <w:lastRenderedPageBreak/>
        <w:t xml:space="preserve">Inside ARTEXPRESS: 736,599 (5%) </w:t>
      </w:r>
    </w:p>
    <w:p w14:paraId="6E7C8EF6" w14:textId="77777777" w:rsidR="009103CC" w:rsidRPr="001814D2" w:rsidRDefault="009103CC" w:rsidP="009103CC">
      <w:pPr>
        <w:pStyle w:val="ARbody"/>
      </w:pPr>
      <w:r w:rsidRPr="001814D2">
        <w:t>Most viewed artist profiles (by pageviews)</w:t>
      </w:r>
    </w:p>
    <w:p w14:paraId="3B85748B" w14:textId="77777777" w:rsidR="009103CC" w:rsidRPr="001814D2" w:rsidRDefault="009103CC" w:rsidP="009103CC">
      <w:pPr>
        <w:pStyle w:val="ARlistparagraph"/>
      </w:pPr>
      <w:r w:rsidRPr="001814D2">
        <w:t xml:space="preserve">Albert Namatjira: 14,748 </w:t>
      </w:r>
    </w:p>
    <w:p w14:paraId="09D4D809" w14:textId="77777777" w:rsidR="009103CC" w:rsidRPr="001814D2" w:rsidRDefault="009103CC" w:rsidP="009103CC">
      <w:pPr>
        <w:pStyle w:val="ARlistparagraph"/>
      </w:pPr>
      <w:r w:rsidRPr="001814D2">
        <w:t xml:space="preserve">Tracey Moffatt: 10,831 </w:t>
      </w:r>
    </w:p>
    <w:p w14:paraId="45707516" w14:textId="77777777" w:rsidR="009103CC" w:rsidRPr="001814D2" w:rsidRDefault="009103CC" w:rsidP="009103CC">
      <w:pPr>
        <w:pStyle w:val="ARlistparagraph"/>
      </w:pPr>
      <w:r w:rsidRPr="001814D2">
        <w:t xml:space="preserve">Jeffrey Smart: 9906 </w:t>
      </w:r>
    </w:p>
    <w:p w14:paraId="0648A017" w14:textId="77777777" w:rsidR="009103CC" w:rsidRPr="001814D2" w:rsidRDefault="009103CC" w:rsidP="009103CC">
      <w:pPr>
        <w:pStyle w:val="ARlistparagraph"/>
      </w:pPr>
      <w:r w:rsidRPr="001814D2">
        <w:t xml:space="preserve">Margaret Preston: 9678 </w:t>
      </w:r>
    </w:p>
    <w:p w14:paraId="2B3256B1" w14:textId="77777777" w:rsidR="009103CC" w:rsidRPr="001814D2" w:rsidRDefault="009103CC" w:rsidP="009103CC">
      <w:pPr>
        <w:pStyle w:val="ARlistparagraph"/>
      </w:pPr>
      <w:r w:rsidRPr="001814D2">
        <w:t xml:space="preserve">Arthur Streeton: 9608 </w:t>
      </w:r>
    </w:p>
    <w:p w14:paraId="453490F4" w14:textId="77777777" w:rsidR="009103CC" w:rsidRPr="001814D2" w:rsidRDefault="009103CC" w:rsidP="009103CC">
      <w:pPr>
        <w:pStyle w:val="ARbody"/>
      </w:pPr>
      <w:r w:rsidRPr="001814D2">
        <w:t>Most viewed collection works (by pageviews)</w:t>
      </w:r>
    </w:p>
    <w:p w14:paraId="0CA9B384" w14:textId="77777777" w:rsidR="009103CC" w:rsidRPr="001814D2" w:rsidRDefault="009103CC" w:rsidP="009103CC">
      <w:pPr>
        <w:pStyle w:val="ARlistparagraph"/>
      </w:pPr>
      <w:r w:rsidRPr="001814D2">
        <w:t xml:space="preserve">Kalinga </w:t>
      </w:r>
      <w:r w:rsidRPr="001814D2">
        <w:rPr>
          <w:i/>
          <w:iCs/>
        </w:rPr>
        <w:t xml:space="preserve">Wrap-around skirt (kain) </w:t>
      </w:r>
      <w:r w:rsidRPr="001814D2">
        <w:t xml:space="preserve">mid 1900s: 18,795 </w:t>
      </w:r>
    </w:p>
    <w:p w14:paraId="65587E61" w14:textId="77777777" w:rsidR="009103CC" w:rsidRPr="001814D2" w:rsidRDefault="009103CC" w:rsidP="009103CC">
      <w:pPr>
        <w:pStyle w:val="ARlistparagraph"/>
      </w:pPr>
      <w:r w:rsidRPr="001814D2">
        <w:t xml:space="preserve">Ifugao </w:t>
      </w:r>
      <w:r w:rsidRPr="001814D2">
        <w:rPr>
          <w:i/>
          <w:iCs/>
        </w:rPr>
        <w:t>Standing rice deity (bulul)</w:t>
      </w:r>
      <w:r w:rsidRPr="001814D2">
        <w:t xml:space="preserve"> 1900s: 18,300 </w:t>
      </w:r>
    </w:p>
    <w:p w14:paraId="0EF54E9F" w14:textId="77777777" w:rsidR="009103CC" w:rsidRPr="001814D2" w:rsidRDefault="009103CC" w:rsidP="009103CC">
      <w:pPr>
        <w:pStyle w:val="ARlistparagraph"/>
      </w:pPr>
      <w:r w:rsidRPr="001814D2">
        <w:t xml:space="preserve">Brett Whiteley </w:t>
      </w:r>
      <w:r w:rsidRPr="001814D2">
        <w:rPr>
          <w:i/>
          <w:iCs/>
        </w:rPr>
        <w:t>Self portrait in the studio</w:t>
      </w:r>
      <w:r w:rsidRPr="001814D2">
        <w:t xml:space="preserve"> 1976: 9154 </w:t>
      </w:r>
    </w:p>
    <w:p w14:paraId="73D5D524" w14:textId="77777777" w:rsidR="009103CC" w:rsidRPr="001814D2" w:rsidRDefault="009103CC" w:rsidP="009103CC">
      <w:pPr>
        <w:pStyle w:val="ARlistparagraph"/>
      </w:pPr>
      <w:r w:rsidRPr="001814D2">
        <w:t xml:space="preserve">Honoré Daumier </w:t>
      </w:r>
      <w:r w:rsidRPr="001814D2">
        <w:rPr>
          <w:i/>
          <w:iCs/>
        </w:rPr>
        <w:t>Rue Transnonain, 15 April 1834</w:t>
      </w:r>
      <w:r w:rsidRPr="001814D2">
        <w:t xml:space="preserve"> 1834: 7926 </w:t>
      </w:r>
    </w:p>
    <w:p w14:paraId="6D5ECCCC" w14:textId="77777777" w:rsidR="009103CC" w:rsidRPr="001814D2" w:rsidRDefault="009103CC" w:rsidP="009103CC">
      <w:pPr>
        <w:pStyle w:val="ARlistparagraph"/>
      </w:pPr>
      <w:r w:rsidRPr="001814D2">
        <w:t xml:space="preserve">Ricky Swallow </w:t>
      </w:r>
      <w:r w:rsidRPr="001814D2">
        <w:rPr>
          <w:i/>
          <w:iCs/>
        </w:rPr>
        <w:t>Killing time</w:t>
      </w:r>
      <w:r w:rsidRPr="001814D2">
        <w:t xml:space="preserve"> 2003–04: 6516 </w:t>
      </w:r>
    </w:p>
    <w:p w14:paraId="68E39EB9" w14:textId="77777777" w:rsidR="009103CC" w:rsidRPr="001814D2" w:rsidRDefault="009103CC" w:rsidP="009103CC">
      <w:pPr>
        <w:pStyle w:val="ARbody"/>
      </w:pPr>
      <w:r w:rsidRPr="001814D2">
        <w:t>Device used to access website</w:t>
      </w:r>
    </w:p>
    <w:p w14:paraId="7F4D1FB5" w14:textId="77777777" w:rsidR="009103CC" w:rsidRPr="001814D2" w:rsidRDefault="009103CC" w:rsidP="009103CC">
      <w:pPr>
        <w:pStyle w:val="ARlistparagraph"/>
      </w:pPr>
      <w:r w:rsidRPr="001814D2">
        <w:t xml:space="preserve">Desktop: 51% </w:t>
      </w:r>
    </w:p>
    <w:p w14:paraId="4CC6504C" w14:textId="77777777" w:rsidR="009103CC" w:rsidRPr="001814D2" w:rsidRDefault="009103CC" w:rsidP="009103CC">
      <w:pPr>
        <w:pStyle w:val="ARlistparagraph"/>
      </w:pPr>
      <w:r w:rsidRPr="001814D2">
        <w:t>Mobile: 50% (smartphone 45%, tablet 5%)</w:t>
      </w:r>
    </w:p>
    <w:p w14:paraId="6F036306" w14:textId="77777777" w:rsidR="009103CC" w:rsidRPr="001814D2" w:rsidRDefault="009103CC" w:rsidP="009103CC">
      <w:pPr>
        <w:pStyle w:val="ARbody"/>
      </w:pPr>
      <w:r w:rsidRPr="001814D2">
        <w:rPr>
          <w:i/>
          <w:iCs/>
        </w:rPr>
        <w:t>Streeton</w:t>
      </w:r>
      <w:r w:rsidRPr="001814D2">
        <w:t xml:space="preserve"> exhibition</w:t>
      </w:r>
    </w:p>
    <w:p w14:paraId="6FFAE133" w14:textId="77777777" w:rsidR="009103CC" w:rsidRPr="001814D2" w:rsidRDefault="009103CC" w:rsidP="009103CC">
      <w:pPr>
        <w:pStyle w:val="ARlistparagraph"/>
      </w:pPr>
      <w:r w:rsidRPr="001814D2">
        <w:rPr>
          <w:i/>
          <w:iCs/>
        </w:rPr>
        <w:t>Streeton</w:t>
      </w:r>
      <w:r w:rsidRPr="001814D2">
        <w:t xml:space="preserve"> exhibition pages: 204,029 pageviews</w:t>
      </w:r>
    </w:p>
    <w:p w14:paraId="069E63D5" w14:textId="77777777" w:rsidR="009103CC" w:rsidRPr="001814D2" w:rsidRDefault="009103CC" w:rsidP="009103CC">
      <w:pPr>
        <w:pStyle w:val="ARlistparagraph"/>
      </w:pPr>
      <w:r w:rsidRPr="001814D2">
        <w:rPr>
          <w:i/>
          <w:iCs/>
        </w:rPr>
        <w:t>Streeton</w:t>
      </w:r>
      <w:r w:rsidRPr="001814D2">
        <w:t xml:space="preserve"> online resource: 16,151 pageviews </w:t>
      </w:r>
    </w:p>
    <w:p w14:paraId="05689110" w14:textId="77777777" w:rsidR="009103CC" w:rsidRPr="001814D2" w:rsidRDefault="009103CC" w:rsidP="009103CC">
      <w:pPr>
        <w:pStyle w:val="ARlistparagraph"/>
      </w:pPr>
      <w:r w:rsidRPr="001814D2">
        <w:rPr>
          <w:i/>
          <w:iCs/>
        </w:rPr>
        <w:t>Streeton</w:t>
      </w:r>
      <w:r w:rsidRPr="001814D2">
        <w:t xml:space="preserve"> virtual visit: 3890 visits </w:t>
      </w:r>
    </w:p>
    <w:p w14:paraId="1791CC83" w14:textId="77777777" w:rsidR="009103CC" w:rsidRPr="001814D2" w:rsidRDefault="009103CC" w:rsidP="009103CC">
      <w:pPr>
        <w:pStyle w:val="ARlistparagraph"/>
      </w:pPr>
      <w:r w:rsidRPr="001814D2">
        <w:rPr>
          <w:i/>
          <w:iCs/>
        </w:rPr>
        <w:t>Streeton</w:t>
      </w:r>
      <w:r w:rsidRPr="001814D2">
        <w:t xml:space="preserve"> audio tour: accessed 36,794 times by 31,488 unique visitors during exhibition period </w:t>
      </w:r>
    </w:p>
    <w:p w14:paraId="4F5F6BD2" w14:textId="77777777" w:rsidR="009103CC" w:rsidRPr="001814D2" w:rsidRDefault="009103CC" w:rsidP="009103CC">
      <w:pPr>
        <w:pStyle w:val="ARheading4"/>
      </w:pPr>
      <w:r w:rsidRPr="001814D2">
        <w:t>The National: New Australian Art website</w:t>
      </w:r>
    </w:p>
    <w:p w14:paraId="1AB833E7" w14:textId="77777777" w:rsidR="009103CC" w:rsidRPr="001814D2" w:rsidRDefault="009103CC" w:rsidP="009103CC">
      <w:pPr>
        <w:pStyle w:val="ARlistparagraph"/>
      </w:pPr>
      <w:r w:rsidRPr="001814D2">
        <w:t>51,349 pageviews</w:t>
      </w:r>
    </w:p>
    <w:p w14:paraId="27ABEBE0" w14:textId="77777777" w:rsidR="009103CC" w:rsidRPr="001814D2" w:rsidRDefault="009103CC" w:rsidP="009103CC">
      <w:pPr>
        <w:pStyle w:val="Tabletext"/>
      </w:pPr>
    </w:p>
    <w:p w14:paraId="0984CABE" w14:textId="77777777" w:rsidR="009103CC" w:rsidRPr="001814D2" w:rsidRDefault="009103CC" w:rsidP="009103CC">
      <w:pPr>
        <w:pStyle w:val="ARheading4"/>
      </w:pPr>
      <w:r w:rsidRPr="001814D2">
        <w:lastRenderedPageBreak/>
        <w:t xml:space="preserve">YouTube </w:t>
      </w:r>
    </w:p>
    <w:p w14:paraId="466290BF" w14:textId="77777777" w:rsidR="009103CC" w:rsidRPr="001814D2" w:rsidRDefault="009103CC" w:rsidP="009103CC">
      <w:pPr>
        <w:pStyle w:val="ARlistparagraph"/>
      </w:pPr>
      <w:r w:rsidRPr="001814D2">
        <w:t xml:space="preserve">Subscribers: 13,923 (+20%) </w:t>
      </w:r>
    </w:p>
    <w:p w14:paraId="4E57D24B" w14:textId="77777777" w:rsidR="009103CC" w:rsidRPr="001814D2" w:rsidRDefault="009103CC" w:rsidP="009103CC">
      <w:pPr>
        <w:pStyle w:val="ARlistparagraph"/>
      </w:pPr>
      <w:r w:rsidRPr="001814D2">
        <w:t xml:space="preserve">Total watch time: 1,707,204 minutes (+3%) </w:t>
      </w:r>
    </w:p>
    <w:p w14:paraId="1A2B5819" w14:textId="77777777" w:rsidR="009103CC" w:rsidRPr="001814D2" w:rsidRDefault="009103CC" w:rsidP="009103CC">
      <w:pPr>
        <w:pStyle w:val="ARlistparagraph"/>
      </w:pPr>
      <w:r w:rsidRPr="001814D2">
        <w:t xml:space="preserve">Total plays: 1,092,658 (-6%) </w:t>
      </w:r>
    </w:p>
    <w:p w14:paraId="0BDF6A30" w14:textId="77777777" w:rsidR="009103CC" w:rsidRPr="001814D2" w:rsidRDefault="009103CC" w:rsidP="009103CC">
      <w:pPr>
        <w:pStyle w:val="ARheading4"/>
      </w:pPr>
      <w:r w:rsidRPr="001814D2">
        <w:t xml:space="preserve">SoundCloud </w:t>
      </w:r>
    </w:p>
    <w:p w14:paraId="14F96245" w14:textId="77777777" w:rsidR="009103CC" w:rsidRPr="001814D2" w:rsidRDefault="009103CC" w:rsidP="009103CC">
      <w:pPr>
        <w:pStyle w:val="ARlistparagraph"/>
      </w:pPr>
      <w:r w:rsidRPr="001814D2">
        <w:t xml:space="preserve">Total plays: 25,111 (-31%) </w:t>
      </w:r>
    </w:p>
    <w:p w14:paraId="3E3BB8B3" w14:textId="77777777" w:rsidR="009103CC" w:rsidRPr="001814D2" w:rsidRDefault="009103CC" w:rsidP="009103CC">
      <w:pPr>
        <w:pStyle w:val="ARheading4"/>
      </w:pPr>
      <w:r w:rsidRPr="001814D2">
        <w:t xml:space="preserve">Google Arts &amp; Culture </w:t>
      </w:r>
    </w:p>
    <w:p w14:paraId="14297762" w14:textId="77777777" w:rsidR="009103CC" w:rsidRPr="001814D2" w:rsidRDefault="009103CC" w:rsidP="009103CC">
      <w:pPr>
        <w:pStyle w:val="ARlistparagraph"/>
      </w:pPr>
      <w:r w:rsidRPr="001814D2">
        <w:t xml:space="preserve">Pageviews: 817,600 (-17%) </w:t>
      </w:r>
    </w:p>
    <w:p w14:paraId="15D5A19A" w14:textId="77777777" w:rsidR="009103CC" w:rsidRPr="001814D2" w:rsidRDefault="009103CC" w:rsidP="009103CC">
      <w:pPr>
        <w:pStyle w:val="ARlistparagraph"/>
      </w:pPr>
      <w:r w:rsidRPr="001814D2">
        <w:t xml:space="preserve">Users: 460,509 (-20%), of which 29,891 (6.5%) in Australia and 430,618 international (93.5%) </w:t>
      </w:r>
    </w:p>
    <w:p w14:paraId="3FA550DC" w14:textId="77777777" w:rsidR="009103CC" w:rsidRPr="001814D2" w:rsidRDefault="009103CC" w:rsidP="009103CC">
      <w:pPr>
        <w:pStyle w:val="ARheading4"/>
      </w:pPr>
      <w:r w:rsidRPr="001814D2">
        <w:t xml:space="preserve">Social media </w:t>
      </w:r>
    </w:p>
    <w:p w14:paraId="441BDF70" w14:textId="77777777" w:rsidR="009103CC" w:rsidRPr="001814D2" w:rsidRDefault="009103CC" w:rsidP="009103CC">
      <w:pPr>
        <w:pStyle w:val="ARlistparagraph"/>
      </w:pPr>
      <w:r w:rsidRPr="001814D2">
        <w:t xml:space="preserve">Instagram: 231,641 followers (+18%) </w:t>
      </w:r>
    </w:p>
    <w:p w14:paraId="7C57AB84" w14:textId="77777777" w:rsidR="009103CC" w:rsidRPr="001814D2" w:rsidRDefault="009103CC" w:rsidP="009103CC">
      <w:pPr>
        <w:pStyle w:val="ARlistparagraph"/>
      </w:pPr>
      <w:r w:rsidRPr="001814D2">
        <w:t xml:space="preserve">Facebook: 162,524 followers (+3%) </w:t>
      </w:r>
    </w:p>
    <w:p w14:paraId="4A5BF35E" w14:textId="77777777" w:rsidR="009103CC" w:rsidRPr="001814D2" w:rsidRDefault="009103CC" w:rsidP="009103CC">
      <w:pPr>
        <w:pStyle w:val="ARlistparagraph"/>
      </w:pPr>
      <w:r w:rsidRPr="001814D2">
        <w:t xml:space="preserve">Twitter: 59,584 followers (+1%) </w:t>
      </w:r>
    </w:p>
    <w:p w14:paraId="44944646" w14:textId="77777777" w:rsidR="009103CC" w:rsidRPr="001814D2" w:rsidRDefault="009103CC" w:rsidP="009103CC">
      <w:pPr>
        <w:pStyle w:val="ARlistparagraph"/>
      </w:pPr>
      <w:r w:rsidRPr="001814D2">
        <w:t xml:space="preserve">LinkedIn: 24,291 followers (+34%) </w:t>
      </w:r>
    </w:p>
    <w:p w14:paraId="0758BF34" w14:textId="77777777" w:rsidR="009103CC" w:rsidRPr="001814D2" w:rsidRDefault="009103CC" w:rsidP="009103CC">
      <w:pPr>
        <w:pStyle w:val="ARheading4"/>
      </w:pPr>
      <w:r w:rsidRPr="001814D2">
        <w:t>Email newsletters</w:t>
      </w:r>
    </w:p>
    <w:p w14:paraId="72ABE436" w14:textId="77777777" w:rsidR="009103CC" w:rsidRPr="001814D2" w:rsidRDefault="009103CC" w:rsidP="009103CC">
      <w:pPr>
        <w:pStyle w:val="ARbody"/>
      </w:pPr>
      <w:r w:rsidRPr="001814D2">
        <w:t>Title and total subscribers to date</w:t>
      </w:r>
    </w:p>
    <w:p w14:paraId="475EDFE8" w14:textId="77777777" w:rsidR="009103CC" w:rsidRPr="001814D2" w:rsidRDefault="009103CC" w:rsidP="009103CC">
      <w:pPr>
        <w:pStyle w:val="ARlistparagraph"/>
      </w:pPr>
      <w:r w:rsidRPr="001814D2">
        <w:t>Artmail, 170,259</w:t>
      </w:r>
    </w:p>
    <w:p w14:paraId="1DC09D87" w14:textId="77777777" w:rsidR="009103CC" w:rsidRPr="001814D2" w:rsidRDefault="009103CC" w:rsidP="009103CC">
      <w:pPr>
        <w:pStyle w:val="ARlistparagraph"/>
      </w:pPr>
      <w:r w:rsidRPr="001814D2">
        <w:t>Art After Hours, 8330</w:t>
      </w:r>
    </w:p>
    <w:p w14:paraId="0167FA25" w14:textId="77777777" w:rsidR="009103CC" w:rsidRPr="001814D2" w:rsidRDefault="009103CC" w:rsidP="009103CC">
      <w:pPr>
        <w:pStyle w:val="ARlistparagraph"/>
      </w:pPr>
      <w:r w:rsidRPr="001814D2">
        <w:t>Education, 3236</w:t>
      </w:r>
    </w:p>
    <w:p w14:paraId="0CF41677" w14:textId="77777777" w:rsidR="009103CC" w:rsidRPr="001814D2" w:rsidRDefault="009103CC" w:rsidP="009103CC">
      <w:pPr>
        <w:pStyle w:val="ARlistparagraph"/>
      </w:pPr>
      <w:r w:rsidRPr="001814D2">
        <w:t>Tertiary, 2663</w:t>
      </w:r>
    </w:p>
    <w:p w14:paraId="0B0E8F7A" w14:textId="77777777" w:rsidR="009103CC" w:rsidRPr="001814D2" w:rsidRDefault="009103CC" w:rsidP="009103CC">
      <w:pPr>
        <w:pStyle w:val="ARlistparagraph"/>
      </w:pPr>
      <w:r w:rsidRPr="001814D2">
        <w:t>Gallery Shop, 2600</w:t>
      </w:r>
    </w:p>
    <w:p w14:paraId="48A2FBCC" w14:textId="77777777" w:rsidR="009103CC" w:rsidRPr="001814D2" w:rsidRDefault="009103CC" w:rsidP="009103CC">
      <w:pPr>
        <w:pStyle w:val="ARlistparagraph"/>
      </w:pPr>
      <w:r w:rsidRPr="001814D2">
        <w:t>Access programs, 1411</w:t>
      </w:r>
    </w:p>
    <w:p w14:paraId="2FA29358" w14:textId="77777777" w:rsidR="009103CC" w:rsidRPr="001814D2" w:rsidRDefault="009103CC" w:rsidP="009103CC">
      <w:pPr>
        <w:pStyle w:val="ARlistparagraph"/>
      </w:pPr>
      <w:r w:rsidRPr="001814D2">
        <w:t>Auslan, 562</w:t>
      </w:r>
    </w:p>
    <w:p w14:paraId="0AFB6B0B" w14:textId="77777777" w:rsidR="009103CC" w:rsidRPr="001814D2" w:rsidRDefault="009103CC" w:rsidP="009103CC">
      <w:pPr>
        <w:pStyle w:val="ARlistparagraph"/>
      </w:pPr>
      <w:r w:rsidRPr="001814D2">
        <w:t>Foundation, 1200</w:t>
      </w:r>
    </w:p>
    <w:p w14:paraId="6A4630D4" w14:textId="77777777" w:rsidR="009103CC" w:rsidRPr="001814D2" w:rsidRDefault="009103CC" w:rsidP="009103CC">
      <w:pPr>
        <w:pStyle w:val="ARlistparagraph"/>
      </w:pPr>
      <w:r w:rsidRPr="001814D2">
        <w:lastRenderedPageBreak/>
        <w:t>Brett Whiteley Studio, 4612</w:t>
      </w:r>
    </w:p>
    <w:p w14:paraId="21CC18D3" w14:textId="77777777" w:rsidR="009103CC" w:rsidRPr="001814D2" w:rsidRDefault="009103CC" w:rsidP="009103CC">
      <w:pPr>
        <w:pStyle w:val="ARlistparagraph"/>
      </w:pPr>
      <w:r w:rsidRPr="001814D2">
        <w:t>Asian Art, 3181</w:t>
      </w:r>
    </w:p>
    <w:p w14:paraId="2DE10808" w14:textId="77777777" w:rsidR="009103CC" w:rsidRPr="001814D2" w:rsidRDefault="009103CC" w:rsidP="009103CC">
      <w:pPr>
        <w:pStyle w:val="ARlistparagraph"/>
      </w:pPr>
      <w:r w:rsidRPr="001814D2">
        <w:t>Access, 467</w:t>
      </w:r>
    </w:p>
    <w:p w14:paraId="2CFDE948" w14:textId="77777777" w:rsidR="009103CC" w:rsidRPr="001814D2" w:rsidRDefault="009103CC" w:rsidP="009103CC">
      <w:pPr>
        <w:pStyle w:val="ARlistparagraph"/>
      </w:pPr>
      <w:r w:rsidRPr="001814D2">
        <w:t>Image sales, 27</w:t>
      </w:r>
    </w:p>
    <w:p w14:paraId="23EB48D9" w14:textId="77777777" w:rsidR="009103CC" w:rsidRPr="001814D2" w:rsidRDefault="009103CC" w:rsidP="009103CC">
      <w:pPr>
        <w:pStyle w:val="ARlistparagraph"/>
      </w:pPr>
      <w:r w:rsidRPr="001814D2">
        <w:t>Members EDM (includes current members and non-members), 35,811</w:t>
      </w:r>
    </w:p>
    <w:p w14:paraId="14567092" w14:textId="77777777" w:rsidR="009103CC" w:rsidRPr="001814D2" w:rsidRDefault="009103CC" w:rsidP="009103CC">
      <w:pPr>
        <w:pStyle w:val="ARlistparagraph"/>
      </w:pPr>
      <w:r w:rsidRPr="001814D2">
        <w:t>Current members EDM, 20,270</w:t>
      </w:r>
    </w:p>
    <w:p w14:paraId="53294C4E" w14:textId="77777777" w:rsidR="009103CC" w:rsidRPr="001814D2" w:rsidRDefault="009103CC" w:rsidP="009103CC">
      <w:pPr>
        <w:pStyle w:val="ARlistparagraph"/>
      </w:pPr>
      <w:r w:rsidRPr="001814D2">
        <w:t>Non-members EDM, 15,844</w:t>
      </w:r>
    </w:p>
    <w:p w14:paraId="7261402C" w14:textId="77777777" w:rsidR="009103CC" w:rsidRPr="001814D2" w:rsidRDefault="009103CC" w:rsidP="009103CC">
      <w:pPr>
        <w:pStyle w:val="ARlistparagraph"/>
      </w:pPr>
      <w:r w:rsidRPr="001814D2">
        <w:t>Young members EDM, 8900</w:t>
      </w:r>
    </w:p>
    <w:p w14:paraId="17E7D125" w14:textId="77777777" w:rsidR="009103CC" w:rsidRPr="001814D2" w:rsidRDefault="009103CC" w:rsidP="009103CC">
      <w:pPr>
        <w:pStyle w:val="ARlistparagraph"/>
      </w:pPr>
      <w:r w:rsidRPr="001814D2">
        <w:t>Sydney Modern Project, 565</w:t>
      </w:r>
    </w:p>
    <w:p w14:paraId="334F4758" w14:textId="77777777" w:rsidR="009103CC" w:rsidRPr="001814D2" w:rsidRDefault="009103CC" w:rsidP="009103CC">
      <w:pPr>
        <w:pStyle w:val="ARheading3"/>
      </w:pPr>
      <w:r w:rsidRPr="001814D2">
        <w:t>Publishing</w:t>
      </w:r>
    </w:p>
    <w:p w14:paraId="0370B8B7" w14:textId="77777777" w:rsidR="009103CC" w:rsidRPr="001814D2" w:rsidRDefault="009103CC" w:rsidP="009103CC">
      <w:pPr>
        <w:pStyle w:val="ARheading4"/>
      </w:pPr>
      <w:r w:rsidRPr="001814D2">
        <w:t>Published titles</w:t>
      </w:r>
    </w:p>
    <w:p w14:paraId="166AEB5F" w14:textId="77777777" w:rsidR="009103CC" w:rsidRPr="001814D2" w:rsidRDefault="009103CC" w:rsidP="009103CC">
      <w:pPr>
        <w:pStyle w:val="Listitemasbody"/>
      </w:pPr>
      <w:r w:rsidRPr="001814D2">
        <w:rPr>
          <w:b/>
          <w:bCs/>
        </w:rPr>
        <w:t>Archibald Prize 2020</w:t>
      </w:r>
      <w:r>
        <w:rPr>
          <w:b/>
          <w:bCs/>
        </w:rPr>
        <w:t xml:space="preserve">, </w:t>
      </w:r>
      <w:r w:rsidRPr="001814D2">
        <w:t>Jane Albert, September 2020</w:t>
      </w:r>
      <w:r>
        <w:t xml:space="preserve">, </w:t>
      </w:r>
      <w:r w:rsidRPr="001814D2">
        <w:t>80 pages, paperback, RRP $16.00</w:t>
      </w:r>
      <w:r>
        <w:t xml:space="preserve">. </w:t>
      </w:r>
      <w:r w:rsidRPr="001814D2">
        <w:t>The annual, ever-popular publication for the Archibald Prize features the winner and each of the finalists with a text on each artist and their artwork. This was postponed from May 2020 due to COVID-19.</w:t>
      </w:r>
    </w:p>
    <w:p w14:paraId="1ED45968" w14:textId="77777777" w:rsidR="009103CC" w:rsidRPr="001814D2" w:rsidRDefault="009103CC" w:rsidP="009103CC">
      <w:pPr>
        <w:pStyle w:val="Listitemasbody"/>
      </w:pPr>
      <w:r w:rsidRPr="001814D2">
        <w:rPr>
          <w:b/>
          <w:bCs/>
        </w:rPr>
        <w:t>Recent past: writing Australian art</w:t>
      </w:r>
      <w:r>
        <w:rPr>
          <w:b/>
          <w:bCs/>
        </w:rPr>
        <w:t xml:space="preserve">, </w:t>
      </w:r>
      <w:r w:rsidRPr="001814D2">
        <w:t>Hannah Fink and Steven Miller (editors), November 2020</w:t>
      </w:r>
      <w:r>
        <w:t xml:space="preserve">, </w:t>
      </w:r>
      <w:r w:rsidRPr="001814D2">
        <w:t>352 pages, hard cover, RRP $65.00</w:t>
      </w:r>
      <w:r>
        <w:t xml:space="preserve">. </w:t>
      </w:r>
      <w:r w:rsidRPr="001814D2">
        <w:t>Curator, critic and writer Daniel Thomas has shaped Australian art history. Covering the period from 1958 to 2020 and richly illustrated, this is the first anthology of Thomas’ writings and presents an overview of Australian art, at once authoritative and idiosyncratic, bringing alive both old and new art.</w:t>
      </w:r>
    </w:p>
    <w:p w14:paraId="53769F9B" w14:textId="77777777" w:rsidR="009103CC" w:rsidRPr="001814D2" w:rsidRDefault="009103CC" w:rsidP="009103CC">
      <w:pPr>
        <w:pStyle w:val="Listitemasbody"/>
      </w:pPr>
      <w:r w:rsidRPr="001814D2">
        <w:rPr>
          <w:b/>
          <w:bCs/>
        </w:rPr>
        <w:t>Streeton</w:t>
      </w:r>
      <w:r>
        <w:rPr>
          <w:b/>
          <w:bCs/>
        </w:rPr>
        <w:t xml:space="preserve">, </w:t>
      </w:r>
      <w:r w:rsidRPr="001814D2">
        <w:t>Wayne Tunnicliffe (author and editor) with essays by Roger Benjamin, Tim Bonyhady, Jane Clark, Paula Dredge, Allison Goudie, Anne Gray, Hannah Hutchison, Simon Ives, Emma Kindred and Denise Mimmocchi, November 2020</w:t>
      </w:r>
      <w:r>
        <w:t xml:space="preserve">, </w:t>
      </w:r>
      <w:r w:rsidRPr="001814D2">
        <w:t>384 pages, hard cover, RRP $70.00 (Art Gallery price $59.95)</w:t>
      </w:r>
      <w:r>
        <w:t xml:space="preserve">. </w:t>
      </w:r>
      <w:r w:rsidRPr="001814D2">
        <w:t>This major book offers new research and insightful essays on the well-loved Australian artist Arthur Streeton whose paintings have defined an image of Australia’s unique environment. Covering the full period of his practice from 1885 to 1940 in Australia and internationally, this beautifully illustrated book proved very popular, selling out its Art Gallery print run of approximately 5000 copies during the exhibition. Co-published with Thames &amp; Hudson Australia, distributed nationally and internationally.</w:t>
      </w:r>
    </w:p>
    <w:p w14:paraId="08D5D953" w14:textId="77777777" w:rsidR="009103CC" w:rsidRPr="001814D2" w:rsidRDefault="009103CC" w:rsidP="009103CC">
      <w:pPr>
        <w:pStyle w:val="Listitemasbody"/>
      </w:pPr>
      <w:r w:rsidRPr="001814D2">
        <w:rPr>
          <w:b/>
          <w:bCs/>
        </w:rPr>
        <w:t>Archibald Prize 2021</w:t>
      </w:r>
      <w:r>
        <w:rPr>
          <w:b/>
          <w:bCs/>
        </w:rPr>
        <w:t xml:space="preserve">, </w:t>
      </w:r>
      <w:r w:rsidRPr="001814D2">
        <w:t>Jo Litson, June 2020</w:t>
      </w:r>
      <w:r>
        <w:t xml:space="preserve">, </w:t>
      </w:r>
      <w:r w:rsidRPr="001814D2">
        <w:t>80 pages, paperback, RRP $16.00</w:t>
      </w:r>
      <w:r>
        <w:t xml:space="preserve">. </w:t>
      </w:r>
      <w:r w:rsidRPr="001814D2">
        <w:t xml:space="preserve">Published </w:t>
      </w:r>
      <w:r w:rsidRPr="001814D2">
        <w:lastRenderedPageBreak/>
        <w:t xml:space="preserve">to coincide with the 2021 Archibald Prize, this annual ever-popular publication features the winner and each of the finalists with a text on each artist and their artwork. </w:t>
      </w:r>
    </w:p>
    <w:p w14:paraId="0EFEFABB" w14:textId="77777777" w:rsidR="009103CC" w:rsidRPr="001814D2" w:rsidRDefault="009103CC" w:rsidP="009103CC">
      <w:pPr>
        <w:pStyle w:val="Listitemasbody"/>
      </w:pPr>
      <w:r w:rsidRPr="001814D2">
        <w:rPr>
          <w:b/>
          <w:bCs/>
        </w:rPr>
        <w:t>Hilma af Klint: the secret paintings</w:t>
      </w:r>
      <w:r>
        <w:rPr>
          <w:b/>
          <w:bCs/>
        </w:rPr>
        <w:t xml:space="preserve">, </w:t>
      </w:r>
      <w:r w:rsidRPr="008C24B6">
        <w:t>e</w:t>
      </w:r>
      <w:r w:rsidRPr="001814D2">
        <w:t>dited by Sue Cramer with Nicholas Chambers, with essays by Sue Cramer, Nicholas Chambers, Jennifer Higgie, Aaron Lister and Julia Voss, June 2021</w:t>
      </w:r>
      <w:r>
        <w:t xml:space="preserve">, </w:t>
      </w:r>
      <w:r w:rsidRPr="001814D2">
        <w:t>256 pages, hard cover, RRP $50.00 (Art Gallery price $45.00)</w:t>
      </w:r>
      <w:r>
        <w:t xml:space="preserve">. </w:t>
      </w:r>
      <w:r w:rsidRPr="001814D2">
        <w:t>Published in association with a major survey of the remarkable work of this visionary Swedish-born artist (1862–1944), it includes new research and over 125 artworks from Hilma af Klint’s monumental canvasses to small watercolours (many not previously published), pages from her beautifully detailed notebooks and historical photographs.</w:t>
      </w:r>
    </w:p>
    <w:p w14:paraId="66E58689" w14:textId="77777777" w:rsidR="009103CC" w:rsidRPr="001814D2" w:rsidRDefault="009103CC" w:rsidP="009103CC">
      <w:pPr>
        <w:pStyle w:val="ARheading4"/>
      </w:pPr>
      <w:r w:rsidRPr="001814D2">
        <w:t>In production</w:t>
      </w:r>
    </w:p>
    <w:p w14:paraId="0E67353A" w14:textId="77777777" w:rsidR="009103CC" w:rsidRPr="001814D2" w:rsidRDefault="009103CC" w:rsidP="009103CC">
      <w:pPr>
        <w:pStyle w:val="Listitemasbody"/>
      </w:pPr>
      <w:r w:rsidRPr="001814D2">
        <w:rPr>
          <w:b/>
          <w:bCs/>
        </w:rPr>
        <w:t>Archie 100: a century of the Archibald Prize</w:t>
      </w:r>
      <w:r>
        <w:rPr>
          <w:b/>
          <w:bCs/>
        </w:rPr>
        <w:t xml:space="preserve">, </w:t>
      </w:r>
      <w:r w:rsidRPr="001814D2">
        <w:t>Natalie Wilson, September 2021</w:t>
      </w:r>
      <w:r>
        <w:t xml:space="preserve">. </w:t>
      </w:r>
      <w:r w:rsidRPr="001814D2">
        <w:t>Marking a hundred years of Australia’s oldest and most-loved portraiture award, this publication unearths fascinating stories behind 100-plus artworks carefully selected across every decade since the 1920s. Arranged thematically, these works reflect not just how artistic styles and approaches to portraiture have changed over time but, importantly, how the Archibald Prize reflects our society.</w:t>
      </w:r>
    </w:p>
    <w:p w14:paraId="2871A46D" w14:textId="77777777" w:rsidR="009103CC" w:rsidRPr="001814D2" w:rsidRDefault="009103CC" w:rsidP="009103CC">
      <w:pPr>
        <w:pStyle w:val="Listitemasbody"/>
      </w:pPr>
      <w:r w:rsidRPr="008C24B6">
        <w:rPr>
          <w:b/>
          <w:bCs/>
        </w:rPr>
        <w:t>The exhibitionists: a history of Sydney’s Art Gallery of New South Wales</w:t>
      </w:r>
      <w:r>
        <w:t xml:space="preserve">, </w:t>
      </w:r>
      <w:r w:rsidRPr="008C24B6">
        <w:t>Steven Miller, October 2021.</w:t>
      </w:r>
      <w:r>
        <w:rPr>
          <w:b/>
          <w:bCs/>
        </w:rPr>
        <w:t xml:space="preserve"> </w:t>
      </w:r>
      <w:r w:rsidRPr="001814D2">
        <w:rPr>
          <w:i/>
          <w:iCs/>
        </w:rPr>
        <w:t>The exhibitionists</w:t>
      </w:r>
      <w:r w:rsidRPr="001814D2">
        <w:t xml:space="preserve"> is the first comprehensive history ever published of the Art Gallery of New South Wales. It tells the story of the people who have made, and are making, the Art Gallery what it is today – from the artists whose works have drawn in the people of Sydney and beyond, to its staff, trustees, benefactors and advocates.</w:t>
      </w:r>
    </w:p>
    <w:p w14:paraId="2ABD9F79" w14:textId="77777777" w:rsidR="009103CC" w:rsidRPr="001814D2" w:rsidRDefault="009103CC" w:rsidP="009103CC">
      <w:pPr>
        <w:pStyle w:val="Listitemasbody"/>
      </w:pPr>
      <w:r w:rsidRPr="008C24B6">
        <w:rPr>
          <w:b/>
          <w:bCs/>
        </w:rPr>
        <w:t>Matisse: life &amp; spirit, masterpieces from the Centre Pompidou, Paris</w:t>
      </w:r>
      <w:r>
        <w:t>, e</w:t>
      </w:r>
      <w:r w:rsidRPr="001814D2">
        <w:t>dited by Aurélie Verdier with Justin Paton and Jackie Dunn, with essays by Roger Benjamin, Patrice Deparpe, Justin Paton, Alastair Wright and Aurélie Verdier; entries by Marjolaine Beuzard and Anne Théry; chronology by Marjolaine Beuzard, November 2021</w:t>
      </w:r>
      <w:r>
        <w:t xml:space="preserve">. </w:t>
      </w:r>
      <w:r w:rsidRPr="001814D2">
        <w:t>Spanning six decades of the artist’s work, this richly illustrated book presents an extraordinary immersion in the range and depth of the art of Henri Matisse, one of the world’s most beloved, innovative and influential artists.</w:t>
      </w:r>
    </w:p>
    <w:p w14:paraId="479BAF70" w14:textId="77777777" w:rsidR="009103CC" w:rsidRPr="001814D2" w:rsidRDefault="009103CC" w:rsidP="009103CC">
      <w:pPr>
        <w:pStyle w:val="ARheading3"/>
      </w:pPr>
      <w:r w:rsidRPr="001814D2">
        <w:t>Creative Studio</w:t>
      </w:r>
    </w:p>
    <w:p w14:paraId="3AA6244B" w14:textId="77777777" w:rsidR="009103CC" w:rsidRPr="001814D2" w:rsidRDefault="009103CC" w:rsidP="009103CC">
      <w:pPr>
        <w:pStyle w:val="ARheading4"/>
      </w:pPr>
      <w:r w:rsidRPr="001814D2">
        <w:t>Visual identity project</w:t>
      </w:r>
    </w:p>
    <w:p w14:paraId="12CB2B76" w14:textId="77777777" w:rsidR="009103CC" w:rsidRPr="001814D2" w:rsidRDefault="009103CC" w:rsidP="009103CC">
      <w:pPr>
        <w:pStyle w:val="ARbody"/>
      </w:pPr>
      <w:r w:rsidRPr="001814D2">
        <w:t xml:space="preserve">A new visual identity for the Art Gallery of New South Wales was created in close collaboration with the Australian office of international design studio Mucho and the internal Creative Studio team, drawing inspiration from the Art Gallery’s history, and the future ambitions of the Sydney Modern Project. </w:t>
      </w:r>
    </w:p>
    <w:p w14:paraId="174F1C05" w14:textId="77777777" w:rsidR="009103CC" w:rsidRPr="001814D2" w:rsidRDefault="009103CC" w:rsidP="009103CC">
      <w:pPr>
        <w:pStyle w:val="ARbody"/>
      </w:pPr>
      <w:r w:rsidRPr="001814D2">
        <w:lastRenderedPageBreak/>
        <w:t xml:space="preserve">With references to the Art Gallery’s collection and architecture, the visual identity includes a newly designed logo for the first time in twenty-three years, as well as the creation of a custom typeface. The logo is central to a flexible and accessible identity system that reflects this dynamic institution and our increasingly broad audiences. Composed of three open-framed squares, the symbol references the past, present and future. </w:t>
      </w:r>
    </w:p>
    <w:p w14:paraId="50F2B09A" w14:textId="77777777" w:rsidR="009103CC" w:rsidRPr="001814D2" w:rsidRDefault="009103CC" w:rsidP="009103CC">
      <w:pPr>
        <w:pStyle w:val="ARbody"/>
      </w:pPr>
      <w:r w:rsidRPr="001814D2">
        <w:t xml:space="preserve">The Art Gallery’s position on Gadigal Country overlooking one of the world’s most beautiful harbours has inspired the new signature ultramarine blue, named for the artist Brett Whiteley, whose celebrated paintings of Sydney Harbour are much loved by visitors. Describing this electric blue in 1987, Whiteley said, ‘Ultramarine blue hits my nervous system in such an exciting way – there’s no other colour ...’ </w:t>
      </w:r>
    </w:p>
    <w:p w14:paraId="096DD40C" w14:textId="77777777" w:rsidR="009103CC" w:rsidRPr="001814D2" w:rsidRDefault="009103CC" w:rsidP="009103CC">
      <w:pPr>
        <w:pStyle w:val="ARbody"/>
      </w:pPr>
      <w:r w:rsidRPr="001814D2">
        <w:t>Our new typeface, Preston, has been designed specifically for the Art Gallery by Vincent Chan from Matter of Sorts to create distinction and consistency across the new visual identity. Preston has been designed with an extended character set including support for all Aboriginal and Torres Strait Islander languages. The typeface is named in honour of Sydney modernist, artist and designer Margaret Preston for her significant contribution to Australian art and art history, and for her special significance to the Art Gallery.</w:t>
      </w:r>
    </w:p>
    <w:p w14:paraId="556C8A81" w14:textId="77777777" w:rsidR="009103CC" w:rsidRPr="001814D2" w:rsidRDefault="009103CC" w:rsidP="009103CC">
      <w:pPr>
        <w:pStyle w:val="ARbody"/>
      </w:pPr>
      <w:r w:rsidRPr="001814D2">
        <w:t>Responses to the new visual identity have been remarkably positive, summed up by American graphic designer Armin Vit from design blog Brand New: ‘Overall, this is a great system that balances the legacy and classicism of the old building and the potential and modernity of the new building to build a new identity that honours the first 150 years and prepares it for the next 150 years with a system that has a strong foundation in its gridded approach yet also has a lightness and contemporary bent to it that feels accessible and refreshing.’</w:t>
      </w:r>
    </w:p>
    <w:p w14:paraId="400A4EE8" w14:textId="77777777" w:rsidR="009103CC" w:rsidRPr="001814D2" w:rsidRDefault="009103CC" w:rsidP="009103CC">
      <w:pPr>
        <w:pStyle w:val="ARheading4"/>
      </w:pPr>
      <w:r w:rsidRPr="001814D2">
        <w:t>Publication design</w:t>
      </w:r>
    </w:p>
    <w:p w14:paraId="6681DE2A" w14:textId="77777777" w:rsidR="009103CC" w:rsidRPr="001814D2" w:rsidRDefault="009103CC" w:rsidP="009103CC">
      <w:pPr>
        <w:pStyle w:val="ARbody"/>
      </w:pPr>
      <w:r w:rsidRPr="001814D2">
        <w:t>Working with the Publications team, the Creative Studio has designed and managed productions for the</w:t>
      </w:r>
      <w:r w:rsidRPr="001814D2">
        <w:rPr>
          <w:i/>
          <w:iCs/>
        </w:rPr>
        <w:t>, Recent past: writing Australian art</w:t>
      </w:r>
      <w:r w:rsidRPr="001814D2">
        <w:t xml:space="preserve">, </w:t>
      </w:r>
      <w:r w:rsidRPr="001814D2">
        <w:rPr>
          <w:i/>
          <w:iCs/>
        </w:rPr>
        <w:t>Streeton</w:t>
      </w:r>
      <w:r w:rsidRPr="001814D2">
        <w:t xml:space="preserve">, </w:t>
      </w:r>
      <w:r w:rsidRPr="001814D2">
        <w:rPr>
          <w:i/>
          <w:iCs/>
        </w:rPr>
        <w:t>Archibald Prize 2020</w:t>
      </w:r>
      <w:r w:rsidRPr="001814D2">
        <w:t xml:space="preserve"> and </w:t>
      </w:r>
      <w:r w:rsidRPr="001814D2">
        <w:rPr>
          <w:i/>
          <w:iCs/>
        </w:rPr>
        <w:t>Archibald Prize 2021</w:t>
      </w:r>
      <w:r w:rsidRPr="001814D2">
        <w:t xml:space="preserve"> publications.</w:t>
      </w:r>
    </w:p>
    <w:p w14:paraId="1F34E0D4" w14:textId="77777777" w:rsidR="009103CC" w:rsidRPr="001814D2" w:rsidRDefault="009103CC" w:rsidP="009103CC">
      <w:pPr>
        <w:pStyle w:val="ARheading4"/>
      </w:pPr>
      <w:r w:rsidRPr="001814D2">
        <w:t>Exhibition program</w:t>
      </w:r>
    </w:p>
    <w:p w14:paraId="4AA1EA40" w14:textId="77777777" w:rsidR="009103CC" w:rsidRPr="001814D2" w:rsidRDefault="009103CC" w:rsidP="009103CC">
      <w:pPr>
        <w:pStyle w:val="ARbody"/>
      </w:pPr>
      <w:r w:rsidRPr="001814D2">
        <w:t xml:space="preserve">The Creative Studio designed the exhibitions and associated collateral (Marketing and Communications, Learning and Participation, Foundation and Art Gallery Society) for </w:t>
      </w:r>
      <w:r w:rsidRPr="001814D2">
        <w:rPr>
          <w:i/>
          <w:iCs/>
        </w:rPr>
        <w:t>Streeton</w:t>
      </w:r>
      <w:r w:rsidRPr="001814D2">
        <w:t>,</w:t>
      </w:r>
      <w:r w:rsidRPr="001814D2">
        <w:rPr>
          <w:i/>
          <w:iCs/>
        </w:rPr>
        <w:t xml:space="preserve"> Under the Stars</w:t>
      </w:r>
      <w:r w:rsidRPr="001814D2">
        <w:t>,</w:t>
      </w:r>
      <w:r w:rsidRPr="001814D2">
        <w:rPr>
          <w:i/>
          <w:iCs/>
        </w:rPr>
        <w:t xml:space="preserve"> Shadow Catchers</w:t>
      </w:r>
      <w:r w:rsidRPr="001814D2">
        <w:t>,</w:t>
      </w:r>
      <w:r w:rsidRPr="001814D2">
        <w:rPr>
          <w:i/>
          <w:iCs/>
        </w:rPr>
        <w:t xml:space="preserve"> Khaleed Sabsabi</w:t>
      </w:r>
      <w:r w:rsidRPr="001814D2">
        <w:t>,</w:t>
      </w:r>
      <w:r w:rsidRPr="001814D2">
        <w:rPr>
          <w:i/>
          <w:iCs/>
        </w:rPr>
        <w:t xml:space="preserve"> Joy</w:t>
      </w:r>
      <w:r w:rsidRPr="001814D2">
        <w:t>,</w:t>
      </w:r>
      <w:r w:rsidRPr="001814D2">
        <w:rPr>
          <w:i/>
          <w:iCs/>
        </w:rPr>
        <w:t xml:space="preserve"> Archibald, Wynne and Sulman Prizes 2020</w:t>
      </w:r>
      <w:r w:rsidRPr="001814D2">
        <w:t xml:space="preserve"> and </w:t>
      </w:r>
      <w:r w:rsidRPr="001814D2">
        <w:rPr>
          <w:i/>
          <w:iCs/>
        </w:rPr>
        <w:t>Archie Plus</w:t>
      </w:r>
      <w:r w:rsidRPr="001814D2">
        <w:t>,</w:t>
      </w:r>
      <w:r w:rsidRPr="001814D2">
        <w:rPr>
          <w:i/>
          <w:iCs/>
        </w:rPr>
        <w:t xml:space="preserve"> ARTEXPRESS 2021</w:t>
      </w:r>
      <w:r w:rsidRPr="001814D2">
        <w:t>,</w:t>
      </w:r>
      <w:r w:rsidRPr="001814D2">
        <w:rPr>
          <w:i/>
          <w:iCs/>
        </w:rPr>
        <w:t xml:space="preserve"> The National 2021: New Australian Art</w:t>
      </w:r>
      <w:r w:rsidRPr="001814D2">
        <w:t>,</w:t>
      </w:r>
      <w:r w:rsidRPr="001814D2">
        <w:rPr>
          <w:i/>
          <w:iCs/>
        </w:rPr>
        <w:t xml:space="preserve"> Pat Larter: Get Arted</w:t>
      </w:r>
      <w:r w:rsidRPr="001814D2">
        <w:t>,</w:t>
      </w:r>
      <w:r w:rsidRPr="001814D2">
        <w:rPr>
          <w:i/>
          <w:iCs/>
        </w:rPr>
        <w:t xml:space="preserve"> Brett Whiteley: Feathers and Flight</w:t>
      </w:r>
      <w:r w:rsidRPr="001814D2">
        <w:t>,</w:t>
      </w:r>
      <w:r w:rsidRPr="001814D2">
        <w:rPr>
          <w:i/>
          <w:iCs/>
        </w:rPr>
        <w:t xml:space="preserve"> Brett Whiteley: Printmaker</w:t>
      </w:r>
      <w:r w:rsidRPr="001814D2">
        <w:t>,</w:t>
      </w:r>
      <w:r w:rsidRPr="001814D2">
        <w:rPr>
          <w:i/>
          <w:iCs/>
        </w:rPr>
        <w:t xml:space="preserve"> Longing for Home</w:t>
      </w:r>
      <w:r w:rsidRPr="001814D2">
        <w:t>,</w:t>
      </w:r>
      <w:r w:rsidRPr="001814D2">
        <w:rPr>
          <w:i/>
          <w:iCs/>
        </w:rPr>
        <w:t xml:space="preserve"> The Way We Eat</w:t>
      </w:r>
      <w:r w:rsidRPr="001814D2">
        <w:t>,</w:t>
      </w:r>
      <w:r w:rsidRPr="001814D2">
        <w:rPr>
          <w:i/>
          <w:iCs/>
        </w:rPr>
        <w:t xml:space="preserve"> Archibald, Wynne and Sulman Prizes 2021</w:t>
      </w:r>
      <w:r w:rsidRPr="001814D2">
        <w:t xml:space="preserve">, </w:t>
      </w:r>
      <w:r w:rsidRPr="001814D2">
        <w:rPr>
          <w:i/>
          <w:iCs/>
        </w:rPr>
        <w:t>Archie 100: A Century of the Archibald Prize</w:t>
      </w:r>
      <w:r w:rsidRPr="001814D2">
        <w:t xml:space="preserve"> and </w:t>
      </w:r>
      <w:r w:rsidRPr="001814D2">
        <w:rPr>
          <w:i/>
          <w:iCs/>
        </w:rPr>
        <w:t>Hilma af Klint: The Secret Paintings</w:t>
      </w:r>
      <w:r w:rsidRPr="001814D2">
        <w:t xml:space="preserve">, </w:t>
      </w:r>
      <w:r w:rsidRPr="001814D2">
        <w:lastRenderedPageBreak/>
        <w:t>as well supporting the touring exhibition program.</w:t>
      </w:r>
    </w:p>
    <w:p w14:paraId="40A46CCC" w14:textId="77777777" w:rsidR="009103CC" w:rsidRPr="001814D2" w:rsidRDefault="009103CC" w:rsidP="009103CC">
      <w:pPr>
        <w:pStyle w:val="Tabletext"/>
      </w:pPr>
      <w:r w:rsidRPr="001814D2">
        <w:br w:type="page"/>
      </w:r>
    </w:p>
    <w:p w14:paraId="7EEE95E3" w14:textId="77777777" w:rsidR="009103CC" w:rsidRPr="001814D2" w:rsidRDefault="009103CC" w:rsidP="009103CC">
      <w:pPr>
        <w:pStyle w:val="ARheading2"/>
        <w:rPr>
          <w:lang w:val="en-AU"/>
        </w:rPr>
      </w:pPr>
      <w:bookmarkStart w:id="15" w:name="_Toc90982535"/>
      <w:bookmarkStart w:id="16" w:name="_Toc92897864"/>
      <w:r>
        <w:rPr>
          <w:lang w:val="en-AU"/>
        </w:rPr>
        <w:lastRenderedPageBreak/>
        <w:t xml:space="preserve">4 </w:t>
      </w:r>
      <w:r w:rsidRPr="001814D2">
        <w:rPr>
          <w:lang w:val="en-AU"/>
        </w:rPr>
        <w:t>Strategic goal: Strength</w:t>
      </w:r>
      <w:bookmarkEnd w:id="15"/>
      <w:bookmarkEnd w:id="16"/>
    </w:p>
    <w:p w14:paraId="21F9261E" w14:textId="77777777" w:rsidR="009103CC" w:rsidRPr="001814D2" w:rsidRDefault="009103CC" w:rsidP="009103CC">
      <w:pPr>
        <w:pStyle w:val="ARbody"/>
      </w:pPr>
      <w:r w:rsidRPr="001814D2">
        <w:t>Driving an entrepreneurial, efficient and future-ready public art museum</w:t>
      </w:r>
    </w:p>
    <w:p w14:paraId="6E382217" w14:textId="77777777" w:rsidR="009103CC" w:rsidRPr="001814D2" w:rsidRDefault="009103CC" w:rsidP="009103CC">
      <w:pPr>
        <w:pStyle w:val="ARlistparagraph"/>
      </w:pPr>
      <w:r w:rsidRPr="001814D2">
        <w:t>With great appreciation for the continued loyalty of its philanthropic supporters in 2020–21, the Art Gallery launched a number of new avenues for the community to support access to art. Exhibitions endowment funding was secured through bequests and an institutional-wide philanthropic campaign, and the Art Gallery’s Appeal for Access Programs raised $17,930 to enable people living with a disability more opportunities and choices in the community to experience, appreciate and make art. Implementation of higher visibility online donation opportunities, including displaying links to online donations at exit and next to specific project acquisitions, also boosted the profile of benefaction.</w:t>
      </w:r>
    </w:p>
    <w:p w14:paraId="7A80BA59" w14:textId="77777777" w:rsidR="009103CC" w:rsidRPr="001814D2" w:rsidRDefault="009103CC" w:rsidP="009103CC">
      <w:pPr>
        <w:pStyle w:val="ARlistparagraph"/>
      </w:pPr>
      <w:r w:rsidRPr="001814D2">
        <w:t xml:space="preserve">A new Sydney Modern Project sponsorship strategy was established to increase investment and benefits for key partners, and the Art Gallery successfully engaged existing campaign donors in new phases for the campaign, including for upgrades to the existing building, a new public art garden and the Digital Experience Platform (DXP) project, as well as a campaign for art acquisitions, programs, exhibitions and other non-capital initiatives related to the new building. </w:t>
      </w:r>
    </w:p>
    <w:p w14:paraId="3779DB0C" w14:textId="77777777" w:rsidR="009103CC" w:rsidRPr="001814D2" w:rsidRDefault="009103CC" w:rsidP="009103CC">
      <w:pPr>
        <w:pStyle w:val="ARlistparagraph"/>
      </w:pPr>
      <w:r w:rsidRPr="001814D2">
        <w:t>The Art Gallery welcomed Fresh Collective as its new operator of food and beverage outlets, including the launch of a new restaurant, Crafted by Matt Moran. Planning for the Art Gallery’s expansion included the scoping of a campus-wide catering tender to be finalised in the 2021–22 financial year. However, COVID-19’s impacts were keenly felt with disruption to booked corporate events well beyond the Art Gallery’s June 2020 reopening as a result of fluctuating public health restrictions, and acute effects from the June 2021 lockdown.</w:t>
      </w:r>
    </w:p>
    <w:p w14:paraId="58D538CB" w14:textId="77777777" w:rsidR="009103CC" w:rsidRPr="001814D2" w:rsidRDefault="009103CC" w:rsidP="009103CC">
      <w:pPr>
        <w:pStyle w:val="ARlistparagraph"/>
      </w:pPr>
      <w:r w:rsidRPr="001814D2">
        <w:t>Retail planning also progressed with architecture firm Akin Atelier’s development of a new cutting-edge retail space for the new building, with a complementary design to be integrated with SANAA’s architectural space. The updated online Gallery Shop was launched with improved product images and an accessible, user-friendly buying experience leading to greatly enhanced revenue performance.</w:t>
      </w:r>
    </w:p>
    <w:p w14:paraId="06F0B0FF" w14:textId="77777777" w:rsidR="009103CC" w:rsidRPr="001814D2" w:rsidRDefault="009103CC" w:rsidP="009103CC">
      <w:pPr>
        <w:pStyle w:val="ARheading3"/>
      </w:pPr>
      <w:r w:rsidRPr="001814D2">
        <w:t>Corporate partners</w:t>
      </w:r>
    </w:p>
    <w:p w14:paraId="5AC2D3AB" w14:textId="77777777" w:rsidR="009103CC" w:rsidRPr="001814D2" w:rsidRDefault="009103CC" w:rsidP="009103CC">
      <w:pPr>
        <w:pStyle w:val="ARbody"/>
      </w:pPr>
      <w:r w:rsidRPr="001814D2">
        <w:t xml:space="preserve">The Art Gallery’s extraordinary offering of superb exhibitions, programs and events is supported by significant investment from sponsors, strategic partners and Art Gallery business groups. Despite the impact of the global pandemic, the Art Gallery proudly maintained its support from this loyal group of generous partners. </w:t>
      </w:r>
    </w:p>
    <w:p w14:paraId="7F3F2753" w14:textId="77777777" w:rsidR="009103CC" w:rsidRPr="001814D2" w:rsidRDefault="009103CC" w:rsidP="009103CC">
      <w:pPr>
        <w:pStyle w:val="ARbody"/>
      </w:pPr>
      <w:r w:rsidRPr="001814D2">
        <w:lastRenderedPageBreak/>
        <w:t>In 2020–21 this support comprised:</w:t>
      </w:r>
    </w:p>
    <w:p w14:paraId="34D4A40C" w14:textId="77777777" w:rsidR="009103CC" w:rsidRPr="001814D2" w:rsidRDefault="009103CC" w:rsidP="009103CC">
      <w:pPr>
        <w:pStyle w:val="ARlistparagraph"/>
      </w:pPr>
      <w:r w:rsidRPr="001814D2">
        <w:t>$2.669 million cash sponsorship</w:t>
      </w:r>
    </w:p>
    <w:p w14:paraId="5CA634CD" w14:textId="77777777" w:rsidR="009103CC" w:rsidRPr="001814D2" w:rsidRDefault="009103CC" w:rsidP="009103CC">
      <w:pPr>
        <w:pStyle w:val="ARlistparagraph"/>
      </w:pPr>
      <w:r w:rsidRPr="001814D2">
        <w:t>$1.053 million in-kind support.</w:t>
      </w:r>
    </w:p>
    <w:p w14:paraId="6F449182" w14:textId="77777777" w:rsidR="009103CC" w:rsidRPr="001814D2" w:rsidRDefault="009103CC" w:rsidP="009103CC">
      <w:pPr>
        <w:pStyle w:val="ARheading4"/>
      </w:pPr>
      <w:r w:rsidRPr="001814D2">
        <w:t>Art Gallery of New South Wales corporate partners and sponsors</w:t>
      </w:r>
    </w:p>
    <w:p w14:paraId="348F1DCA" w14:textId="77777777" w:rsidR="009103CC" w:rsidRPr="001814D2" w:rsidRDefault="009103CC" w:rsidP="009103CC">
      <w:pPr>
        <w:pStyle w:val="Listitemasbody"/>
      </w:pPr>
      <w:r w:rsidRPr="001814D2">
        <w:rPr>
          <w:b/>
          <w:bCs/>
        </w:rPr>
        <w:t xml:space="preserve">ANZ </w:t>
      </w:r>
      <w:r w:rsidRPr="001814D2">
        <w:t>Leadership partner; presenting partner: 2020 and 2021 Archibald, Wynne and Sulman Prizes and 2019 and 2020 Archibald Prize tours</w:t>
      </w:r>
    </w:p>
    <w:p w14:paraId="7176A812" w14:textId="77777777" w:rsidR="009103CC" w:rsidRPr="001814D2" w:rsidRDefault="009103CC" w:rsidP="009103CC">
      <w:pPr>
        <w:pStyle w:val="Listitemasbody"/>
      </w:pPr>
      <w:r w:rsidRPr="001814D2">
        <w:rPr>
          <w:b/>
          <w:bCs/>
        </w:rPr>
        <w:t xml:space="preserve">Aqualand </w:t>
      </w:r>
      <w:r w:rsidRPr="001814D2">
        <w:t xml:space="preserve">Leadership partner </w:t>
      </w:r>
    </w:p>
    <w:p w14:paraId="701AA4A3" w14:textId="77777777" w:rsidR="009103CC" w:rsidRPr="001814D2" w:rsidRDefault="009103CC" w:rsidP="009103CC">
      <w:pPr>
        <w:pStyle w:val="Listitemasbody"/>
        <w:rPr>
          <w:i/>
          <w:iCs/>
        </w:rPr>
      </w:pPr>
      <w:r w:rsidRPr="001814D2">
        <w:rPr>
          <w:b/>
          <w:bCs/>
        </w:rPr>
        <w:t xml:space="preserve">Bank of China </w:t>
      </w:r>
      <w:r w:rsidRPr="001814D2">
        <w:t xml:space="preserve">Major partner: Conservation; major partner: </w:t>
      </w:r>
      <w:r w:rsidRPr="001814D2">
        <w:rPr>
          <w:i/>
          <w:iCs/>
        </w:rPr>
        <w:t>In One Drop of Water</w:t>
      </w:r>
      <w:r w:rsidRPr="001814D2">
        <w:t xml:space="preserve"> and </w:t>
      </w:r>
      <w:r w:rsidRPr="001814D2">
        <w:rPr>
          <w:i/>
          <w:iCs/>
        </w:rPr>
        <w:t>The Way We Eat</w:t>
      </w:r>
    </w:p>
    <w:p w14:paraId="492AE2D9" w14:textId="77777777" w:rsidR="009103CC" w:rsidRPr="001814D2" w:rsidRDefault="009103CC" w:rsidP="009103CC">
      <w:pPr>
        <w:pStyle w:val="Listitemasbody"/>
      </w:pPr>
      <w:r w:rsidRPr="001814D2">
        <w:rPr>
          <w:b/>
          <w:bCs/>
        </w:rPr>
        <w:t xml:space="preserve">City of Sydney </w:t>
      </w:r>
      <w:r w:rsidRPr="001814D2">
        <w:t xml:space="preserve">Support partner: 2020 and 2021 Archibald, Wynne and Sulman Prizes </w:t>
      </w:r>
    </w:p>
    <w:p w14:paraId="0D4D6C63" w14:textId="77777777" w:rsidR="009103CC" w:rsidRPr="001814D2" w:rsidRDefault="009103CC" w:rsidP="009103CC">
      <w:pPr>
        <w:pStyle w:val="Listitemasbody"/>
      </w:pPr>
      <w:r w:rsidRPr="001814D2">
        <w:rPr>
          <w:b/>
          <w:bCs/>
        </w:rPr>
        <w:t xml:space="preserve">Crestone Wealth Management </w:t>
      </w:r>
      <w:r w:rsidRPr="001814D2">
        <w:t>Program supporter for Atelier</w:t>
      </w:r>
    </w:p>
    <w:p w14:paraId="6E43C55D" w14:textId="77777777" w:rsidR="009103CC" w:rsidRPr="001814D2" w:rsidRDefault="009103CC" w:rsidP="009103CC">
      <w:pPr>
        <w:pStyle w:val="Listitemasbody"/>
      </w:pPr>
      <w:r w:rsidRPr="001814D2">
        <w:rPr>
          <w:b/>
          <w:bCs/>
        </w:rPr>
        <w:t xml:space="preserve">Destination NSW </w:t>
      </w:r>
      <w:r w:rsidRPr="001814D2">
        <w:t xml:space="preserve">Strategic sponsor: </w:t>
      </w:r>
      <w:r w:rsidRPr="001814D2">
        <w:rPr>
          <w:i/>
          <w:iCs/>
        </w:rPr>
        <w:t>Streeton</w:t>
      </w:r>
      <w:r w:rsidRPr="001814D2">
        <w:t xml:space="preserve"> and </w:t>
      </w:r>
      <w:r w:rsidRPr="001814D2">
        <w:rPr>
          <w:i/>
          <w:iCs/>
        </w:rPr>
        <w:t>Hilma af Klint: The Secret Paintings</w:t>
      </w:r>
    </w:p>
    <w:p w14:paraId="38F771DA" w14:textId="77777777" w:rsidR="009103CC" w:rsidRPr="001814D2" w:rsidRDefault="009103CC" w:rsidP="009103CC">
      <w:pPr>
        <w:pStyle w:val="Listitemasbody"/>
      </w:pPr>
      <w:r w:rsidRPr="001814D2">
        <w:rPr>
          <w:b/>
          <w:bCs/>
        </w:rPr>
        <w:t xml:space="preserve">EY </w:t>
      </w:r>
      <w:r w:rsidRPr="001814D2">
        <w:t xml:space="preserve">Presenting sponsor; major digital sponsor: </w:t>
      </w:r>
      <w:r w:rsidRPr="001814D2">
        <w:rPr>
          <w:i/>
          <w:iCs/>
        </w:rPr>
        <w:t>Hilma af Klint: The Secret Paintings</w:t>
      </w:r>
      <w:r w:rsidRPr="001814D2">
        <w:t xml:space="preserve"> </w:t>
      </w:r>
    </w:p>
    <w:p w14:paraId="07D795C9" w14:textId="77777777" w:rsidR="009103CC" w:rsidRPr="001814D2" w:rsidRDefault="009103CC" w:rsidP="009103CC">
      <w:pPr>
        <w:pStyle w:val="Listitemasbody"/>
      </w:pPr>
      <w:r w:rsidRPr="003A6DDD">
        <w:rPr>
          <w:b/>
          <w:bCs/>
        </w:rPr>
        <w:t>Glenfiddich and Hendrick’s Gin</w:t>
      </w:r>
      <w:r w:rsidRPr="001814D2">
        <w:t xml:space="preserve"> Event and support partners</w:t>
      </w:r>
    </w:p>
    <w:p w14:paraId="7499EE79" w14:textId="77777777" w:rsidR="009103CC" w:rsidRPr="001814D2" w:rsidRDefault="009103CC" w:rsidP="009103CC">
      <w:pPr>
        <w:pStyle w:val="Listitemasbody"/>
      </w:pPr>
      <w:r w:rsidRPr="001814D2">
        <w:rPr>
          <w:b/>
          <w:bCs/>
        </w:rPr>
        <w:t xml:space="preserve">Herbert Smith Freehills </w:t>
      </w:r>
      <w:r w:rsidRPr="001814D2">
        <w:t xml:space="preserve">Major partner: </w:t>
      </w:r>
      <w:r w:rsidRPr="003A6DDD">
        <w:rPr>
          <w:i/>
          <w:iCs/>
        </w:rPr>
        <w:t>A Promise: Khaled Sabsabi</w:t>
      </w:r>
      <w:r w:rsidRPr="001814D2">
        <w:t xml:space="preserve">; official legal partner: </w:t>
      </w:r>
      <w:r w:rsidRPr="003A6DDD">
        <w:rPr>
          <w:i/>
          <w:iCs/>
        </w:rPr>
        <w:t>Archibald, Wynne and Sulman Prizes 2021</w:t>
      </w:r>
      <w:r w:rsidRPr="001814D2">
        <w:t xml:space="preserve"> </w:t>
      </w:r>
    </w:p>
    <w:p w14:paraId="505E8979" w14:textId="77777777" w:rsidR="009103CC" w:rsidRPr="001814D2" w:rsidRDefault="009103CC" w:rsidP="009103CC">
      <w:pPr>
        <w:pStyle w:val="Listitemasbody"/>
      </w:pPr>
      <w:r w:rsidRPr="001814D2">
        <w:rPr>
          <w:b/>
          <w:bCs/>
        </w:rPr>
        <w:t xml:space="preserve">JCDecaux </w:t>
      </w:r>
      <w:r w:rsidRPr="001814D2">
        <w:t xml:space="preserve">Media partner: 2020 and 2021 Archibald, Wynne and Sulman Prizes and </w:t>
      </w:r>
      <w:r w:rsidRPr="001814D2">
        <w:rPr>
          <w:i/>
          <w:iCs/>
        </w:rPr>
        <w:t>Hilma af Klint: The Secret Paintings</w:t>
      </w:r>
      <w:r w:rsidRPr="001814D2">
        <w:t xml:space="preserve"> </w:t>
      </w:r>
    </w:p>
    <w:p w14:paraId="55CCC7FD" w14:textId="77777777" w:rsidR="009103CC" w:rsidRPr="001814D2" w:rsidRDefault="009103CC" w:rsidP="009103CC">
      <w:pPr>
        <w:pStyle w:val="Listitemasbody"/>
      </w:pPr>
      <w:r w:rsidRPr="001814D2">
        <w:rPr>
          <w:b/>
          <w:bCs/>
        </w:rPr>
        <w:t xml:space="preserve">J.P. Morgan </w:t>
      </w:r>
      <w:r w:rsidRPr="001814D2">
        <w:t xml:space="preserve">Presenting partner: Brett Whiteley Studio </w:t>
      </w:r>
    </w:p>
    <w:p w14:paraId="2C21175E" w14:textId="77777777" w:rsidR="009103CC" w:rsidRPr="001814D2" w:rsidRDefault="009103CC" w:rsidP="009103CC">
      <w:pPr>
        <w:pStyle w:val="Listitemasbody"/>
        <w:rPr>
          <w:i/>
          <w:iCs/>
        </w:rPr>
      </w:pPr>
      <w:r w:rsidRPr="001814D2">
        <w:rPr>
          <w:b/>
          <w:bCs/>
        </w:rPr>
        <w:t xml:space="preserve">Macquarie Group </w:t>
      </w:r>
      <w:r w:rsidRPr="001814D2">
        <w:t xml:space="preserve">Presenting partner: Australian art collection and major sponsor </w:t>
      </w:r>
      <w:r w:rsidRPr="001814D2">
        <w:rPr>
          <w:i/>
          <w:iCs/>
        </w:rPr>
        <w:t>Streeton</w:t>
      </w:r>
    </w:p>
    <w:p w14:paraId="0C8A3E8E" w14:textId="77777777" w:rsidR="009103CC" w:rsidRPr="001814D2" w:rsidRDefault="009103CC" w:rsidP="009103CC">
      <w:pPr>
        <w:pStyle w:val="Listitemasbody"/>
        <w:rPr>
          <w:i/>
          <w:iCs/>
        </w:rPr>
      </w:pPr>
      <w:r w:rsidRPr="001814D2">
        <w:rPr>
          <w:b/>
          <w:bCs/>
        </w:rPr>
        <w:t xml:space="preserve">Macquarie University </w:t>
      </w:r>
      <w:r w:rsidRPr="001814D2">
        <w:t xml:space="preserve">Presenting partner; support partner: Art After Hours; venue sponsor: </w:t>
      </w:r>
      <w:r w:rsidRPr="001814D2">
        <w:rPr>
          <w:i/>
          <w:iCs/>
        </w:rPr>
        <w:t>ARTEXPRESS 2021</w:t>
      </w:r>
    </w:p>
    <w:p w14:paraId="2E8E730D" w14:textId="77777777" w:rsidR="009103CC" w:rsidRPr="001814D2" w:rsidRDefault="009103CC" w:rsidP="009103CC">
      <w:pPr>
        <w:pStyle w:val="Listitemasbody"/>
      </w:pPr>
      <w:r w:rsidRPr="001814D2">
        <w:rPr>
          <w:b/>
          <w:bCs/>
        </w:rPr>
        <w:t xml:space="preserve">Oroton </w:t>
      </w:r>
      <w:r w:rsidRPr="001814D2">
        <w:t xml:space="preserve">Support partner; support partner: </w:t>
      </w:r>
      <w:r w:rsidRPr="003A6DDD">
        <w:rPr>
          <w:i/>
          <w:iCs/>
        </w:rPr>
        <w:t>Archie 100: A Century of the Archibald Prize</w:t>
      </w:r>
    </w:p>
    <w:p w14:paraId="29E08CAC" w14:textId="77777777" w:rsidR="009103CC" w:rsidRPr="001814D2" w:rsidRDefault="009103CC" w:rsidP="009103CC">
      <w:pPr>
        <w:pStyle w:val="Listitemasbody"/>
      </w:pPr>
      <w:r w:rsidRPr="001814D2">
        <w:rPr>
          <w:b/>
          <w:bCs/>
        </w:rPr>
        <w:t xml:space="preserve">Paspaley </w:t>
      </w:r>
      <w:r w:rsidRPr="001814D2">
        <w:t>Support partner</w:t>
      </w:r>
    </w:p>
    <w:p w14:paraId="268158E2" w14:textId="77777777" w:rsidR="009103CC" w:rsidRPr="001814D2" w:rsidRDefault="009103CC" w:rsidP="009103CC">
      <w:pPr>
        <w:pStyle w:val="Listitemasbody"/>
      </w:pPr>
      <w:r w:rsidRPr="001814D2">
        <w:rPr>
          <w:b/>
          <w:bCs/>
        </w:rPr>
        <w:t xml:space="preserve">Porter’s Original Paints </w:t>
      </w:r>
      <w:r w:rsidRPr="001814D2">
        <w:t xml:space="preserve">Official paint supplier and support partner: 2020 and 2021 Archibald, Wynne and Sulman Prizes, </w:t>
      </w:r>
      <w:r w:rsidRPr="001814D2">
        <w:rPr>
          <w:i/>
          <w:iCs/>
        </w:rPr>
        <w:t>Streeton</w:t>
      </w:r>
      <w:r w:rsidRPr="001814D2">
        <w:t xml:space="preserve"> and</w:t>
      </w:r>
      <w:r w:rsidRPr="001814D2">
        <w:rPr>
          <w:i/>
          <w:iCs/>
        </w:rPr>
        <w:t xml:space="preserve"> Hilma af Klint: The Secret Paintings</w:t>
      </w:r>
      <w:r w:rsidRPr="001814D2">
        <w:t xml:space="preserve"> </w:t>
      </w:r>
    </w:p>
    <w:p w14:paraId="4B3BAAFF" w14:textId="77777777" w:rsidR="009103CC" w:rsidRPr="001814D2" w:rsidRDefault="009103CC" w:rsidP="009103CC">
      <w:pPr>
        <w:pStyle w:val="Listitemasbody"/>
        <w:rPr>
          <w:i/>
          <w:iCs/>
        </w:rPr>
      </w:pPr>
      <w:r w:rsidRPr="003A6DDD">
        <w:rPr>
          <w:b/>
          <w:bCs/>
        </w:rPr>
        <w:t>President’s Council of the Art Gallery of New South Wales</w:t>
      </w:r>
      <w:r w:rsidRPr="001814D2">
        <w:t xml:space="preserve"> Presenting partner: </w:t>
      </w:r>
      <w:r w:rsidRPr="001814D2">
        <w:rPr>
          <w:i/>
          <w:iCs/>
        </w:rPr>
        <w:t>Streeton</w:t>
      </w:r>
    </w:p>
    <w:p w14:paraId="4B1BCAC2" w14:textId="77777777" w:rsidR="009103CC" w:rsidRPr="001814D2" w:rsidRDefault="009103CC" w:rsidP="009103CC">
      <w:pPr>
        <w:pStyle w:val="Listitemasbody"/>
      </w:pPr>
      <w:r w:rsidRPr="003A6DDD">
        <w:rPr>
          <w:b/>
          <w:bCs/>
        </w:rPr>
        <w:lastRenderedPageBreak/>
        <w:t>Robert Oatley Wines</w:t>
      </w:r>
      <w:r w:rsidRPr="001814D2">
        <w:t xml:space="preserve"> Support partner: 2020 and 2021 Archibald, Wynne and Sulman Prizes</w:t>
      </w:r>
    </w:p>
    <w:p w14:paraId="043E5151" w14:textId="77777777" w:rsidR="009103CC" w:rsidRPr="001814D2" w:rsidRDefault="009103CC" w:rsidP="009103CC">
      <w:pPr>
        <w:pStyle w:val="Listitemasbody"/>
        <w:rPr>
          <w:i/>
          <w:iCs/>
        </w:rPr>
      </w:pPr>
      <w:r w:rsidRPr="001814D2">
        <w:rPr>
          <w:b/>
          <w:bCs/>
        </w:rPr>
        <w:t xml:space="preserve">Sofitel Sydney Wentworth </w:t>
      </w:r>
      <w:r w:rsidRPr="001814D2">
        <w:t>Major partner; official hotel and support partner: 2020 and 2021 Archibald, Wynne and Sulman Prizes,</w:t>
      </w:r>
      <w:r w:rsidRPr="001814D2">
        <w:rPr>
          <w:i/>
          <w:iCs/>
        </w:rPr>
        <w:t xml:space="preserve"> Streeton</w:t>
      </w:r>
      <w:r w:rsidRPr="001814D2">
        <w:t xml:space="preserve"> and</w:t>
      </w:r>
      <w:r w:rsidRPr="001814D2">
        <w:rPr>
          <w:i/>
          <w:iCs/>
        </w:rPr>
        <w:t xml:space="preserve"> Hilma af Klint: The Secret Paintings</w:t>
      </w:r>
    </w:p>
    <w:p w14:paraId="65C245EC" w14:textId="77777777" w:rsidR="009103CC" w:rsidRPr="001814D2" w:rsidRDefault="009103CC" w:rsidP="009103CC">
      <w:pPr>
        <w:pStyle w:val="Listitemasbody"/>
      </w:pPr>
      <w:r w:rsidRPr="001814D2">
        <w:rPr>
          <w:b/>
          <w:bCs/>
        </w:rPr>
        <w:t xml:space="preserve">Sydney Morning Herald </w:t>
      </w:r>
      <w:r w:rsidRPr="001814D2">
        <w:t xml:space="preserve">Media partner: 2020 and 2021 Archibald, Wynne and Sulman Prizes </w:t>
      </w:r>
    </w:p>
    <w:p w14:paraId="69016319" w14:textId="77777777" w:rsidR="009103CC" w:rsidRPr="001814D2" w:rsidRDefault="009103CC" w:rsidP="009103CC">
      <w:pPr>
        <w:pStyle w:val="Listitemasbody"/>
      </w:pPr>
      <w:r w:rsidRPr="001814D2">
        <w:rPr>
          <w:b/>
          <w:bCs/>
        </w:rPr>
        <w:t xml:space="preserve">S&amp;S Creative </w:t>
      </w:r>
      <w:r w:rsidRPr="001814D2">
        <w:t>Support partner: education programs</w:t>
      </w:r>
    </w:p>
    <w:p w14:paraId="7543934A" w14:textId="77777777" w:rsidR="009103CC" w:rsidRPr="001814D2" w:rsidRDefault="009103CC" w:rsidP="009103CC">
      <w:pPr>
        <w:pStyle w:val="Listitemasbody"/>
        <w:rPr>
          <w:i/>
          <w:iCs/>
        </w:rPr>
      </w:pPr>
      <w:r w:rsidRPr="001814D2">
        <w:rPr>
          <w:b/>
          <w:bCs/>
        </w:rPr>
        <w:t xml:space="preserve">The Saturday Paper and The Monthly </w:t>
      </w:r>
      <w:r w:rsidRPr="001814D2">
        <w:t xml:space="preserve">Media partner: </w:t>
      </w:r>
      <w:r w:rsidRPr="001814D2">
        <w:rPr>
          <w:i/>
          <w:iCs/>
        </w:rPr>
        <w:t>Streeton</w:t>
      </w:r>
      <w:r w:rsidRPr="001814D2">
        <w:t xml:space="preserve">; The Saturday Paper: media partner: </w:t>
      </w:r>
      <w:r w:rsidRPr="001814D2">
        <w:rPr>
          <w:i/>
          <w:iCs/>
        </w:rPr>
        <w:t>Hilma af Klint: The Secret Paintings</w:t>
      </w:r>
    </w:p>
    <w:p w14:paraId="3C767C96" w14:textId="77777777" w:rsidR="009103CC" w:rsidRPr="001814D2" w:rsidRDefault="009103CC" w:rsidP="009103CC">
      <w:pPr>
        <w:pStyle w:val="Listitemasbody"/>
      </w:pPr>
      <w:r w:rsidRPr="001814D2">
        <w:rPr>
          <w:b/>
          <w:bCs/>
        </w:rPr>
        <w:t xml:space="preserve">UBS </w:t>
      </w:r>
      <w:r w:rsidRPr="001814D2">
        <w:t xml:space="preserve">Presenting partner; contemporary art: contemporary galleries; major partner: </w:t>
      </w:r>
      <w:r w:rsidRPr="003A6DDD">
        <w:rPr>
          <w:i/>
          <w:iCs/>
        </w:rPr>
        <w:t>Shadow Catchers, Some Mysterious Process: 50 Years of Collecting International Art, Under the Stars, The National 2021: New Australian Art</w:t>
      </w:r>
      <w:r w:rsidRPr="001814D2">
        <w:t xml:space="preserve"> and </w:t>
      </w:r>
      <w:r w:rsidRPr="003A6DDD">
        <w:rPr>
          <w:i/>
          <w:iCs/>
        </w:rPr>
        <w:t>Margel Hinder: Modern in Motion</w:t>
      </w:r>
    </w:p>
    <w:p w14:paraId="28966654" w14:textId="77777777" w:rsidR="009103CC" w:rsidRPr="001814D2" w:rsidRDefault="009103CC" w:rsidP="009103CC">
      <w:pPr>
        <w:pStyle w:val="Listitemasbody"/>
      </w:pPr>
      <w:r w:rsidRPr="001814D2">
        <w:rPr>
          <w:b/>
          <w:bCs/>
        </w:rPr>
        <w:t xml:space="preserve">Valiant Events </w:t>
      </w:r>
      <w:r w:rsidRPr="001814D2">
        <w:t>Support partner</w:t>
      </w:r>
    </w:p>
    <w:p w14:paraId="2CE06435" w14:textId="77777777" w:rsidR="009103CC" w:rsidRPr="001814D2" w:rsidRDefault="009103CC" w:rsidP="009103CC">
      <w:pPr>
        <w:pStyle w:val="Listitemasbody"/>
      </w:pPr>
      <w:r w:rsidRPr="001814D2">
        <w:rPr>
          <w:b/>
          <w:bCs/>
        </w:rPr>
        <w:t xml:space="preserve">VisAsia Council of the Art Gallery of New South Wales </w:t>
      </w:r>
      <w:r w:rsidRPr="001814D2">
        <w:t>Major philanthropic partner</w:t>
      </w:r>
    </w:p>
    <w:p w14:paraId="377107DE" w14:textId="77777777" w:rsidR="009103CC" w:rsidRPr="001814D2" w:rsidRDefault="009103CC" w:rsidP="009103CC">
      <w:pPr>
        <w:pStyle w:val="ARheading4"/>
      </w:pPr>
      <w:r w:rsidRPr="001814D2">
        <w:t>President’s Council</w:t>
      </w:r>
    </w:p>
    <w:p w14:paraId="0647957C" w14:textId="77777777" w:rsidR="009103CC" w:rsidRPr="001814D2" w:rsidRDefault="009103CC" w:rsidP="009103CC">
      <w:pPr>
        <w:pStyle w:val="ARbody"/>
      </w:pPr>
      <w:r w:rsidRPr="001814D2">
        <w:t xml:space="preserve">The President’s Council is a network of business leaders established to support the Art Gallery by providing vital business expertise and advice as well as philanthropic funding. The President’s Council was proud to support the </w:t>
      </w:r>
      <w:r w:rsidRPr="001814D2">
        <w:rPr>
          <w:i/>
          <w:iCs/>
        </w:rPr>
        <w:t>Streeton</w:t>
      </w:r>
      <w:r w:rsidRPr="001814D2">
        <w:t xml:space="preserve"> exhibition over the summer of2020–21 as presenting partner.</w:t>
      </w:r>
    </w:p>
    <w:p w14:paraId="033E749E" w14:textId="77777777" w:rsidR="009103CC" w:rsidRPr="001814D2" w:rsidRDefault="009103CC" w:rsidP="009103CC">
      <w:pPr>
        <w:pStyle w:val="ARbody"/>
      </w:pPr>
      <w:r w:rsidRPr="001814D2">
        <w:t>President: David Gonski AC</w:t>
      </w:r>
    </w:p>
    <w:p w14:paraId="0E0C7837" w14:textId="77777777" w:rsidR="009103CC" w:rsidRPr="001814D2" w:rsidRDefault="009103CC" w:rsidP="009103CC">
      <w:pPr>
        <w:pStyle w:val="ARheading5"/>
      </w:pPr>
      <w:r w:rsidRPr="001814D2">
        <w:t>Membership</w:t>
      </w:r>
    </w:p>
    <w:p w14:paraId="0F6C8CE9" w14:textId="77777777" w:rsidR="009103CC" w:rsidRPr="001814D2" w:rsidRDefault="009103CC" w:rsidP="009103CC">
      <w:pPr>
        <w:pStyle w:val="Listitemasbody"/>
      </w:pPr>
      <w:r w:rsidRPr="001814D2">
        <w:t xml:space="preserve">Emma Gray – ANZ Banking Group Limited </w:t>
      </w:r>
    </w:p>
    <w:p w14:paraId="5266703B" w14:textId="77777777" w:rsidR="009103CC" w:rsidRPr="001814D2" w:rsidRDefault="009103CC" w:rsidP="009103CC">
      <w:pPr>
        <w:pStyle w:val="Listitemasbody"/>
      </w:pPr>
      <w:r w:rsidRPr="001814D2">
        <w:t xml:space="preserve">Jin Lin – Aqualand </w:t>
      </w:r>
    </w:p>
    <w:p w14:paraId="3EEC5A01" w14:textId="77777777" w:rsidR="009103CC" w:rsidRPr="001814D2" w:rsidRDefault="009103CC" w:rsidP="009103CC">
      <w:pPr>
        <w:pStyle w:val="Listitemasbody"/>
      </w:pPr>
      <w:r w:rsidRPr="001814D2">
        <w:t>Alvin Yong – Bank of China</w:t>
      </w:r>
    </w:p>
    <w:p w14:paraId="0C45B8A6" w14:textId="77777777" w:rsidR="009103CC" w:rsidRPr="001814D2" w:rsidRDefault="009103CC" w:rsidP="009103CC">
      <w:pPr>
        <w:pStyle w:val="Listitemasbody"/>
      </w:pPr>
      <w:r w:rsidRPr="001814D2">
        <w:t xml:space="preserve">Michael Chisholm – Crestone Wealth Management </w:t>
      </w:r>
    </w:p>
    <w:p w14:paraId="69C97B70" w14:textId="77777777" w:rsidR="009103CC" w:rsidRPr="001814D2" w:rsidRDefault="009103CC" w:rsidP="009103CC">
      <w:pPr>
        <w:pStyle w:val="Listitemasbody"/>
      </w:pPr>
      <w:r w:rsidRPr="001814D2">
        <w:t>Steve Cox – Destination NSW</w:t>
      </w:r>
    </w:p>
    <w:p w14:paraId="71916E4C" w14:textId="77777777" w:rsidR="009103CC" w:rsidRPr="001814D2" w:rsidRDefault="009103CC" w:rsidP="009103CC">
      <w:pPr>
        <w:pStyle w:val="Listitemasbody"/>
      </w:pPr>
      <w:r w:rsidRPr="001814D2">
        <w:t xml:space="preserve">Damian Hackett – Deutscher and Hackett </w:t>
      </w:r>
    </w:p>
    <w:p w14:paraId="7341480D" w14:textId="77777777" w:rsidR="009103CC" w:rsidRPr="001814D2" w:rsidRDefault="009103CC" w:rsidP="009103CC">
      <w:pPr>
        <w:pStyle w:val="Listitemasbody"/>
      </w:pPr>
      <w:r w:rsidRPr="001814D2">
        <w:t xml:space="preserve">Andrew Price – EY </w:t>
      </w:r>
    </w:p>
    <w:p w14:paraId="2A761109" w14:textId="77777777" w:rsidR="009103CC" w:rsidRPr="001814D2" w:rsidRDefault="009103CC" w:rsidP="009103CC">
      <w:pPr>
        <w:pStyle w:val="Listitemasbody"/>
      </w:pPr>
      <w:r w:rsidRPr="001814D2">
        <w:t xml:space="preserve">Miles Bastick – Herbert Smith Freehills </w:t>
      </w:r>
    </w:p>
    <w:p w14:paraId="0E7858EB" w14:textId="77777777" w:rsidR="009103CC" w:rsidRPr="001814D2" w:rsidRDefault="009103CC" w:rsidP="009103CC">
      <w:pPr>
        <w:pStyle w:val="Listitemasbody"/>
      </w:pPr>
      <w:r w:rsidRPr="001814D2">
        <w:lastRenderedPageBreak/>
        <w:t>Charles Gorman, Ben Smith – Investec</w:t>
      </w:r>
    </w:p>
    <w:p w14:paraId="39F7F042" w14:textId="77777777" w:rsidR="009103CC" w:rsidRPr="001814D2" w:rsidRDefault="009103CC" w:rsidP="009103CC">
      <w:pPr>
        <w:pStyle w:val="Listitemasbody"/>
      </w:pPr>
      <w:r w:rsidRPr="001814D2">
        <w:t>Rob Bedwell – J.P. Morgan</w:t>
      </w:r>
    </w:p>
    <w:p w14:paraId="77C8F95A" w14:textId="77777777" w:rsidR="009103CC" w:rsidRPr="001814D2" w:rsidRDefault="009103CC" w:rsidP="009103CC">
      <w:pPr>
        <w:pStyle w:val="Listitemasbody"/>
      </w:pPr>
      <w:r w:rsidRPr="001814D2">
        <w:t xml:space="preserve">Steve O’Connor – JCDecaux Australia </w:t>
      </w:r>
    </w:p>
    <w:p w14:paraId="7412E8AE" w14:textId="77777777" w:rsidR="009103CC" w:rsidRPr="001814D2" w:rsidRDefault="009103CC" w:rsidP="009103CC">
      <w:pPr>
        <w:pStyle w:val="Listitemasbody"/>
      </w:pPr>
      <w:r w:rsidRPr="001814D2">
        <w:t xml:space="preserve">Doug Ferguson – KPMG </w:t>
      </w:r>
    </w:p>
    <w:p w14:paraId="14754623" w14:textId="77777777" w:rsidR="009103CC" w:rsidRPr="001814D2" w:rsidRDefault="009103CC" w:rsidP="009103CC">
      <w:pPr>
        <w:pStyle w:val="Listitemasbody"/>
      </w:pPr>
      <w:r w:rsidRPr="001814D2">
        <w:t xml:space="preserve">Steven Lowy AM – LFG </w:t>
      </w:r>
    </w:p>
    <w:p w14:paraId="721067FB" w14:textId="77777777" w:rsidR="009103CC" w:rsidRPr="001814D2" w:rsidRDefault="009103CC" w:rsidP="009103CC">
      <w:pPr>
        <w:pStyle w:val="Listitemasbody"/>
      </w:pPr>
      <w:r w:rsidRPr="001814D2">
        <w:t xml:space="preserve">John Pickhaver – Macquarie Capital ANZ </w:t>
      </w:r>
    </w:p>
    <w:p w14:paraId="7A71FC05" w14:textId="77777777" w:rsidR="009103CC" w:rsidRPr="001814D2" w:rsidRDefault="009103CC" w:rsidP="009103CC">
      <w:pPr>
        <w:pStyle w:val="Listitemasbody"/>
      </w:pPr>
      <w:r w:rsidRPr="001814D2">
        <w:t xml:space="preserve">David Wilkinson – Macquarie University </w:t>
      </w:r>
    </w:p>
    <w:p w14:paraId="01DE4521" w14:textId="77777777" w:rsidR="009103CC" w:rsidRPr="001814D2" w:rsidRDefault="009103CC" w:rsidP="009103CC">
      <w:pPr>
        <w:pStyle w:val="Listitemasbody"/>
      </w:pPr>
      <w:r w:rsidRPr="001814D2">
        <w:t>Vincent Hua – Mason Stevens</w:t>
      </w:r>
    </w:p>
    <w:p w14:paraId="470EB976" w14:textId="77777777" w:rsidR="009103CC" w:rsidRPr="001814D2" w:rsidRDefault="009103CC" w:rsidP="009103CC">
      <w:pPr>
        <w:pStyle w:val="Listitemasbody"/>
      </w:pPr>
      <w:r w:rsidRPr="001814D2">
        <w:t xml:space="preserve">Drew Bradford – National Australia Bank </w:t>
      </w:r>
    </w:p>
    <w:p w14:paraId="1AEDBFBC" w14:textId="77777777" w:rsidR="009103CC" w:rsidRPr="001814D2" w:rsidRDefault="009103CC" w:rsidP="009103CC">
      <w:pPr>
        <w:pStyle w:val="Listitemasbody"/>
      </w:pPr>
      <w:r w:rsidRPr="001814D2">
        <w:t xml:space="preserve">Michael Bracher – Paspaley Pearls Group </w:t>
      </w:r>
    </w:p>
    <w:p w14:paraId="2DE14DF0" w14:textId="77777777" w:rsidR="009103CC" w:rsidRPr="001814D2" w:rsidRDefault="009103CC" w:rsidP="009103CC">
      <w:pPr>
        <w:pStyle w:val="Listitemasbody"/>
      </w:pPr>
      <w:r w:rsidRPr="001814D2">
        <w:t xml:space="preserve">Shaun Bonett – Precision Group of Companies </w:t>
      </w:r>
    </w:p>
    <w:p w14:paraId="3777C455" w14:textId="77777777" w:rsidR="009103CC" w:rsidRPr="001814D2" w:rsidRDefault="009103CC" w:rsidP="009103CC">
      <w:pPr>
        <w:pStyle w:val="Listitemasbody"/>
      </w:pPr>
      <w:r w:rsidRPr="001814D2">
        <w:t>Eitan Neishlos – Resonance Australia</w:t>
      </w:r>
    </w:p>
    <w:p w14:paraId="08B3CA0C" w14:textId="77777777" w:rsidR="009103CC" w:rsidRPr="001814D2" w:rsidRDefault="009103CC" w:rsidP="009103CC">
      <w:pPr>
        <w:pStyle w:val="Listitemasbody"/>
      </w:pPr>
      <w:r w:rsidRPr="001814D2">
        <w:t xml:space="preserve">Sandy Oatley – Robert Oatley Vineyards, Balmoral Australia, Hamilton Island </w:t>
      </w:r>
    </w:p>
    <w:p w14:paraId="745AE7AD" w14:textId="77777777" w:rsidR="009103CC" w:rsidRPr="001814D2" w:rsidRDefault="009103CC" w:rsidP="009103CC">
      <w:pPr>
        <w:pStyle w:val="Listitemasbody"/>
      </w:pPr>
      <w:r w:rsidRPr="001814D2">
        <w:t xml:space="preserve">Peter Allen, Andrew Clarke – Scentre Group </w:t>
      </w:r>
    </w:p>
    <w:p w14:paraId="5E76D653" w14:textId="77777777" w:rsidR="009103CC" w:rsidRPr="001814D2" w:rsidRDefault="009103CC" w:rsidP="009103CC">
      <w:pPr>
        <w:pStyle w:val="Listitemasbody"/>
      </w:pPr>
      <w:r w:rsidRPr="001814D2">
        <w:t xml:space="preserve">Alfred Moufarrige OAM – Servcorp </w:t>
      </w:r>
    </w:p>
    <w:p w14:paraId="10091F5F" w14:textId="77777777" w:rsidR="009103CC" w:rsidRPr="001814D2" w:rsidRDefault="009103CC" w:rsidP="009103CC">
      <w:pPr>
        <w:pStyle w:val="Listitemasbody"/>
      </w:pPr>
      <w:r w:rsidRPr="001814D2">
        <w:t xml:space="preserve">Ryan Stokes AO – Seven Group Holdings </w:t>
      </w:r>
    </w:p>
    <w:p w14:paraId="49054498" w14:textId="77777777" w:rsidR="009103CC" w:rsidRPr="001814D2" w:rsidRDefault="009103CC" w:rsidP="009103CC">
      <w:pPr>
        <w:pStyle w:val="Listitemasbody"/>
      </w:pPr>
      <w:r w:rsidRPr="001814D2">
        <w:t xml:space="preserve">Lisa Davies – Sydney Morning Herald </w:t>
      </w:r>
    </w:p>
    <w:p w14:paraId="6A256730" w14:textId="77777777" w:rsidR="009103CC" w:rsidRPr="001814D2" w:rsidRDefault="009103CC" w:rsidP="009103CC">
      <w:pPr>
        <w:pStyle w:val="Listitemasbody"/>
      </w:pPr>
      <w:r w:rsidRPr="001814D2">
        <w:t xml:space="preserve">Tim Church, Anthony Sweetman – UBS AG Australia </w:t>
      </w:r>
    </w:p>
    <w:p w14:paraId="37F492D3" w14:textId="77777777" w:rsidR="009103CC" w:rsidRPr="001814D2" w:rsidRDefault="009103CC" w:rsidP="009103CC">
      <w:pPr>
        <w:pStyle w:val="ARheading4"/>
      </w:pPr>
      <w:r w:rsidRPr="001814D2">
        <w:t>Corporate membership</w:t>
      </w:r>
    </w:p>
    <w:p w14:paraId="3CB18231" w14:textId="77777777" w:rsidR="009103CC" w:rsidRPr="001814D2" w:rsidRDefault="009103CC" w:rsidP="009103CC">
      <w:pPr>
        <w:pStyle w:val="ARbody"/>
      </w:pPr>
      <w:r w:rsidRPr="001814D2">
        <w:t>While the corporate membership program paused event activity during the closure of the Art Gallery due to the global pandemic, once reopen, the program was able to successfully deliver benefits and special events to its extensive list of loyal corporate members. The program continued to retain long-term members, many over ten years, while welcoming new members including Archie Rose Distilling Co and Royal Freemason’s Benevolent Institution.</w:t>
      </w:r>
    </w:p>
    <w:p w14:paraId="00DC6DF7" w14:textId="77777777" w:rsidR="009103CC" w:rsidRPr="001814D2" w:rsidRDefault="009103CC" w:rsidP="009103CC">
      <w:pPr>
        <w:pStyle w:val="ARheading5"/>
      </w:pPr>
      <w:r w:rsidRPr="001814D2">
        <w:t>Membership</w:t>
      </w:r>
    </w:p>
    <w:p w14:paraId="2373603E" w14:textId="77777777" w:rsidR="009103CC" w:rsidRPr="001814D2" w:rsidRDefault="009103CC" w:rsidP="009103CC">
      <w:pPr>
        <w:pStyle w:val="Listitemasbody"/>
      </w:pPr>
      <w:r w:rsidRPr="001814D2">
        <w:t>Allen Jack + Cottier</w:t>
      </w:r>
    </w:p>
    <w:p w14:paraId="1C3FF741" w14:textId="77777777" w:rsidR="009103CC" w:rsidRPr="001814D2" w:rsidRDefault="009103CC" w:rsidP="009103CC">
      <w:pPr>
        <w:pStyle w:val="Listitemasbody"/>
      </w:pPr>
      <w:r w:rsidRPr="001814D2">
        <w:lastRenderedPageBreak/>
        <w:t>Allens</w:t>
      </w:r>
    </w:p>
    <w:p w14:paraId="5CFD3797" w14:textId="77777777" w:rsidR="009103CC" w:rsidRPr="001814D2" w:rsidRDefault="009103CC" w:rsidP="009103CC">
      <w:pPr>
        <w:pStyle w:val="Listitemasbody"/>
      </w:pPr>
      <w:r w:rsidRPr="001814D2">
        <w:t>Arab Bank Australia</w:t>
      </w:r>
    </w:p>
    <w:p w14:paraId="794A7C2C" w14:textId="77777777" w:rsidR="009103CC" w:rsidRPr="001814D2" w:rsidRDefault="009103CC" w:rsidP="009103CC">
      <w:pPr>
        <w:pStyle w:val="Listitemasbody"/>
      </w:pPr>
      <w:r w:rsidRPr="001814D2">
        <w:t>Archie Rose Distilling Co</w:t>
      </w:r>
    </w:p>
    <w:p w14:paraId="398AA41D" w14:textId="77777777" w:rsidR="009103CC" w:rsidRPr="001814D2" w:rsidRDefault="009103CC" w:rsidP="009103CC">
      <w:pPr>
        <w:pStyle w:val="Listitemasbody"/>
      </w:pPr>
      <w:r w:rsidRPr="001814D2">
        <w:t>Architectus</w:t>
      </w:r>
    </w:p>
    <w:p w14:paraId="16C6B764" w14:textId="77777777" w:rsidR="009103CC" w:rsidRPr="001814D2" w:rsidRDefault="009103CC" w:rsidP="009103CC">
      <w:pPr>
        <w:pStyle w:val="Listitemasbody"/>
      </w:pPr>
      <w:r w:rsidRPr="001814D2">
        <w:t>ARUP Pty Ltd</w:t>
      </w:r>
    </w:p>
    <w:p w14:paraId="60763C69" w14:textId="77777777" w:rsidR="009103CC" w:rsidRPr="001814D2" w:rsidRDefault="009103CC" w:rsidP="009103CC">
      <w:pPr>
        <w:pStyle w:val="Listitemasbody"/>
      </w:pPr>
      <w:r w:rsidRPr="001814D2">
        <w:t>Ashurst</w:t>
      </w:r>
    </w:p>
    <w:p w14:paraId="32F8741E" w14:textId="77777777" w:rsidR="009103CC" w:rsidRPr="001814D2" w:rsidRDefault="009103CC" w:rsidP="009103CC">
      <w:pPr>
        <w:pStyle w:val="Listitemasbody"/>
      </w:pPr>
      <w:r w:rsidRPr="001814D2">
        <w:t>ASX Limited</w:t>
      </w:r>
    </w:p>
    <w:p w14:paraId="008B72ED" w14:textId="77777777" w:rsidR="009103CC" w:rsidRPr="001814D2" w:rsidRDefault="009103CC" w:rsidP="009103CC">
      <w:pPr>
        <w:pStyle w:val="Listitemasbody"/>
      </w:pPr>
      <w:r w:rsidRPr="001814D2">
        <w:t>Bain &amp; Company</w:t>
      </w:r>
    </w:p>
    <w:p w14:paraId="00C4A147" w14:textId="77777777" w:rsidR="009103CC" w:rsidRPr="001814D2" w:rsidRDefault="009103CC" w:rsidP="009103CC">
      <w:pPr>
        <w:pStyle w:val="Listitemasbody"/>
      </w:pPr>
      <w:r w:rsidRPr="001814D2">
        <w:t>Baker McKenzie</w:t>
      </w:r>
    </w:p>
    <w:p w14:paraId="126BD699" w14:textId="77777777" w:rsidR="009103CC" w:rsidRPr="001814D2" w:rsidRDefault="009103CC" w:rsidP="009103CC">
      <w:pPr>
        <w:pStyle w:val="Listitemasbody"/>
      </w:pPr>
      <w:r w:rsidRPr="001814D2">
        <w:t>Ball &amp; Doggett</w:t>
      </w:r>
    </w:p>
    <w:p w14:paraId="4E14543A" w14:textId="77777777" w:rsidR="009103CC" w:rsidRPr="001814D2" w:rsidRDefault="009103CC" w:rsidP="009103CC">
      <w:pPr>
        <w:pStyle w:val="Listitemasbody"/>
      </w:pPr>
      <w:r w:rsidRPr="001814D2">
        <w:t>BDO</w:t>
      </w:r>
    </w:p>
    <w:p w14:paraId="7CF01FCD" w14:textId="77777777" w:rsidR="009103CC" w:rsidRPr="001814D2" w:rsidRDefault="009103CC" w:rsidP="009103CC">
      <w:pPr>
        <w:pStyle w:val="Listitemasbody"/>
      </w:pPr>
      <w:r w:rsidRPr="001814D2">
        <w:t>Carroll &amp; O’Dea Lawyers</w:t>
      </w:r>
    </w:p>
    <w:p w14:paraId="23010531" w14:textId="77777777" w:rsidR="009103CC" w:rsidRPr="001814D2" w:rsidRDefault="009103CC" w:rsidP="009103CC">
      <w:pPr>
        <w:pStyle w:val="Listitemasbody"/>
      </w:pPr>
      <w:r w:rsidRPr="001814D2">
        <w:t>Challenger</w:t>
      </w:r>
    </w:p>
    <w:p w14:paraId="7930FD3E" w14:textId="77777777" w:rsidR="009103CC" w:rsidRPr="001814D2" w:rsidRDefault="009103CC" w:rsidP="009103CC">
      <w:pPr>
        <w:pStyle w:val="Listitemasbody"/>
      </w:pPr>
      <w:r w:rsidRPr="001814D2">
        <w:t>ClearView Wealth Limited</w:t>
      </w:r>
    </w:p>
    <w:p w14:paraId="6770288F" w14:textId="77777777" w:rsidR="009103CC" w:rsidRPr="001814D2" w:rsidRDefault="009103CC" w:rsidP="009103CC">
      <w:pPr>
        <w:pStyle w:val="Listitemasbody"/>
      </w:pPr>
      <w:r w:rsidRPr="001814D2">
        <w:t>Clifford Chance</w:t>
      </w:r>
    </w:p>
    <w:p w14:paraId="54D0EBA9" w14:textId="77777777" w:rsidR="009103CC" w:rsidRPr="001814D2" w:rsidRDefault="009103CC" w:rsidP="009103CC">
      <w:pPr>
        <w:pStyle w:val="Listitemasbody"/>
      </w:pPr>
      <w:r w:rsidRPr="001814D2">
        <w:t>Copyright Agency l Viscopy</w:t>
      </w:r>
    </w:p>
    <w:p w14:paraId="6DED99F1" w14:textId="77777777" w:rsidR="009103CC" w:rsidRPr="001814D2" w:rsidRDefault="009103CC" w:rsidP="009103CC">
      <w:pPr>
        <w:pStyle w:val="Listitemasbody"/>
      </w:pPr>
      <w:r w:rsidRPr="001814D2">
        <w:t>Cox Architecture</w:t>
      </w:r>
    </w:p>
    <w:p w14:paraId="4F37B3CD" w14:textId="77777777" w:rsidR="009103CC" w:rsidRPr="001814D2" w:rsidRDefault="009103CC" w:rsidP="009103CC">
      <w:pPr>
        <w:pStyle w:val="Listitemasbody"/>
      </w:pPr>
      <w:r w:rsidRPr="001814D2">
        <w:t>Cundall</w:t>
      </w:r>
    </w:p>
    <w:p w14:paraId="26F9A60D" w14:textId="77777777" w:rsidR="009103CC" w:rsidRPr="001814D2" w:rsidRDefault="009103CC" w:rsidP="009103CC">
      <w:pPr>
        <w:pStyle w:val="Listitemasbody"/>
      </w:pPr>
      <w:r w:rsidRPr="001814D2">
        <w:t>Dentons Australia Pty Ltd</w:t>
      </w:r>
    </w:p>
    <w:p w14:paraId="52640DC0" w14:textId="77777777" w:rsidR="009103CC" w:rsidRPr="001814D2" w:rsidRDefault="009103CC" w:rsidP="009103CC">
      <w:pPr>
        <w:pStyle w:val="Listitemasbody"/>
      </w:pPr>
      <w:r w:rsidRPr="001814D2">
        <w:t>Directioneering Pty Ltd</w:t>
      </w:r>
    </w:p>
    <w:p w14:paraId="63704E19" w14:textId="77777777" w:rsidR="009103CC" w:rsidRPr="001814D2" w:rsidRDefault="009103CC" w:rsidP="009103CC">
      <w:pPr>
        <w:pStyle w:val="Listitemasbody"/>
      </w:pPr>
      <w:r w:rsidRPr="001814D2">
        <w:t>Drapac Financial</w:t>
      </w:r>
    </w:p>
    <w:p w14:paraId="6670FCA2" w14:textId="77777777" w:rsidR="009103CC" w:rsidRPr="001814D2" w:rsidRDefault="009103CC" w:rsidP="009103CC">
      <w:pPr>
        <w:pStyle w:val="Listitemasbody"/>
      </w:pPr>
      <w:r w:rsidRPr="001814D2">
        <w:t>Emirates SkyCargo</w:t>
      </w:r>
    </w:p>
    <w:p w14:paraId="1798ADBE" w14:textId="77777777" w:rsidR="009103CC" w:rsidRPr="001814D2" w:rsidRDefault="009103CC" w:rsidP="009103CC">
      <w:pPr>
        <w:pStyle w:val="Listitemasbody"/>
      </w:pPr>
      <w:r w:rsidRPr="001814D2">
        <w:t>Energy Action</w:t>
      </w:r>
    </w:p>
    <w:p w14:paraId="574E1229" w14:textId="77777777" w:rsidR="009103CC" w:rsidRPr="001814D2" w:rsidRDefault="009103CC" w:rsidP="009103CC">
      <w:pPr>
        <w:pStyle w:val="Listitemasbody"/>
      </w:pPr>
      <w:r w:rsidRPr="001814D2">
        <w:t>Energy Industries Superannuation Scheme Pty Limited</w:t>
      </w:r>
    </w:p>
    <w:p w14:paraId="691B9B50" w14:textId="77777777" w:rsidR="009103CC" w:rsidRPr="001814D2" w:rsidRDefault="009103CC" w:rsidP="009103CC">
      <w:pPr>
        <w:pStyle w:val="Listitemasbody"/>
      </w:pPr>
      <w:r w:rsidRPr="001814D2">
        <w:t>Engine</w:t>
      </w:r>
    </w:p>
    <w:p w14:paraId="632245E5" w14:textId="77777777" w:rsidR="009103CC" w:rsidRPr="001814D2" w:rsidRDefault="009103CC" w:rsidP="009103CC">
      <w:pPr>
        <w:pStyle w:val="Listitemasbody"/>
      </w:pPr>
      <w:r w:rsidRPr="001814D2">
        <w:lastRenderedPageBreak/>
        <w:t>Eric &amp; Tonia Gale</w:t>
      </w:r>
    </w:p>
    <w:p w14:paraId="34E0495E" w14:textId="77777777" w:rsidR="009103CC" w:rsidRPr="001814D2" w:rsidRDefault="009103CC" w:rsidP="009103CC">
      <w:pPr>
        <w:pStyle w:val="Listitemasbody"/>
      </w:pPr>
      <w:r w:rsidRPr="001814D2">
        <w:t>ExpertsDirect</w:t>
      </w:r>
    </w:p>
    <w:p w14:paraId="1B6B7990" w14:textId="77777777" w:rsidR="009103CC" w:rsidRPr="001814D2" w:rsidRDefault="009103CC" w:rsidP="009103CC">
      <w:pPr>
        <w:pStyle w:val="Listitemasbody"/>
      </w:pPr>
      <w:r w:rsidRPr="001814D2">
        <w:t>Faber-Castell Australia Pty Ltd</w:t>
      </w:r>
    </w:p>
    <w:p w14:paraId="052337B2" w14:textId="77777777" w:rsidR="009103CC" w:rsidRPr="001814D2" w:rsidRDefault="009103CC" w:rsidP="009103CC">
      <w:pPr>
        <w:pStyle w:val="Listitemasbody"/>
      </w:pPr>
      <w:r w:rsidRPr="001814D2">
        <w:t>FM Global</w:t>
      </w:r>
    </w:p>
    <w:p w14:paraId="331C6BDA" w14:textId="77777777" w:rsidR="009103CC" w:rsidRPr="001814D2" w:rsidRDefault="009103CC" w:rsidP="009103CC">
      <w:pPr>
        <w:pStyle w:val="Listitemasbody"/>
      </w:pPr>
      <w:r w:rsidRPr="001814D2">
        <w:t>Gilbert + Tobin</w:t>
      </w:r>
    </w:p>
    <w:p w14:paraId="646248E9" w14:textId="77777777" w:rsidR="009103CC" w:rsidRPr="001814D2" w:rsidRDefault="009103CC" w:rsidP="009103CC">
      <w:pPr>
        <w:pStyle w:val="Listitemasbody"/>
      </w:pPr>
      <w:r w:rsidRPr="001814D2">
        <w:t>Gilmore Interior Design</w:t>
      </w:r>
    </w:p>
    <w:p w14:paraId="2993EDC2" w14:textId="77777777" w:rsidR="009103CC" w:rsidRPr="001814D2" w:rsidRDefault="009103CC" w:rsidP="009103CC">
      <w:pPr>
        <w:pStyle w:val="Listitemasbody"/>
      </w:pPr>
      <w:r w:rsidRPr="001814D2">
        <w:t>Goldrick Farrell Mullan Solicitors</w:t>
      </w:r>
    </w:p>
    <w:p w14:paraId="2B150086" w14:textId="77777777" w:rsidR="009103CC" w:rsidRPr="001814D2" w:rsidRDefault="009103CC" w:rsidP="009103CC">
      <w:pPr>
        <w:pStyle w:val="Listitemasbody"/>
      </w:pPr>
      <w:r w:rsidRPr="001814D2">
        <w:t>Group GSA</w:t>
      </w:r>
    </w:p>
    <w:p w14:paraId="5FC1CE5F" w14:textId="77777777" w:rsidR="009103CC" w:rsidRPr="001814D2" w:rsidRDefault="009103CC" w:rsidP="009103CC">
      <w:pPr>
        <w:pStyle w:val="Listitemasbody"/>
      </w:pPr>
      <w:r w:rsidRPr="001814D2">
        <w:t>Holman Webb Lawyers</w:t>
      </w:r>
    </w:p>
    <w:p w14:paraId="29170D79" w14:textId="77777777" w:rsidR="009103CC" w:rsidRPr="001814D2" w:rsidRDefault="009103CC" w:rsidP="009103CC">
      <w:pPr>
        <w:pStyle w:val="Listitemasbody"/>
      </w:pPr>
      <w:r w:rsidRPr="001814D2">
        <w:t>IMB Ltd</w:t>
      </w:r>
    </w:p>
    <w:p w14:paraId="746C9134" w14:textId="77777777" w:rsidR="009103CC" w:rsidRPr="001814D2" w:rsidRDefault="009103CC" w:rsidP="009103CC">
      <w:pPr>
        <w:pStyle w:val="Listitemasbody"/>
      </w:pPr>
      <w:r w:rsidRPr="001814D2">
        <w:t>Jackson Teece Architecture</w:t>
      </w:r>
    </w:p>
    <w:p w14:paraId="040B6537" w14:textId="77777777" w:rsidR="009103CC" w:rsidRPr="001814D2" w:rsidRDefault="009103CC" w:rsidP="009103CC">
      <w:pPr>
        <w:pStyle w:val="Listitemasbody"/>
      </w:pPr>
      <w:r w:rsidRPr="001814D2">
        <w:t>John Claudianos</w:t>
      </w:r>
    </w:p>
    <w:p w14:paraId="4436A30E" w14:textId="77777777" w:rsidR="009103CC" w:rsidRPr="001814D2" w:rsidRDefault="009103CC" w:rsidP="009103CC">
      <w:pPr>
        <w:pStyle w:val="Listitemasbody"/>
      </w:pPr>
      <w:r w:rsidRPr="001814D2">
        <w:t>Liberty Specialty Markets</w:t>
      </w:r>
    </w:p>
    <w:p w14:paraId="7F1A3323" w14:textId="77777777" w:rsidR="009103CC" w:rsidRPr="001814D2" w:rsidRDefault="009103CC" w:rsidP="009103CC">
      <w:pPr>
        <w:pStyle w:val="Listitemasbody"/>
      </w:pPr>
      <w:r w:rsidRPr="001814D2">
        <w:t>macpeople</w:t>
      </w:r>
    </w:p>
    <w:p w14:paraId="2B28CADD" w14:textId="77777777" w:rsidR="009103CC" w:rsidRPr="001814D2" w:rsidRDefault="009103CC" w:rsidP="009103CC">
      <w:pPr>
        <w:pStyle w:val="Listitemasbody"/>
      </w:pPr>
      <w:r w:rsidRPr="001814D2">
        <w:t>Macquarie Telecom</w:t>
      </w:r>
    </w:p>
    <w:p w14:paraId="56FB5195" w14:textId="77777777" w:rsidR="009103CC" w:rsidRPr="001814D2" w:rsidRDefault="009103CC" w:rsidP="009103CC">
      <w:pPr>
        <w:pStyle w:val="Listitemasbody"/>
      </w:pPr>
      <w:r w:rsidRPr="001814D2">
        <w:t>McCabe Curwood</w:t>
      </w:r>
    </w:p>
    <w:p w14:paraId="02759E0B" w14:textId="77777777" w:rsidR="009103CC" w:rsidRPr="001814D2" w:rsidRDefault="009103CC" w:rsidP="009103CC">
      <w:pPr>
        <w:pStyle w:val="Listitemasbody"/>
      </w:pPr>
      <w:r w:rsidRPr="001814D2">
        <w:t>McGrathNicol</w:t>
      </w:r>
    </w:p>
    <w:p w14:paraId="753CC876" w14:textId="77777777" w:rsidR="009103CC" w:rsidRPr="001814D2" w:rsidRDefault="009103CC" w:rsidP="009103CC">
      <w:pPr>
        <w:pStyle w:val="Listitemasbody"/>
      </w:pPr>
      <w:r w:rsidRPr="001814D2">
        <w:t>Mosman Art Gallery &amp; Cultural Centre</w:t>
      </w:r>
    </w:p>
    <w:p w14:paraId="37E3471D" w14:textId="77777777" w:rsidR="009103CC" w:rsidRPr="001814D2" w:rsidRDefault="009103CC" w:rsidP="009103CC">
      <w:pPr>
        <w:pStyle w:val="Listitemasbody"/>
      </w:pPr>
      <w:r w:rsidRPr="001814D2">
        <w:t>Mundipharma Pty Ltd</w:t>
      </w:r>
    </w:p>
    <w:p w14:paraId="252BF1D6" w14:textId="77777777" w:rsidR="009103CC" w:rsidRPr="001814D2" w:rsidRDefault="009103CC" w:rsidP="009103CC">
      <w:pPr>
        <w:pStyle w:val="Listitemasbody"/>
      </w:pPr>
      <w:r w:rsidRPr="001814D2">
        <w:t>NBRSARCHITECTURE</w:t>
      </w:r>
    </w:p>
    <w:p w14:paraId="21E97177" w14:textId="77777777" w:rsidR="009103CC" w:rsidRPr="001814D2" w:rsidRDefault="009103CC" w:rsidP="009103CC">
      <w:pPr>
        <w:pStyle w:val="Listitemasbody"/>
      </w:pPr>
      <w:r w:rsidRPr="001814D2">
        <w:t>Nettleton Tribe</w:t>
      </w:r>
    </w:p>
    <w:p w14:paraId="13B2AA17" w14:textId="77777777" w:rsidR="009103CC" w:rsidRPr="001814D2" w:rsidRDefault="009103CC" w:rsidP="009103CC">
      <w:pPr>
        <w:pStyle w:val="Listitemasbody"/>
      </w:pPr>
      <w:r w:rsidRPr="001814D2">
        <w:t>Norman Disney &amp; Young</w:t>
      </w:r>
    </w:p>
    <w:p w14:paraId="4833EF40" w14:textId="77777777" w:rsidR="009103CC" w:rsidRPr="001814D2" w:rsidRDefault="009103CC" w:rsidP="009103CC">
      <w:pPr>
        <w:pStyle w:val="Listitemasbody"/>
      </w:pPr>
      <w:r w:rsidRPr="001814D2">
        <w:t>North Shore Private Hospital</w:t>
      </w:r>
    </w:p>
    <w:p w14:paraId="0B6E3B40" w14:textId="77777777" w:rsidR="009103CC" w:rsidRPr="001814D2" w:rsidRDefault="009103CC" w:rsidP="009103CC">
      <w:pPr>
        <w:pStyle w:val="Listitemasbody"/>
      </w:pPr>
      <w:r w:rsidRPr="001814D2">
        <w:t>Ole Lynggaard Copenhagen</w:t>
      </w:r>
    </w:p>
    <w:p w14:paraId="1EE3C74A" w14:textId="77777777" w:rsidR="009103CC" w:rsidRPr="001814D2" w:rsidRDefault="009103CC" w:rsidP="009103CC">
      <w:pPr>
        <w:pStyle w:val="Listitemasbody"/>
      </w:pPr>
      <w:r w:rsidRPr="001814D2">
        <w:t>Precision Group – CEO Office</w:t>
      </w:r>
    </w:p>
    <w:p w14:paraId="23612ED6" w14:textId="77777777" w:rsidR="009103CC" w:rsidRPr="001814D2" w:rsidRDefault="009103CC" w:rsidP="009103CC">
      <w:pPr>
        <w:pStyle w:val="Listitemasbody"/>
      </w:pPr>
      <w:r w:rsidRPr="001814D2">
        <w:lastRenderedPageBreak/>
        <w:t>Precision Group – CFO Office</w:t>
      </w:r>
    </w:p>
    <w:p w14:paraId="624E901F" w14:textId="77777777" w:rsidR="009103CC" w:rsidRPr="001814D2" w:rsidRDefault="009103CC" w:rsidP="009103CC">
      <w:pPr>
        <w:pStyle w:val="Listitemasbody"/>
      </w:pPr>
      <w:r w:rsidRPr="001814D2">
        <w:t>Royal Freemason’s Benevolent Institution</w:t>
      </w:r>
    </w:p>
    <w:p w14:paraId="7AFBE0EE" w14:textId="77777777" w:rsidR="009103CC" w:rsidRPr="001814D2" w:rsidRDefault="009103CC" w:rsidP="009103CC">
      <w:pPr>
        <w:pStyle w:val="Listitemasbody"/>
      </w:pPr>
      <w:r w:rsidRPr="001814D2">
        <w:t>Savills Project Management</w:t>
      </w:r>
    </w:p>
    <w:p w14:paraId="2BF10B57" w14:textId="77777777" w:rsidR="009103CC" w:rsidRPr="001814D2" w:rsidRDefault="009103CC" w:rsidP="009103CC">
      <w:pPr>
        <w:pStyle w:val="Listitemasbody"/>
      </w:pPr>
      <w:r w:rsidRPr="001814D2">
        <w:t>Scan Pacific International</w:t>
      </w:r>
    </w:p>
    <w:p w14:paraId="594CCC44" w14:textId="77777777" w:rsidR="009103CC" w:rsidRPr="001814D2" w:rsidRDefault="009103CC" w:rsidP="009103CC">
      <w:pPr>
        <w:pStyle w:val="Listitemasbody"/>
      </w:pPr>
      <w:r w:rsidRPr="001814D2">
        <w:t>Sparke Helmore Lawyers</w:t>
      </w:r>
    </w:p>
    <w:p w14:paraId="7245275D" w14:textId="77777777" w:rsidR="009103CC" w:rsidRPr="001814D2" w:rsidRDefault="009103CC" w:rsidP="009103CC">
      <w:pPr>
        <w:pStyle w:val="Listitemasbody"/>
      </w:pPr>
      <w:r w:rsidRPr="001814D2">
        <w:t>Steensen Varming</w:t>
      </w:r>
    </w:p>
    <w:p w14:paraId="620412BE" w14:textId="77777777" w:rsidR="009103CC" w:rsidRPr="001814D2" w:rsidRDefault="009103CC" w:rsidP="009103CC">
      <w:pPr>
        <w:pStyle w:val="Listitemasbody"/>
      </w:pPr>
      <w:r w:rsidRPr="001814D2">
        <w:t>Stephenson Mansell Group</w:t>
      </w:r>
    </w:p>
    <w:p w14:paraId="514FFBE2" w14:textId="77777777" w:rsidR="009103CC" w:rsidRPr="001814D2" w:rsidRDefault="009103CC" w:rsidP="009103CC">
      <w:pPr>
        <w:pStyle w:val="Listitemasbody"/>
      </w:pPr>
      <w:r w:rsidRPr="001814D2">
        <w:t>Surface Design</w:t>
      </w:r>
    </w:p>
    <w:p w14:paraId="047EE66C" w14:textId="77777777" w:rsidR="009103CC" w:rsidRPr="001814D2" w:rsidRDefault="009103CC" w:rsidP="009103CC">
      <w:pPr>
        <w:pStyle w:val="Listitemasbody"/>
      </w:pPr>
      <w:r w:rsidRPr="001814D2">
        <w:t>Taylor Thomson Whitting</w:t>
      </w:r>
    </w:p>
    <w:p w14:paraId="135A5E22" w14:textId="77777777" w:rsidR="009103CC" w:rsidRPr="001814D2" w:rsidRDefault="009103CC" w:rsidP="009103CC">
      <w:pPr>
        <w:pStyle w:val="Listitemasbody"/>
      </w:pPr>
      <w:r w:rsidRPr="001814D2">
        <w:t>Teece Hodgson &amp; Ward</w:t>
      </w:r>
    </w:p>
    <w:p w14:paraId="0CD9E7DE" w14:textId="77777777" w:rsidR="009103CC" w:rsidRPr="001814D2" w:rsidRDefault="009103CC" w:rsidP="009103CC">
      <w:pPr>
        <w:pStyle w:val="Listitemasbody"/>
      </w:pPr>
      <w:r w:rsidRPr="001814D2">
        <w:t xml:space="preserve">Wood &amp; Grieve Engineers </w:t>
      </w:r>
    </w:p>
    <w:p w14:paraId="1EA0D4E4" w14:textId="77777777" w:rsidR="009103CC" w:rsidRPr="001814D2" w:rsidRDefault="009103CC" w:rsidP="009103CC">
      <w:pPr>
        <w:pStyle w:val="Listitemasbody"/>
      </w:pPr>
      <w:r w:rsidRPr="001814D2">
        <w:t>Woven Image</w:t>
      </w:r>
    </w:p>
    <w:p w14:paraId="1B13ECDF" w14:textId="77777777" w:rsidR="009103CC" w:rsidRPr="001814D2" w:rsidRDefault="009103CC" w:rsidP="009103CC">
      <w:pPr>
        <w:pStyle w:val="ARheading4"/>
      </w:pPr>
      <w:r w:rsidRPr="001814D2">
        <w:t>The Luxury Syndicate</w:t>
      </w:r>
    </w:p>
    <w:p w14:paraId="6672E9C5" w14:textId="77777777" w:rsidR="009103CC" w:rsidRPr="001814D2" w:rsidRDefault="009103CC" w:rsidP="009103CC">
      <w:pPr>
        <w:pStyle w:val="ARbody"/>
      </w:pPr>
      <w:r w:rsidRPr="001814D2">
        <w:t>Membership of The Luxury Syndicate offers prestige brands an exclusive opportunity to promote the true spirit of their brand while demonstrating their commitment to the arts and cultural sector. The Luxury Syndicate supports a wide range of Art Gallery initiatives from the development of exhibitions to conservation, emerging artists and permanent collections. This year, The Luxury Syndicate was proud to support the conservation of the four bronze relief panels on the facade, as well as the equestrian sculptures at the front of the Art Gallery.</w:t>
      </w:r>
    </w:p>
    <w:p w14:paraId="617F24B3" w14:textId="77777777" w:rsidR="009103CC" w:rsidRPr="001814D2" w:rsidRDefault="009103CC" w:rsidP="009103CC">
      <w:pPr>
        <w:pStyle w:val="ARheading5"/>
      </w:pPr>
      <w:r w:rsidRPr="001814D2">
        <w:t>Membership</w:t>
      </w:r>
    </w:p>
    <w:p w14:paraId="65AFC3B6" w14:textId="77777777" w:rsidR="009103CC" w:rsidRPr="001814D2" w:rsidRDefault="009103CC" w:rsidP="009103CC">
      <w:pPr>
        <w:pStyle w:val="Listitemasbody"/>
      </w:pPr>
      <w:r w:rsidRPr="001814D2">
        <w:t xml:space="preserve">Autosports Group </w:t>
      </w:r>
    </w:p>
    <w:p w14:paraId="22F41168" w14:textId="77777777" w:rsidR="009103CC" w:rsidRPr="001814D2" w:rsidRDefault="009103CC" w:rsidP="009103CC">
      <w:pPr>
        <w:pStyle w:val="Listitemasbody"/>
      </w:pPr>
      <w:r w:rsidRPr="001814D2">
        <w:t>CEO Magazine</w:t>
      </w:r>
    </w:p>
    <w:p w14:paraId="084C9907" w14:textId="77777777" w:rsidR="009103CC" w:rsidRPr="001814D2" w:rsidRDefault="009103CC" w:rsidP="009103CC">
      <w:pPr>
        <w:pStyle w:val="Listitemasbody"/>
      </w:pPr>
      <w:r w:rsidRPr="001814D2">
        <w:t>Equity Trustees</w:t>
      </w:r>
    </w:p>
    <w:p w14:paraId="7D9757A3" w14:textId="77777777" w:rsidR="009103CC" w:rsidRPr="001814D2" w:rsidRDefault="009103CC" w:rsidP="009103CC">
      <w:pPr>
        <w:pStyle w:val="Listitemasbody"/>
      </w:pPr>
      <w:r w:rsidRPr="001814D2">
        <w:t>Frasers Hospitality</w:t>
      </w:r>
    </w:p>
    <w:p w14:paraId="320A0DF7" w14:textId="77777777" w:rsidR="009103CC" w:rsidRPr="001814D2" w:rsidRDefault="009103CC" w:rsidP="009103CC">
      <w:pPr>
        <w:pStyle w:val="Listitemasbody"/>
      </w:pPr>
      <w:r w:rsidRPr="001814D2">
        <w:t>Frasers Property</w:t>
      </w:r>
    </w:p>
    <w:p w14:paraId="46C6790C" w14:textId="77777777" w:rsidR="009103CC" w:rsidRPr="001814D2" w:rsidRDefault="009103CC" w:rsidP="009103CC">
      <w:pPr>
        <w:pStyle w:val="Listitemasbody"/>
      </w:pPr>
      <w:r w:rsidRPr="001814D2">
        <w:t>Glenfiddich</w:t>
      </w:r>
    </w:p>
    <w:p w14:paraId="471EA3AA" w14:textId="77777777" w:rsidR="009103CC" w:rsidRPr="001814D2" w:rsidRDefault="009103CC" w:rsidP="009103CC">
      <w:pPr>
        <w:pStyle w:val="Listitemasbody"/>
      </w:pPr>
      <w:r w:rsidRPr="001814D2">
        <w:lastRenderedPageBreak/>
        <w:t>Hendrick’s Gin</w:t>
      </w:r>
    </w:p>
    <w:p w14:paraId="7D799695" w14:textId="77777777" w:rsidR="009103CC" w:rsidRPr="001814D2" w:rsidRDefault="009103CC" w:rsidP="009103CC">
      <w:pPr>
        <w:pStyle w:val="Listitemasbody"/>
      </w:pPr>
      <w:r w:rsidRPr="001814D2">
        <w:t>Kennedy Luxury Group</w:t>
      </w:r>
    </w:p>
    <w:p w14:paraId="3C92CC90" w14:textId="77777777" w:rsidR="009103CC" w:rsidRPr="001814D2" w:rsidRDefault="009103CC" w:rsidP="009103CC">
      <w:pPr>
        <w:pStyle w:val="Listitemasbody"/>
      </w:pPr>
      <w:r w:rsidRPr="001814D2">
        <w:t>La Prairie Group</w:t>
      </w:r>
    </w:p>
    <w:p w14:paraId="66BE82A8" w14:textId="77777777" w:rsidR="009103CC" w:rsidRPr="001814D2" w:rsidRDefault="009103CC" w:rsidP="009103CC">
      <w:pPr>
        <w:pStyle w:val="Listitemasbody"/>
      </w:pPr>
      <w:r w:rsidRPr="001814D2">
        <w:t>Ocean Alliance</w:t>
      </w:r>
    </w:p>
    <w:p w14:paraId="35A758C6" w14:textId="77777777" w:rsidR="009103CC" w:rsidRPr="001814D2" w:rsidRDefault="009103CC" w:rsidP="009103CC">
      <w:pPr>
        <w:pStyle w:val="Listitemasbody"/>
      </w:pPr>
      <w:r w:rsidRPr="001814D2">
        <w:t>Waterford</w:t>
      </w:r>
    </w:p>
    <w:p w14:paraId="7005736D" w14:textId="77777777" w:rsidR="009103CC" w:rsidRPr="001814D2" w:rsidRDefault="009103CC" w:rsidP="009103CC">
      <w:pPr>
        <w:pStyle w:val="Listitemasbody"/>
      </w:pPr>
      <w:r w:rsidRPr="001814D2">
        <w:t>Wedgwood</w:t>
      </w:r>
    </w:p>
    <w:p w14:paraId="1C2A1216" w14:textId="77777777" w:rsidR="009103CC" w:rsidRPr="001814D2" w:rsidRDefault="009103CC" w:rsidP="009103CC">
      <w:pPr>
        <w:pStyle w:val="Listitemasbody"/>
      </w:pPr>
      <w:r w:rsidRPr="001814D2">
        <w:t>Westpac Private Bank</w:t>
      </w:r>
    </w:p>
    <w:p w14:paraId="1504A8A4" w14:textId="77777777" w:rsidR="009103CC" w:rsidRPr="001814D2" w:rsidRDefault="009103CC" w:rsidP="009103CC">
      <w:pPr>
        <w:pStyle w:val="Listitemasbody"/>
      </w:pPr>
      <w:r w:rsidRPr="001814D2">
        <w:t>Ytd.</w:t>
      </w:r>
    </w:p>
    <w:p w14:paraId="6EC65C77" w14:textId="77777777" w:rsidR="009103CC" w:rsidRPr="00933FC4" w:rsidRDefault="009103CC" w:rsidP="009103CC">
      <w:pPr>
        <w:pStyle w:val="ARheading4"/>
      </w:pPr>
      <w:r w:rsidRPr="00933FC4">
        <w:t>Fearless</w:t>
      </w:r>
    </w:p>
    <w:p w14:paraId="4AD6269C" w14:textId="77777777" w:rsidR="009103CC" w:rsidRPr="001814D2" w:rsidRDefault="009103CC" w:rsidP="009103CC">
      <w:pPr>
        <w:pStyle w:val="ARbody"/>
      </w:pPr>
      <w:r w:rsidRPr="001814D2">
        <w:t xml:space="preserve">Fearless provides a forum for business development at the Art Gallery for women. The annual calendar of events, which explore the Art Gallery’s exhibitions through a female lens, enables women to engage in personal and professional development opportunities, and to connect with a network of senior business leaders across industries. </w:t>
      </w:r>
    </w:p>
    <w:p w14:paraId="1493FF5F" w14:textId="77777777" w:rsidR="009103CC" w:rsidRPr="001814D2" w:rsidRDefault="009103CC" w:rsidP="009103CC">
      <w:pPr>
        <w:pStyle w:val="ARbody"/>
      </w:pPr>
      <w:r w:rsidRPr="001814D2">
        <w:t xml:space="preserve">Funds raised through the Fearless program support women-focused conservation projects and programs at the Art Gallery. This year, Fearless proudly supported the digitisation of artist Pat Larter’s works, which contributed to the first solo exhibition in a public art museum of her work: </w:t>
      </w:r>
      <w:r w:rsidRPr="001814D2">
        <w:rPr>
          <w:i/>
          <w:iCs/>
        </w:rPr>
        <w:t>Pat Larter: Get Arted</w:t>
      </w:r>
      <w:r w:rsidRPr="001814D2">
        <w:t xml:space="preserve">. </w:t>
      </w:r>
    </w:p>
    <w:p w14:paraId="0CB8AB0B" w14:textId="77777777" w:rsidR="009103CC" w:rsidRPr="001814D2" w:rsidRDefault="009103CC" w:rsidP="009103CC">
      <w:pPr>
        <w:pStyle w:val="ARheading5"/>
      </w:pPr>
      <w:r w:rsidRPr="001814D2">
        <w:t>Business members</w:t>
      </w:r>
    </w:p>
    <w:p w14:paraId="23867C12" w14:textId="77777777" w:rsidR="009103CC" w:rsidRPr="001814D2" w:rsidRDefault="009103CC" w:rsidP="009103CC">
      <w:pPr>
        <w:pStyle w:val="Listitemasbody"/>
      </w:pPr>
      <w:r w:rsidRPr="001814D2">
        <w:t xml:space="preserve">Archie Rose Distillery Co </w:t>
      </w:r>
    </w:p>
    <w:p w14:paraId="7952856B" w14:textId="77777777" w:rsidR="009103CC" w:rsidRPr="001814D2" w:rsidRDefault="009103CC" w:rsidP="009103CC">
      <w:pPr>
        <w:pStyle w:val="Listitemasbody"/>
      </w:pPr>
      <w:r w:rsidRPr="001814D2">
        <w:t>Include-Empower.com</w:t>
      </w:r>
    </w:p>
    <w:p w14:paraId="6DD553A1" w14:textId="77777777" w:rsidR="009103CC" w:rsidRPr="001814D2" w:rsidRDefault="009103CC" w:rsidP="009103CC">
      <w:pPr>
        <w:pStyle w:val="Listitemasbody"/>
      </w:pPr>
      <w:r w:rsidRPr="001814D2">
        <w:t>Nanda\Hobbs</w:t>
      </w:r>
    </w:p>
    <w:p w14:paraId="2BF627C6" w14:textId="77777777" w:rsidR="009103CC" w:rsidRPr="001814D2" w:rsidRDefault="009103CC" w:rsidP="009103CC">
      <w:pPr>
        <w:pStyle w:val="Listitemasbody"/>
      </w:pPr>
      <w:r w:rsidRPr="001814D2">
        <w:t>Westpac Private Bank</w:t>
      </w:r>
    </w:p>
    <w:p w14:paraId="1D609A25" w14:textId="77777777" w:rsidR="009103CC" w:rsidRPr="001814D2" w:rsidRDefault="009103CC" w:rsidP="009103CC">
      <w:pPr>
        <w:pStyle w:val="ARheading3"/>
      </w:pPr>
      <w:r w:rsidRPr="001814D2">
        <w:t>Philanthropy</w:t>
      </w:r>
    </w:p>
    <w:p w14:paraId="1E062E4C" w14:textId="77777777" w:rsidR="009103CC" w:rsidRPr="001814D2" w:rsidRDefault="009103CC" w:rsidP="009103CC">
      <w:pPr>
        <w:pStyle w:val="ARheading4"/>
      </w:pPr>
      <w:r w:rsidRPr="001814D2">
        <w:t>Art Gallery of New South Wales Foundation acquisition program</w:t>
      </w:r>
    </w:p>
    <w:p w14:paraId="6E2ADD91" w14:textId="77777777" w:rsidR="009103CC" w:rsidRPr="001814D2" w:rsidRDefault="009103CC" w:rsidP="009103CC">
      <w:pPr>
        <w:pStyle w:val="ARbody"/>
      </w:pPr>
      <w:r w:rsidRPr="001814D2">
        <w:t xml:space="preserve">The Art Gallery of New South Wales Foundation continues to raise funds to support the Art Gallery’s acquisition program. Its policy is to invest its capital and use the income to purchase works of art for the Art Gallery’s permanent collection. </w:t>
      </w:r>
    </w:p>
    <w:p w14:paraId="7D82FA35" w14:textId="77777777" w:rsidR="009103CC" w:rsidRPr="001814D2" w:rsidRDefault="009103CC" w:rsidP="009103CC">
      <w:pPr>
        <w:pStyle w:val="ARbody"/>
      </w:pPr>
      <w:r w:rsidRPr="001814D2">
        <w:t xml:space="preserve">The Foundation has over $65 million in funds under investment. With the income from these </w:t>
      </w:r>
      <w:r w:rsidRPr="001814D2">
        <w:lastRenderedPageBreak/>
        <w:t>investments, the Foundation has acquired over forty-five major works for the collection since it was established in 1983. Most of these works were funded exclusively from Foundation income; however, in recent years with the price of the major Art Gallery acquisitions being in the many millions, funding is often a combination of Foundation and other sources, such as bequest funds and targeted fundraising.</w:t>
      </w:r>
    </w:p>
    <w:p w14:paraId="24C5D13F" w14:textId="77777777" w:rsidR="009103CC" w:rsidRPr="00E67D84" w:rsidRDefault="009103CC" w:rsidP="009103CC">
      <w:pPr>
        <w:pStyle w:val="ARbody"/>
      </w:pPr>
      <w:r w:rsidRPr="001814D2">
        <w:t xml:space="preserve">The Foundation publishes its bi-annual newsletters and e-newsletters, which contain details of recent acquisitions, arts-based activities and events, a listing of new patrons and a financial summary. Copies are also available on the Art Gallery’s website: </w:t>
      </w:r>
      <w:r w:rsidRPr="00E67D84">
        <w:t xml:space="preserve">artgallery.nsw.gov.au/about-us/corporate-information/annual-reports/foundation </w:t>
      </w:r>
    </w:p>
    <w:p w14:paraId="53F91974" w14:textId="77777777" w:rsidR="009103CC" w:rsidRPr="001814D2" w:rsidRDefault="009103CC" w:rsidP="009103CC">
      <w:pPr>
        <w:pStyle w:val="ARheading4"/>
      </w:pPr>
      <w:r w:rsidRPr="001814D2">
        <w:t xml:space="preserve">Art Gallery of New South Wales Foundation Board of Trustees 2020–21 </w:t>
      </w:r>
    </w:p>
    <w:p w14:paraId="1652607E" w14:textId="77777777" w:rsidR="009103CC" w:rsidRPr="001814D2" w:rsidRDefault="009103CC" w:rsidP="009103CC">
      <w:pPr>
        <w:pStyle w:val="Listitemasbody"/>
      </w:pPr>
      <w:r w:rsidRPr="001814D2">
        <w:t>Kiera Grant (chair)</w:t>
      </w:r>
    </w:p>
    <w:p w14:paraId="714C8415" w14:textId="77777777" w:rsidR="009103CC" w:rsidRPr="001814D2" w:rsidRDefault="009103CC" w:rsidP="009103CC">
      <w:pPr>
        <w:pStyle w:val="Listitemasbody"/>
      </w:pPr>
      <w:r w:rsidRPr="001814D2">
        <w:t>Julien Playoust (deputy chair)</w:t>
      </w:r>
    </w:p>
    <w:p w14:paraId="1F741051" w14:textId="77777777" w:rsidR="009103CC" w:rsidRPr="001814D2" w:rsidRDefault="009103CC" w:rsidP="009103CC">
      <w:pPr>
        <w:pStyle w:val="Listitemasbody"/>
      </w:pPr>
      <w:r w:rsidRPr="001814D2">
        <w:t>Clare Ainsworth Herschell</w:t>
      </w:r>
    </w:p>
    <w:p w14:paraId="42A2C27A" w14:textId="77777777" w:rsidR="009103CC" w:rsidRPr="001814D2" w:rsidRDefault="009103CC" w:rsidP="009103CC">
      <w:pPr>
        <w:pStyle w:val="Listitemasbody"/>
      </w:pPr>
      <w:r w:rsidRPr="001814D2">
        <w:t>Peter Braithwaite</w:t>
      </w:r>
    </w:p>
    <w:p w14:paraId="790B8DFF" w14:textId="77777777" w:rsidR="009103CC" w:rsidRPr="001814D2" w:rsidRDefault="009103CC" w:rsidP="009103CC">
      <w:pPr>
        <w:pStyle w:val="Listitemasbody"/>
      </w:pPr>
      <w:r w:rsidRPr="001814D2">
        <w:t>Justin Butterworth</w:t>
      </w:r>
    </w:p>
    <w:p w14:paraId="4B535B02" w14:textId="77777777" w:rsidR="009103CC" w:rsidRPr="001814D2" w:rsidRDefault="009103CC" w:rsidP="009103CC">
      <w:pPr>
        <w:pStyle w:val="Listitemasbody"/>
      </w:pPr>
      <w:r w:rsidRPr="001814D2">
        <w:t>Lisa Chung AM</w:t>
      </w:r>
    </w:p>
    <w:p w14:paraId="57D740CE" w14:textId="77777777" w:rsidR="009103CC" w:rsidRPr="001814D2" w:rsidRDefault="009103CC" w:rsidP="009103CC">
      <w:pPr>
        <w:pStyle w:val="Listitemasbody"/>
      </w:pPr>
      <w:r w:rsidRPr="001814D2">
        <w:t>Bella Church</w:t>
      </w:r>
    </w:p>
    <w:p w14:paraId="77DDF9F2" w14:textId="77777777" w:rsidR="009103CC" w:rsidRPr="001814D2" w:rsidRDefault="009103CC" w:rsidP="009103CC">
      <w:pPr>
        <w:pStyle w:val="Listitemasbody"/>
      </w:pPr>
      <w:r w:rsidRPr="001814D2">
        <w:t>Brian Greenacre</w:t>
      </w:r>
    </w:p>
    <w:p w14:paraId="19CAB453" w14:textId="77777777" w:rsidR="009103CC" w:rsidRPr="001814D2" w:rsidRDefault="009103CC" w:rsidP="009103CC">
      <w:pPr>
        <w:pStyle w:val="Listitemasbody"/>
      </w:pPr>
      <w:r w:rsidRPr="001814D2">
        <w:t>Mark Hughes</w:t>
      </w:r>
    </w:p>
    <w:p w14:paraId="10748DED" w14:textId="77777777" w:rsidR="009103CC" w:rsidRPr="001814D2" w:rsidRDefault="009103CC" w:rsidP="009103CC">
      <w:pPr>
        <w:pStyle w:val="Listitemasbody"/>
      </w:pPr>
      <w:r w:rsidRPr="001814D2">
        <w:t>David Maloney AM</w:t>
      </w:r>
    </w:p>
    <w:p w14:paraId="6275724C" w14:textId="77777777" w:rsidR="009103CC" w:rsidRPr="001814D2" w:rsidRDefault="009103CC" w:rsidP="009103CC">
      <w:pPr>
        <w:pStyle w:val="Listitemasbody"/>
      </w:pPr>
      <w:r w:rsidRPr="001814D2">
        <w:t>Robyn Martin-Weber</w:t>
      </w:r>
    </w:p>
    <w:p w14:paraId="4EAEA619" w14:textId="77777777" w:rsidR="009103CC" w:rsidRPr="001814D2" w:rsidRDefault="009103CC" w:rsidP="009103CC">
      <w:pPr>
        <w:pStyle w:val="Listitemasbody"/>
      </w:pPr>
      <w:r w:rsidRPr="001814D2">
        <w:t>Lawrence Myers</w:t>
      </w:r>
    </w:p>
    <w:p w14:paraId="1D26FAC8" w14:textId="77777777" w:rsidR="009103CC" w:rsidRPr="001814D2" w:rsidRDefault="009103CC" w:rsidP="009103CC">
      <w:pPr>
        <w:pStyle w:val="Listitemasbody"/>
      </w:pPr>
      <w:r w:rsidRPr="001814D2">
        <w:t>Clinton Ng</w:t>
      </w:r>
    </w:p>
    <w:p w14:paraId="7B6F7B22" w14:textId="77777777" w:rsidR="009103CC" w:rsidRPr="001814D2" w:rsidRDefault="009103CC" w:rsidP="009103CC">
      <w:pPr>
        <w:pStyle w:val="Listitemasbody"/>
      </w:pPr>
      <w:r w:rsidRPr="001814D2">
        <w:t>Alenka Tindale</w:t>
      </w:r>
    </w:p>
    <w:p w14:paraId="7ED3B531" w14:textId="77777777" w:rsidR="009103CC" w:rsidRPr="001814D2" w:rsidRDefault="009103CC" w:rsidP="009103CC">
      <w:pPr>
        <w:pStyle w:val="Listitemasbody"/>
      </w:pPr>
      <w:r w:rsidRPr="001814D2">
        <w:t>Peggy Yeoh</w:t>
      </w:r>
    </w:p>
    <w:p w14:paraId="1ADB2418" w14:textId="77777777" w:rsidR="009103CC" w:rsidRPr="001814D2" w:rsidRDefault="009103CC" w:rsidP="009103CC">
      <w:pPr>
        <w:pStyle w:val="Listitemasbody"/>
      </w:pPr>
      <w:r w:rsidRPr="001814D2">
        <w:t>Hakan Harman (secretary)</w:t>
      </w:r>
    </w:p>
    <w:p w14:paraId="640479F8" w14:textId="77777777" w:rsidR="009103CC" w:rsidRPr="001814D2" w:rsidRDefault="009103CC" w:rsidP="009103CC">
      <w:pPr>
        <w:pStyle w:val="ARheading4"/>
      </w:pPr>
      <w:r w:rsidRPr="001814D2">
        <w:lastRenderedPageBreak/>
        <w:t>Collection benefactors and other support groups</w:t>
      </w:r>
    </w:p>
    <w:p w14:paraId="1AC8035A" w14:textId="77777777" w:rsidR="009103CC" w:rsidRPr="001814D2" w:rsidRDefault="009103CC" w:rsidP="009103CC">
      <w:pPr>
        <w:pStyle w:val="ARbody"/>
      </w:pPr>
      <w:r w:rsidRPr="001814D2">
        <w:t>The Art Gallery has many targeted support groups which raise funds either for a key collection area or for special projects. Patrons of all groups who pledge a minimum commitment of $1800 per year for four years are deemed to be patrons of the Foundation and are entitled to have their names listed on the Foundation’s honour board for the duration of their support or as otherwise agreed. From 2016, $300 of every $1800 donation is directed to the Foundation’s endowment fund and the balance of $1500 is directed to the donor’s area of choice.</w:t>
      </w:r>
    </w:p>
    <w:p w14:paraId="06354886" w14:textId="77777777" w:rsidR="009103CC" w:rsidRPr="001814D2" w:rsidRDefault="009103CC" w:rsidP="009103CC">
      <w:pPr>
        <w:pStyle w:val="ARbody"/>
      </w:pPr>
      <w:r w:rsidRPr="001814D2">
        <w:t xml:space="preserve">Examples of works acquired in whole or in part with collection benefactor groups’ funds last year include: </w:t>
      </w:r>
    </w:p>
    <w:p w14:paraId="452BF254" w14:textId="77777777" w:rsidR="009103CC" w:rsidRPr="001814D2" w:rsidRDefault="009103CC" w:rsidP="009103CC">
      <w:pPr>
        <w:pStyle w:val="ARlistparagraph"/>
      </w:pPr>
      <w:r w:rsidRPr="00C10DB3">
        <w:rPr>
          <w:b/>
          <w:bCs/>
        </w:rPr>
        <w:t>Aboriginal Art Collection Benefactors</w:t>
      </w:r>
      <w:r>
        <w:t xml:space="preserve"> </w:t>
      </w:r>
      <w:r w:rsidRPr="001814D2">
        <w:t xml:space="preserve">Kaylene Whiskey </w:t>
      </w:r>
      <w:r w:rsidRPr="001814D2">
        <w:rPr>
          <w:i/>
          <w:iCs/>
        </w:rPr>
        <w:t>Dolly visits Indulkana</w:t>
      </w:r>
      <w:r w:rsidRPr="001814D2">
        <w:t xml:space="preserve"> 2020; (with Atelier) Betty Muffler and Maringka Burton </w:t>
      </w:r>
      <w:r w:rsidRPr="001814D2">
        <w:rPr>
          <w:i/>
          <w:iCs/>
        </w:rPr>
        <w:t>Ngangkari Ngura (Healing Country)</w:t>
      </w:r>
      <w:r w:rsidRPr="001814D2">
        <w:t xml:space="preserve"> 2020</w:t>
      </w:r>
    </w:p>
    <w:p w14:paraId="41FC5C74" w14:textId="77777777" w:rsidR="009103CC" w:rsidRPr="001814D2" w:rsidRDefault="009103CC" w:rsidP="009103CC">
      <w:pPr>
        <w:pStyle w:val="ARlistparagraph"/>
      </w:pPr>
      <w:r w:rsidRPr="00C10DB3">
        <w:rPr>
          <w:b/>
          <w:bCs/>
        </w:rPr>
        <w:t>Contemporary Collection Benefactors</w:t>
      </w:r>
      <w:r>
        <w:t xml:space="preserve"> </w:t>
      </w:r>
      <w:r w:rsidRPr="001814D2">
        <w:t xml:space="preserve">Hoda Afshar </w:t>
      </w:r>
      <w:r w:rsidRPr="001814D2">
        <w:rPr>
          <w:i/>
          <w:iCs/>
        </w:rPr>
        <w:t>Remain</w:t>
      </w:r>
      <w:r w:rsidRPr="001814D2">
        <w:t xml:space="preserve"> 2018; Khadim Ali </w:t>
      </w:r>
      <w:r w:rsidRPr="001814D2">
        <w:rPr>
          <w:i/>
          <w:iCs/>
        </w:rPr>
        <w:t xml:space="preserve">Untitled </w:t>
      </w:r>
      <w:r w:rsidRPr="001814D2">
        <w:t>from the</w:t>
      </w:r>
      <w:r w:rsidRPr="001814D2">
        <w:rPr>
          <w:i/>
          <w:iCs/>
        </w:rPr>
        <w:t xml:space="preserve"> </w:t>
      </w:r>
      <w:r w:rsidRPr="001814D2">
        <w:t>series</w:t>
      </w:r>
      <w:r w:rsidRPr="001814D2">
        <w:rPr>
          <w:i/>
          <w:iCs/>
        </w:rPr>
        <w:t xml:space="preserve"> Flowers of evil</w:t>
      </w:r>
      <w:r w:rsidRPr="001814D2">
        <w:t xml:space="preserve"> 2019; Elizabeth Pulie, three paintings: </w:t>
      </w:r>
      <w:r w:rsidRPr="001814D2">
        <w:rPr>
          <w:i/>
          <w:iCs/>
        </w:rPr>
        <w:t xml:space="preserve">FOURTEEN </w:t>
      </w:r>
      <w:r w:rsidRPr="001814D2">
        <w:t xml:space="preserve">1990; </w:t>
      </w:r>
      <w:r w:rsidRPr="001814D2">
        <w:rPr>
          <w:i/>
          <w:iCs/>
        </w:rPr>
        <w:t>#37</w:t>
      </w:r>
      <w:r w:rsidRPr="001814D2">
        <w:t xml:space="preserve"> </w:t>
      </w:r>
      <w:r w:rsidRPr="001814D2">
        <w:rPr>
          <w:i/>
          <w:iCs/>
        </w:rPr>
        <w:t xml:space="preserve">(The female form II) </w:t>
      </w:r>
      <w:r w:rsidRPr="001814D2">
        <w:t xml:space="preserve">2013; </w:t>
      </w:r>
      <w:r w:rsidRPr="001814D2">
        <w:rPr>
          <w:i/>
          <w:iCs/>
        </w:rPr>
        <w:t>#83</w:t>
      </w:r>
      <w:r w:rsidRPr="001814D2">
        <w:t xml:space="preserve"> </w:t>
      </w:r>
      <w:r w:rsidRPr="001814D2">
        <w:rPr>
          <w:i/>
          <w:iCs/>
        </w:rPr>
        <w:t xml:space="preserve">(Towards the vanishing point of art) </w:t>
      </w:r>
      <w:r w:rsidRPr="001814D2">
        <w:t xml:space="preserve">2018; Shireen Taweel </w:t>
      </w:r>
      <w:r w:rsidRPr="001814D2">
        <w:rPr>
          <w:i/>
          <w:iCs/>
        </w:rPr>
        <w:t>tracing transcendence</w:t>
      </w:r>
      <w:r w:rsidRPr="001814D2">
        <w:t xml:space="preserve"> 2018–21; Lindy Lee </w:t>
      </w:r>
      <w:r w:rsidRPr="001814D2">
        <w:rPr>
          <w:i/>
          <w:iCs/>
        </w:rPr>
        <w:t>True Ch’ien</w:t>
      </w:r>
      <w:r w:rsidRPr="001814D2">
        <w:t xml:space="preserve"> 2018</w:t>
      </w:r>
    </w:p>
    <w:p w14:paraId="0973A31D" w14:textId="77777777" w:rsidR="009103CC" w:rsidRPr="001814D2" w:rsidRDefault="009103CC" w:rsidP="009103CC">
      <w:pPr>
        <w:pStyle w:val="ARlistparagraph"/>
      </w:pPr>
      <w:r w:rsidRPr="00C10DB3">
        <w:rPr>
          <w:b/>
          <w:bCs/>
        </w:rPr>
        <w:t>Photography Collection Benefactors</w:t>
      </w:r>
      <w:r>
        <w:t xml:space="preserve"> </w:t>
      </w:r>
      <w:r w:rsidRPr="001814D2">
        <w:t xml:space="preserve">Cherine Fahd </w:t>
      </w:r>
      <w:r w:rsidRPr="001814D2">
        <w:rPr>
          <w:i/>
          <w:iCs/>
        </w:rPr>
        <w:t>Apókryphos</w:t>
      </w:r>
      <w:r w:rsidRPr="001814D2">
        <w:t xml:space="preserve"> 2018–19; Helen Grace</w:t>
      </w:r>
      <w:r w:rsidRPr="001814D2">
        <w:rPr>
          <w:i/>
          <w:iCs/>
        </w:rPr>
        <w:t xml:space="preserve"> And awe was all that we could feel</w:t>
      </w:r>
      <w:r w:rsidRPr="001814D2">
        <w:t xml:space="preserve"> 1978–80, printed 2020; Atong Atem </w:t>
      </w:r>
      <w:r w:rsidRPr="001814D2">
        <w:rPr>
          <w:i/>
          <w:iCs/>
        </w:rPr>
        <w:t>Sahara</w:t>
      </w:r>
      <w:r w:rsidRPr="001814D2">
        <w:t xml:space="preserve">, </w:t>
      </w:r>
      <w:r w:rsidRPr="001814D2">
        <w:rPr>
          <w:i/>
          <w:iCs/>
        </w:rPr>
        <w:t>Dijok</w:t>
      </w:r>
      <w:r w:rsidRPr="001814D2">
        <w:t xml:space="preserve"> and </w:t>
      </w:r>
      <w:r w:rsidRPr="001814D2">
        <w:rPr>
          <w:i/>
          <w:iCs/>
        </w:rPr>
        <w:t>Saba and Gabby</w:t>
      </w:r>
      <w:r w:rsidRPr="001814D2">
        <w:t xml:space="preserve"> from the series </w:t>
      </w:r>
      <w:r w:rsidRPr="001814D2">
        <w:rPr>
          <w:i/>
          <w:iCs/>
        </w:rPr>
        <w:t>To be real</w:t>
      </w:r>
      <w:r w:rsidRPr="001814D2">
        <w:t xml:space="preserve"> 2020</w:t>
      </w:r>
    </w:p>
    <w:p w14:paraId="34454243" w14:textId="77777777" w:rsidR="009103CC" w:rsidRPr="001814D2" w:rsidRDefault="009103CC" w:rsidP="009103CC">
      <w:pPr>
        <w:pStyle w:val="ARbody"/>
      </w:pPr>
      <w:r w:rsidRPr="001814D2">
        <w:t xml:space="preserve">In addition to works funded by the collection benefactor groups, each year generous individuals fund or donate specific works. This year, Mark Hughes funded </w:t>
      </w:r>
      <w:r w:rsidRPr="001814D2">
        <w:rPr>
          <w:i/>
          <w:iCs/>
        </w:rPr>
        <w:t>Radiator</w:t>
      </w:r>
      <w:r w:rsidRPr="001814D2">
        <w:t xml:space="preserve"> 2021 by American abstract artist Matt Connors; the Best family donated </w:t>
      </w:r>
      <w:r w:rsidRPr="001814D2">
        <w:rPr>
          <w:i/>
          <w:iCs/>
        </w:rPr>
        <w:t>The Dormition of the Virgin</w:t>
      </w:r>
      <w:r w:rsidRPr="001814D2">
        <w:t xml:space="preserve"> 1947 by Justin O’Brien in memory of Marion Hall Best and her daughter Deirdre Broughton; the Joy and Harold Marchant Foundation donated works by Korean photographer Koo Bohnchang and some contemporary paintings by contemporary ink artist Li Jin; and The Russell Mills Foundation has funded Carrie Mae Weems </w:t>
      </w:r>
      <w:r w:rsidRPr="001814D2">
        <w:rPr>
          <w:i/>
          <w:iCs/>
        </w:rPr>
        <w:t xml:space="preserve">Untitled (playing harmonica) </w:t>
      </w:r>
      <w:r w:rsidRPr="001814D2">
        <w:t>1990–99, gelatin silver photograph.</w:t>
      </w:r>
    </w:p>
    <w:p w14:paraId="600BDD0E" w14:textId="77777777" w:rsidR="009103CC" w:rsidRPr="001814D2" w:rsidRDefault="009103CC" w:rsidP="009103CC">
      <w:pPr>
        <w:pStyle w:val="ARheading4"/>
      </w:pPr>
      <w:r w:rsidRPr="001814D2">
        <w:t>Atelier</w:t>
      </w:r>
    </w:p>
    <w:p w14:paraId="422C3E53" w14:textId="77777777" w:rsidR="009103CC" w:rsidRPr="001814D2" w:rsidRDefault="009103CC" w:rsidP="009103CC">
      <w:pPr>
        <w:pStyle w:val="ARbody"/>
      </w:pPr>
      <w:r w:rsidRPr="001814D2">
        <w:t xml:space="preserve">Atelier represents the next generation of benefaction at the Art Gallery, playing a vital role in supporting the Foundation and the Sydney Modern Project’s transformation of the Art Gallery into an inspiring twenty-first-century space for generations to come. Atelier’s support contributes to the commissioning and acquisition of new artwork for the collection as well as investment in public programs, artist grants, exhibitions and community outreach projects. </w:t>
      </w:r>
    </w:p>
    <w:p w14:paraId="365FC0A2" w14:textId="77777777" w:rsidR="009103CC" w:rsidRPr="001814D2" w:rsidRDefault="009103CC" w:rsidP="009103CC">
      <w:pPr>
        <w:pStyle w:val="ARbody"/>
      </w:pPr>
      <w:r w:rsidRPr="001814D2">
        <w:t>Throughout 2020–21, the Atelier cohort continued to grow despite the challenges of COVID-</w:t>
      </w:r>
      <w:r w:rsidRPr="001814D2">
        <w:lastRenderedPageBreak/>
        <w:t xml:space="preserve">19. Six years after setting the original ‘100 next-generation supporters’ target, membership stands at 170, including nine patrons who have moved to a leadership level of giving as Atelier Luminaries. </w:t>
      </w:r>
    </w:p>
    <w:p w14:paraId="126DCF76" w14:textId="77777777" w:rsidR="009103CC" w:rsidRPr="001814D2" w:rsidRDefault="009103CC" w:rsidP="009103CC">
      <w:pPr>
        <w:pStyle w:val="ARbody"/>
      </w:pPr>
      <w:r w:rsidRPr="001814D2">
        <w:t>Atelier’s partnerships and collaborations in 2020–21 included Veterinarians for Climate Action, Sydney Women’s Fund, Legs On The Wall and Arts Matters.</w:t>
      </w:r>
    </w:p>
    <w:p w14:paraId="19BC95B8" w14:textId="77777777" w:rsidR="009103CC" w:rsidRPr="001814D2" w:rsidRDefault="009103CC" w:rsidP="009103CC">
      <w:pPr>
        <w:pStyle w:val="ARbody"/>
      </w:pPr>
      <w:r w:rsidRPr="001814D2">
        <w:t xml:space="preserve">During 2020–21, Atelier directed funds to support </w:t>
      </w:r>
      <w:r w:rsidRPr="001814D2">
        <w:rPr>
          <w:i/>
          <w:iCs/>
        </w:rPr>
        <w:t>The National 2021: New Australian Art</w:t>
      </w:r>
      <w:r w:rsidRPr="001814D2">
        <w:t xml:space="preserve"> as major philanthropy partner. Funding supported First Nations representation within the exhibition, enabling the making of new work and resourcing the production of two short films documenting the practices of artists Maringka Burton, Betty Muffler and Alik Tipoti. Together with the Aboriginal Art Collection Benefactors, Atelier also directed funding to acquire the Betty Muffler and Maringka Burton collaborative paintings </w:t>
      </w:r>
      <w:r w:rsidRPr="001814D2">
        <w:rPr>
          <w:i/>
          <w:iCs/>
        </w:rPr>
        <w:t xml:space="preserve">Ngangkari Ngura (Healing Country) </w:t>
      </w:r>
      <w:r w:rsidRPr="001814D2">
        <w:t xml:space="preserve">2020 for the collection. </w:t>
      </w:r>
    </w:p>
    <w:p w14:paraId="72C881FE" w14:textId="77777777" w:rsidR="009103CC" w:rsidRPr="001814D2" w:rsidRDefault="009103CC" w:rsidP="009103CC">
      <w:pPr>
        <w:pStyle w:val="ARbody"/>
      </w:pPr>
      <w:r w:rsidRPr="001814D2">
        <w:t xml:space="preserve">In 2020–21, Ben Quilty and Tony Albert made space for the expansion of Atelier’s artist leadership cohort, with three new Atelier artist ambassadors – Angela Tiatia, Ramesh Mario Nithiyendran and Thea Anamara Perkins – joining existing ambassador Agatha Gothe-Snape. </w:t>
      </w:r>
    </w:p>
    <w:p w14:paraId="112FD86D" w14:textId="77777777" w:rsidR="009103CC" w:rsidRPr="001814D2" w:rsidRDefault="009103CC" w:rsidP="009103CC">
      <w:pPr>
        <w:pStyle w:val="ARbody"/>
      </w:pPr>
      <w:r w:rsidRPr="001814D2">
        <w:t>Atelier sponsorship partner Crestone Wealth Management continues to provide valued support, and a new sponsorship partnership has been secured with Oroton for the next three years.</w:t>
      </w:r>
    </w:p>
    <w:p w14:paraId="738E777B" w14:textId="77777777" w:rsidR="009103CC" w:rsidRPr="001814D2" w:rsidRDefault="009103CC" w:rsidP="009103CC">
      <w:pPr>
        <w:pStyle w:val="ARbody"/>
      </w:pPr>
      <w:r w:rsidRPr="001814D2">
        <w:t xml:space="preserve">Official artist leadership patrons: Agatha Gothe-Snape, Ramesh Mario Nithiyendran, Thea Anamara Perkins and Angela Tiatia </w:t>
      </w:r>
    </w:p>
    <w:p w14:paraId="3B8A9821" w14:textId="77777777" w:rsidR="009103CC" w:rsidRPr="001814D2" w:rsidRDefault="009103CC" w:rsidP="009103CC">
      <w:pPr>
        <w:pStyle w:val="ARbody"/>
      </w:pPr>
      <w:r w:rsidRPr="001814D2">
        <w:t>Official Atelier curator: Nicholas Chambers</w:t>
      </w:r>
    </w:p>
    <w:p w14:paraId="4EFAF9F0" w14:textId="77777777" w:rsidR="009103CC" w:rsidRPr="001814D2" w:rsidRDefault="009103CC" w:rsidP="009103CC">
      <w:pPr>
        <w:pStyle w:val="ARbody"/>
      </w:pPr>
      <w:r w:rsidRPr="001814D2">
        <w:t>Sponsorship partner: Crestone Wealth Management</w:t>
      </w:r>
    </w:p>
    <w:p w14:paraId="0D533EC3" w14:textId="77777777" w:rsidR="009103CC" w:rsidRPr="001814D2" w:rsidRDefault="009103CC" w:rsidP="009103CC">
      <w:pPr>
        <w:pStyle w:val="ARheading4"/>
      </w:pPr>
      <w:r w:rsidRPr="001814D2">
        <w:t xml:space="preserve">Art Gallery projects </w:t>
      </w:r>
    </w:p>
    <w:p w14:paraId="4D9B78C2" w14:textId="77777777" w:rsidR="009103CC" w:rsidRPr="001814D2" w:rsidRDefault="009103CC" w:rsidP="009103CC">
      <w:pPr>
        <w:pStyle w:val="ARbody"/>
      </w:pPr>
      <w:r w:rsidRPr="001814D2">
        <w:t>In addition to acquisitions, benefaction and grants have enabled the Art Gallery to support many projects, including Art and Dementia, an arts engagement program for people living with dementia and their carers. Long-time Art Gallery patron Tracy Griff made a substantial donation to establish an endowment fund to support the health and access programs at the Art Gallery.</w:t>
      </w:r>
    </w:p>
    <w:p w14:paraId="607493F9" w14:textId="77777777" w:rsidR="009103CC" w:rsidRPr="001814D2" w:rsidRDefault="009103CC" w:rsidP="009103CC">
      <w:pPr>
        <w:pStyle w:val="ARbody"/>
      </w:pPr>
      <w:r w:rsidRPr="001814D2">
        <w:t xml:space="preserve">The Conservation Department received generous private funding from the Pohl Foundation, The Howarth Foundation and Mrs Sally White OAM for several projects involving conserving both paintings and their frames. </w:t>
      </w:r>
    </w:p>
    <w:p w14:paraId="735DAE11" w14:textId="77777777" w:rsidR="009103CC" w:rsidRPr="001814D2" w:rsidRDefault="009103CC" w:rsidP="009103CC">
      <w:pPr>
        <w:pStyle w:val="ARheading4"/>
      </w:pPr>
      <w:r w:rsidRPr="001814D2">
        <w:lastRenderedPageBreak/>
        <w:t>Bequests</w:t>
      </w:r>
    </w:p>
    <w:p w14:paraId="6BEBB09E" w14:textId="77777777" w:rsidR="009103CC" w:rsidRPr="001814D2" w:rsidRDefault="009103CC" w:rsidP="009103CC">
      <w:pPr>
        <w:pStyle w:val="ARbody"/>
      </w:pPr>
      <w:r w:rsidRPr="001814D2">
        <w:t xml:space="preserve">The Neville Holmes Grace Exhibition Endowment Fund established last year from Mr Grace’s bequest of over $14.5 million supported the </w:t>
      </w:r>
      <w:r w:rsidRPr="001814D2">
        <w:rPr>
          <w:i/>
          <w:iCs/>
        </w:rPr>
        <w:t>Streeton</w:t>
      </w:r>
      <w:r w:rsidRPr="001814D2">
        <w:t xml:space="preserve"> exhibition in 2020 and </w:t>
      </w:r>
      <w:r w:rsidRPr="001814D2">
        <w:rPr>
          <w:i/>
          <w:iCs/>
        </w:rPr>
        <w:t>Hilma af Klint: The Secret Paintings</w:t>
      </w:r>
      <w:r w:rsidRPr="001814D2">
        <w:t xml:space="preserve"> in 2021. The Peter and Pam Binnie Bequest funded an Indian miniature attributed to the seventeenth-century artist Devidasa.</w:t>
      </w:r>
    </w:p>
    <w:p w14:paraId="4BE393B6" w14:textId="77777777" w:rsidR="009103CC" w:rsidRPr="001814D2" w:rsidRDefault="009103CC" w:rsidP="009103CC">
      <w:pPr>
        <w:pStyle w:val="ARheading5"/>
      </w:pPr>
      <w:r w:rsidRPr="001814D2">
        <w:t>Recognition</w:t>
      </w:r>
    </w:p>
    <w:p w14:paraId="74A67FC3" w14:textId="77777777" w:rsidR="009103CC" w:rsidRPr="001814D2" w:rsidRDefault="009103CC" w:rsidP="009103CC">
      <w:pPr>
        <w:pStyle w:val="ARbody"/>
      </w:pPr>
      <w:r w:rsidRPr="001814D2">
        <w:t>Donors of both artworks and cash, and supporters who have pledged a bequest to the Art Gallery or to the Foundation, are generally offered acknowledgement through membership of the Foundation and are invited to have their names included on the Foundation’s honour board in a category and for a length of time commensurate with their gift. They are also invited to Foundation events. Donations to the Art Gallery and the Foundation are tax-deductible.</w:t>
      </w:r>
    </w:p>
    <w:p w14:paraId="32804318" w14:textId="77777777" w:rsidR="009103CC" w:rsidRPr="001814D2" w:rsidRDefault="009103CC" w:rsidP="009103CC">
      <w:pPr>
        <w:pStyle w:val="ARheading4"/>
      </w:pPr>
      <w:r w:rsidRPr="001814D2">
        <w:t>Life governors</w:t>
      </w:r>
    </w:p>
    <w:p w14:paraId="7D9AAEE1" w14:textId="77777777" w:rsidR="009103CC" w:rsidRPr="001814D2" w:rsidRDefault="009103CC" w:rsidP="009103CC">
      <w:pPr>
        <w:pStyle w:val="ARbody"/>
      </w:pPr>
      <w:r w:rsidRPr="001814D2">
        <w:t>As at 30 June 2021, the Art Gallery has acknowledged the significant support of the following individuals by appointing them life governors:</w:t>
      </w:r>
    </w:p>
    <w:p w14:paraId="3233F2AA" w14:textId="77777777" w:rsidR="009103CC" w:rsidRPr="001814D2" w:rsidRDefault="009103CC" w:rsidP="009103CC">
      <w:pPr>
        <w:pStyle w:val="Listitemasbody"/>
      </w:pPr>
      <w:r w:rsidRPr="001814D2">
        <w:t>Franco Belgiorno-Nettis AC CBE; Guido Belgiorno-Nettis AM; Joseph Brender AO; Jillian Broadbent AO; Edmund Capon AM OBE; Rowena Danziger AM; Ken Cowley AO; James Fairfax AC; Anne Flanagan; Brian France AM; James Gleeson AO and Frank O’Keefe; Michael Gleeson-White AO; David Gonski AC; Mollie Gowing; Shosuke Idemitsu; Richard Johnson AO MBE; John Kaldor AO; James Leslie AC MC; Frank Lowy AC; Steven Lowy AM; John Morschel; Rupert Murdoch AC; Kenneth Myer AC DSC; J Hepburn Myrtle CBE; Margaret Olley AC; John Olsen AO OBE; Max Sandow AM; John Schaeffer AO and Julie Schaeffer; Edward Sternberg AM and Goldie Sternberg; Fred Street AM; Diana Walder OAM; Peter Weiss AO; Neville Wran AC QC; John Yu AC.</w:t>
      </w:r>
    </w:p>
    <w:p w14:paraId="0DF1203A" w14:textId="77777777" w:rsidR="009103CC" w:rsidRPr="001814D2" w:rsidRDefault="009103CC" w:rsidP="009103CC">
      <w:pPr>
        <w:pStyle w:val="ARheading4"/>
      </w:pPr>
      <w:r w:rsidRPr="001814D2">
        <w:t>Foundation patrons</w:t>
      </w:r>
    </w:p>
    <w:p w14:paraId="766E1AF2" w14:textId="77777777" w:rsidR="009103CC" w:rsidRPr="001814D2" w:rsidRDefault="009103CC" w:rsidP="009103CC">
      <w:pPr>
        <w:pStyle w:val="ARbody"/>
      </w:pPr>
      <w:r w:rsidRPr="001814D2">
        <w:t>The Art Gallery has acknowledged major gifts and bequests of both works and money (including pledged bequests) through membership of its Foundation. The two highest levels of Foundation membership, 30 June 2021, are listed below.</w:t>
      </w:r>
    </w:p>
    <w:p w14:paraId="790CB9DC" w14:textId="77777777" w:rsidR="009103CC" w:rsidRPr="001814D2" w:rsidRDefault="009103CC" w:rsidP="009103CC">
      <w:pPr>
        <w:pStyle w:val="ARheading5"/>
      </w:pPr>
      <w:r w:rsidRPr="001814D2">
        <w:t>Life benefactors</w:t>
      </w:r>
    </w:p>
    <w:p w14:paraId="7843282D" w14:textId="77777777" w:rsidR="009103CC" w:rsidRPr="001814D2" w:rsidRDefault="009103CC" w:rsidP="009103CC">
      <w:pPr>
        <w:pStyle w:val="Listitemasbody"/>
      </w:pPr>
      <w:r w:rsidRPr="001814D2">
        <w:t xml:space="preserve">James Agapitos OAM and Ray Wilson OAM; Len Ainsworth AM; Geoff Ainsworth AM and Johanna Featherstone; Aqualand group; Art Gallery Society of NSW; Belgiorno-Nettis Family; Ken Coles AM and Rowena Danziger AM; Crown Resorts Foundation; John Fairlie Cuningham; James Fairfax AC; James Gleeson AO and Frank O’Keefe; Mollie and Jim </w:t>
      </w:r>
      <w:r w:rsidRPr="001814D2">
        <w:lastRenderedPageBreak/>
        <w:t>Gowing; Neville H Grace; Mary Heseltine; Mervyn Horton; John Kaldor Family; Lee Family; The Lowy Family; Yvonne Buchanan May and Hugh Buchanan May; The Neilson Foundation; Mark and Louise Nelson; Margaret Olley AC; Packer Family Foundation; Gretel Packer AM; Kenneth R Reed AM; John Schaeffer AO and Bettina Dalton; Sir William Dobell Art Foundation; Charles and Denyse Spice; Mary Eugene Tancred; Isaac Wakil AO and Susan Wakil AO; SHW and EM Watson; Peter Weiss AO; Beryl Whiteley OAM.</w:t>
      </w:r>
    </w:p>
    <w:p w14:paraId="43693EE8" w14:textId="77777777" w:rsidR="009103CC" w:rsidRPr="001814D2" w:rsidRDefault="009103CC" w:rsidP="009103CC">
      <w:pPr>
        <w:pStyle w:val="ARheading5"/>
      </w:pPr>
      <w:r w:rsidRPr="001814D2">
        <w:t>Gold benefactors</w:t>
      </w:r>
    </w:p>
    <w:p w14:paraId="379F2E29" w14:textId="77777777" w:rsidR="009103CC" w:rsidRPr="001814D2" w:rsidRDefault="009103CC" w:rsidP="009103CC">
      <w:pPr>
        <w:pStyle w:val="Listitemasbody"/>
      </w:pPr>
      <w:r w:rsidRPr="001814D2">
        <w:t>Mark Ainsworth and Family; Paul and Valeria Ainsworth; Anita and Luca Belgiorno-Nettis Foundation; David Baffsky AO and Helen Baffsky; Jim Bain AM and Janette Bain; The Balnaves Foundation; Guido Belgiorno-Nettis AM and Michelle Belgiorno-Nettis; Luca Belgiorno-Nettis AM and Anita Belgiorno-Nettis AM; Mr and Mrs PL Binnie; Mary-Jane Brodribb; Andrew Cameron AM and Cathy Cameron; Dr Janet Carr; Susan Chandler; Patrick Corrigan AM; Ian Darling AO and Min Darling; Charles Philip de Carle; Shay and Gil Docking OAM; Nancy and Mollie Douglas; The Douglass Family; John Anthony (Tony) Gilbert; David Gonski AC and Orli Wargon OAM; The Grant Family in memory of Inge Grant; Ginny and Leslie Green; John Grill AO and Rosie Williams on behalf of The Serpentine Foundation; Dr Elizabeth Hazel; Tom and Barbara Humphreys; Gary and Kerry-Anne Johnston; Nancy and Terry Lee; Elizabeth and Walter Lewin; The Medich Foundation; Nelson Meers Foundation; Catriona Mordant AM and Prof. Cav. Simon Mordant AO; Nelson Meers Foundation; Vicki Olsson; Paradice Family Foundation; Hamish Parker; Roger Pietri; The Pridham Foundation; Bee and Bill Pulver; Alan and Jancis Rees; Ruth Ritchie Family Fund; Andrew and Andrea Roberts; Susan and Garry Rothwell; Pierre and HF Ryckmans; Anna and Morry Schwartz AM; Penelope Seidler AM; Dr Gene Sherman AM and Brian Sherman AM; John Symond AM; Mark Thompson and Kerry Comerford; Barbara Tribe; Will and Jane Vicars; Lang Walker AO and Sue Walker; Frank Watters OAM; Wendy Whiteley OAM; Lyn Williams AM; David George Wilson; Craig and Charanjit Young-Anand; Margarita Zaneff.</w:t>
      </w:r>
    </w:p>
    <w:p w14:paraId="70BAB99A" w14:textId="77777777" w:rsidR="009103CC" w:rsidRPr="001814D2" w:rsidRDefault="009103CC" w:rsidP="009103CC">
      <w:pPr>
        <w:pStyle w:val="ARheading4"/>
      </w:pPr>
      <w:r w:rsidRPr="001814D2">
        <w:t xml:space="preserve">Art Gallery of New South Wales Campaign </w:t>
      </w:r>
    </w:p>
    <w:p w14:paraId="466F3990" w14:textId="77777777" w:rsidR="009103CC" w:rsidRPr="001814D2" w:rsidRDefault="009103CC" w:rsidP="009103CC">
      <w:pPr>
        <w:pStyle w:val="ARbody"/>
      </w:pPr>
      <w:r w:rsidRPr="001814D2">
        <w:t>The Art Gallery’s expansion and transformation continues to attract generous philanthropic support, as we move towards the opening of the Sydney Modern Project in late 2022. After raising more than $100 million to support the construction of the new building, the campaign is now focused on activating key features of the new building, the revitalisation of the much-loved existing building, site-specific art commissions and art acquisitions for the new expanded Art Gallery, and learning and participation programs.</w:t>
      </w:r>
    </w:p>
    <w:p w14:paraId="34002374" w14:textId="77777777" w:rsidR="009103CC" w:rsidRPr="001814D2" w:rsidRDefault="009103CC" w:rsidP="009103CC">
      <w:pPr>
        <w:pStyle w:val="ARbody"/>
      </w:pPr>
      <w:r w:rsidRPr="001814D2">
        <w:t xml:space="preserve">The Art Gallery pays tribute, as always, to the Susan and Isaac Wakil Foundation for its extraordinary commitment of $24 million towards the Sydney Modern Project. Gifts by the Ainsworth Family, Aqualand and the Lee Family of $10 million and above, and commitments </w:t>
      </w:r>
      <w:r w:rsidRPr="001814D2">
        <w:lastRenderedPageBreak/>
        <w:t>of $5 million and above from each of the Lowy Family, the Neilson Foundation, Mark and Louise Nelson, the Oranges and Sardines Foundation and Gretel Packer AM have been integral to the success of the campaign so far. The generosity of these key donors and the part they have played in the campaign’s outstanding achievement cannot be overstated.</w:t>
      </w:r>
    </w:p>
    <w:p w14:paraId="045CE054" w14:textId="77777777" w:rsidR="009103CC" w:rsidRPr="001814D2" w:rsidRDefault="009103CC" w:rsidP="009103CC">
      <w:pPr>
        <w:pStyle w:val="ARbody"/>
      </w:pPr>
      <w:r w:rsidRPr="001814D2">
        <w:t xml:space="preserve">To the Art Gallery’s leadership donors of $1.5 million and over, we are immensely grateful: Mark Ainsworth and Family; Valeria and Paul Ainsworth; the Guido Belgiorno-Nettis AM Family; John Grill AO and Rosie Williams; The Medich Foundation; Nelson Meers Foundation; Paradice Family Foundation; Dr Gene Sherman AM and Brian Sherman AM; and an anonymous donor. In addition, the Art Gallery thanks the founding donors who have each pledged $1 million: David Baffsky AO and Helen Baffsky; Anita Belgiorno-Nettis AM and Luca Belgiorno-Nettis AM; Andrew Cameron AM and Cathy Cameron; Ian Darling AO and Min Darling; The Hon Ashley Dawson Damer AM; The Douglass Family; David Gonski AC and Orli Wargon OAM; The Grant Family, in memory of Inge Grant; Ginny and Leslie Green; Gary and Kerry-Anne Johnston; Elizabeth and Walter Lewin; Andrew and Paula Liveris; Catriona Mordant AM and Simon Mordant AO; Hamish Parker; The Pridham Foundation; Bee and Bill Pulver; Ruth Ritchie Family Fund; Andrew and Andrea Roberts; Rothwell Family Foundation; Penelope Seidler AM; Charles and Denyse Spice; John and Amber Symond; Will and Jane Vicars; and Lang Walker AO and Sue Walker. </w:t>
      </w:r>
    </w:p>
    <w:p w14:paraId="7A16990E" w14:textId="77777777" w:rsidR="009103CC" w:rsidRPr="001814D2" w:rsidRDefault="009103CC" w:rsidP="009103CC">
      <w:pPr>
        <w:pStyle w:val="ARbody"/>
      </w:pPr>
      <w:r w:rsidRPr="001814D2">
        <w:t xml:space="preserve">Major donors to the campaign now include David Khedoori and Family; Joy Levis; The Lippman Family; TLE Electrical; Tee Peng Tay and Family; Turnbull Foundation; and Jillian Segal AO and John Roth. Visionary donors now include: Russell and Lucinda Aboud; the Ainsworth Herschell Family; Hayley and James Baillie; Ellen Borda; Jillian Broadbent AC; Bella and Tim Church; The Clitheroe Foundation; Patrick Corrigan AM; Judy Crawford; Rowena Danziger AM and Ken Coles AM; Jane and Richard Freudenstein; Chris and Judy Fullerton; Kerry Gardner AM and Andrew Myer AM; Maurice Green AM and Christina Green; Robert and Lindy Henderson; Sally Herman; Peter Ivany AM and Sharon Ivany; Ann and Warwick Johnson; Simon Johnson and David Nichols; James Kirby and Clare Wivell Plater; John Leece AM and Anne Leece; Amanda and Andrew Love; Justin Miller AM; Edwin Mok and Rina Mok; The Quick Family; Edward and Anne Simpson; Allan and Helen Stacey; Colin Tate AM and Matthew Fatches; Georgie and Alastair Taylor; Victoria Taylor; Alenka Tindale; Mark Wakely in memory of Steven Alward; Barbara Wilby and Christopher Joyce; Ray Wilson OAM, in memory of James Agapitos OAM; Bing Wu; the Carla Zampatti Foundation; and an anonymous donor. </w:t>
      </w:r>
    </w:p>
    <w:p w14:paraId="4FFAA42C" w14:textId="77777777" w:rsidR="009103CC" w:rsidRPr="001814D2" w:rsidRDefault="009103CC" w:rsidP="009103CC">
      <w:pPr>
        <w:pStyle w:val="ARbody"/>
      </w:pPr>
      <w:r w:rsidRPr="001814D2">
        <w:t>A great number of other donors have joined the campaign to support the expansion and revitalisation of the institution. The Art Gallery is extremely grateful to them all, and continues to welcome gifts across all of these areas, at any level.</w:t>
      </w:r>
    </w:p>
    <w:p w14:paraId="5D791003" w14:textId="77777777" w:rsidR="009103CC" w:rsidRPr="001814D2" w:rsidRDefault="009103CC" w:rsidP="009103CC">
      <w:pPr>
        <w:pStyle w:val="ARheading4"/>
      </w:pPr>
      <w:r w:rsidRPr="001814D2">
        <w:lastRenderedPageBreak/>
        <w:t>VisAsia Council</w:t>
      </w:r>
    </w:p>
    <w:p w14:paraId="08682FBD" w14:textId="77777777" w:rsidR="009103CC" w:rsidRPr="001814D2" w:rsidRDefault="009103CC" w:rsidP="009103CC">
      <w:pPr>
        <w:pStyle w:val="ARbody"/>
      </w:pPr>
      <w:r w:rsidRPr="001814D2">
        <w:t xml:space="preserve">VisAsia, the Australian Institute of Asian Culture and Visual Arts, was established in 1999. Managed by a board of directors, it includes the VisAsia Council and individual VisAsia membership. </w:t>
      </w:r>
    </w:p>
    <w:p w14:paraId="1FFC27AD" w14:textId="77777777" w:rsidR="009103CC" w:rsidRPr="001814D2" w:rsidRDefault="009103CC" w:rsidP="009103CC">
      <w:pPr>
        <w:pStyle w:val="ARbody"/>
      </w:pPr>
      <w:r w:rsidRPr="001814D2">
        <w:t xml:space="preserve">VisAsia Council provides company executives with a personal association with the Art Gallery of New South Wales while assisting the Art Gallery’s commitment to promoting and cultivating a better understanding and enjoyment of Asian art and culture. Funds raised through membership are devoted exclusively to the sponsorship of Asian exhibitions, publications and education programs. </w:t>
      </w:r>
    </w:p>
    <w:p w14:paraId="278ACC4D" w14:textId="77777777" w:rsidR="009103CC" w:rsidRPr="001814D2" w:rsidRDefault="009103CC" w:rsidP="009103CC">
      <w:pPr>
        <w:pStyle w:val="ARbody"/>
      </w:pPr>
      <w:r w:rsidRPr="001814D2">
        <w:t xml:space="preserve">Chairman: Geoff Raby AO </w:t>
      </w:r>
    </w:p>
    <w:p w14:paraId="12CC5F25" w14:textId="77777777" w:rsidR="009103CC" w:rsidRPr="001814D2" w:rsidRDefault="009103CC" w:rsidP="009103CC">
      <w:pPr>
        <w:pStyle w:val="ARheading5"/>
      </w:pPr>
      <w:r w:rsidRPr="001814D2">
        <w:t>Membership</w:t>
      </w:r>
    </w:p>
    <w:p w14:paraId="456AD89F" w14:textId="77777777" w:rsidR="009103CC" w:rsidRPr="001814D2" w:rsidRDefault="009103CC" w:rsidP="009103CC">
      <w:pPr>
        <w:pStyle w:val="Listitemasbody"/>
      </w:pPr>
      <w:r w:rsidRPr="001814D2">
        <w:t>Wendy Mao – Australian Swan Vintage</w:t>
      </w:r>
    </w:p>
    <w:p w14:paraId="2F051EDC" w14:textId="77777777" w:rsidR="009103CC" w:rsidRPr="001814D2" w:rsidRDefault="009103CC" w:rsidP="009103CC">
      <w:pPr>
        <w:pStyle w:val="Listitemasbody"/>
      </w:pPr>
      <w:r w:rsidRPr="001814D2">
        <w:t xml:space="preserve">Monika Tu – Black Diamondz Group </w:t>
      </w:r>
    </w:p>
    <w:p w14:paraId="727DA241" w14:textId="77777777" w:rsidR="009103CC" w:rsidRPr="001814D2" w:rsidRDefault="009103CC" w:rsidP="009103CC">
      <w:pPr>
        <w:pStyle w:val="Listitemasbody"/>
      </w:pPr>
      <w:r w:rsidRPr="001814D2">
        <w:t xml:space="preserve">Ryan Gollan – Hurun Report Australia </w:t>
      </w:r>
    </w:p>
    <w:p w14:paraId="58C68AA1" w14:textId="77777777" w:rsidR="009103CC" w:rsidRPr="001814D2" w:rsidRDefault="009103CC" w:rsidP="009103CC">
      <w:pPr>
        <w:pStyle w:val="Listitemasbody"/>
      </w:pPr>
      <w:r w:rsidRPr="001814D2">
        <w:t>Kimberley Holden</w:t>
      </w:r>
    </w:p>
    <w:p w14:paraId="53C1156F" w14:textId="77777777" w:rsidR="009103CC" w:rsidRPr="001814D2" w:rsidRDefault="009103CC" w:rsidP="009103CC">
      <w:pPr>
        <w:pStyle w:val="Listitemasbody"/>
      </w:pPr>
      <w:r w:rsidRPr="001814D2">
        <w:t xml:space="preserve">Seng Huang Lee – Mulpha Australia </w:t>
      </w:r>
    </w:p>
    <w:p w14:paraId="31602016" w14:textId="77777777" w:rsidR="009103CC" w:rsidRPr="001814D2" w:rsidRDefault="009103CC" w:rsidP="009103CC">
      <w:pPr>
        <w:pStyle w:val="Listitemasbody"/>
      </w:pPr>
      <w:r w:rsidRPr="001814D2">
        <w:t xml:space="preserve">Warwick Johnson – Optimal Fund Management </w:t>
      </w:r>
    </w:p>
    <w:p w14:paraId="4FBBC0E3" w14:textId="77777777" w:rsidR="009103CC" w:rsidRPr="001814D2" w:rsidRDefault="009103CC" w:rsidP="009103CC">
      <w:pPr>
        <w:pStyle w:val="Listitemasbody"/>
      </w:pPr>
      <w:r w:rsidRPr="001814D2">
        <w:t xml:space="preserve">Michael Sternberg – Valiant Hire </w:t>
      </w:r>
    </w:p>
    <w:p w14:paraId="70E39695" w14:textId="77777777" w:rsidR="009103CC" w:rsidRPr="001814D2" w:rsidRDefault="009103CC" w:rsidP="009103CC">
      <w:pPr>
        <w:pStyle w:val="ARheading5"/>
      </w:pPr>
      <w:r w:rsidRPr="001814D2">
        <w:t xml:space="preserve">VisAsia Board of Directors 2020–21 </w:t>
      </w:r>
    </w:p>
    <w:p w14:paraId="6614D554" w14:textId="77777777" w:rsidR="009103CC" w:rsidRPr="001814D2" w:rsidRDefault="009103CC" w:rsidP="009103CC">
      <w:pPr>
        <w:pStyle w:val="Listitemasbody"/>
      </w:pPr>
      <w:r w:rsidRPr="001814D2">
        <w:t>Geoff Raby (chair)</w:t>
      </w:r>
    </w:p>
    <w:p w14:paraId="4848D374" w14:textId="77777777" w:rsidR="009103CC" w:rsidRPr="001814D2" w:rsidRDefault="009103CC" w:rsidP="009103CC">
      <w:pPr>
        <w:pStyle w:val="Listitemasbody"/>
      </w:pPr>
      <w:r w:rsidRPr="001814D2">
        <w:t>Simon Chan</w:t>
      </w:r>
    </w:p>
    <w:p w14:paraId="2CE4DE1C" w14:textId="77777777" w:rsidR="009103CC" w:rsidRPr="001814D2" w:rsidRDefault="009103CC" w:rsidP="009103CC">
      <w:pPr>
        <w:pStyle w:val="Listitemasbody"/>
      </w:pPr>
      <w:r w:rsidRPr="001814D2">
        <w:t>Peyvand Firouzeh (appointed May 2020)</w:t>
      </w:r>
    </w:p>
    <w:p w14:paraId="6329B143" w14:textId="77777777" w:rsidR="009103CC" w:rsidRPr="001814D2" w:rsidRDefault="009103CC" w:rsidP="009103CC">
      <w:pPr>
        <w:pStyle w:val="Listitemasbody"/>
      </w:pPr>
      <w:r w:rsidRPr="001814D2">
        <w:t>Kimberley Holden</w:t>
      </w:r>
    </w:p>
    <w:p w14:paraId="5182300E" w14:textId="77777777" w:rsidR="009103CC" w:rsidRPr="001814D2" w:rsidRDefault="009103CC" w:rsidP="009103CC">
      <w:pPr>
        <w:pStyle w:val="Listitemasbody"/>
      </w:pPr>
      <w:r w:rsidRPr="001814D2">
        <w:t>Sunil Lal (appointed May 2020)</w:t>
      </w:r>
    </w:p>
    <w:p w14:paraId="0A7A6554" w14:textId="77777777" w:rsidR="009103CC" w:rsidRPr="001814D2" w:rsidRDefault="009103CC" w:rsidP="009103CC">
      <w:pPr>
        <w:pStyle w:val="Listitemasbody"/>
      </w:pPr>
      <w:r w:rsidRPr="001814D2">
        <w:t xml:space="preserve">Linna Le Boursicot </w:t>
      </w:r>
    </w:p>
    <w:p w14:paraId="148DEBA2" w14:textId="77777777" w:rsidR="009103CC" w:rsidRPr="001814D2" w:rsidRDefault="009103CC" w:rsidP="009103CC">
      <w:pPr>
        <w:pStyle w:val="Listitemasbody"/>
      </w:pPr>
      <w:r w:rsidRPr="001814D2">
        <w:t>Ann Proctor</w:t>
      </w:r>
    </w:p>
    <w:p w14:paraId="23956E76" w14:textId="77777777" w:rsidR="009103CC" w:rsidRPr="001814D2" w:rsidRDefault="009103CC" w:rsidP="009103CC">
      <w:pPr>
        <w:pStyle w:val="Tabletext"/>
      </w:pPr>
    </w:p>
    <w:p w14:paraId="36BB58B8" w14:textId="77777777" w:rsidR="009103CC" w:rsidRPr="001814D2" w:rsidRDefault="009103CC" w:rsidP="009103CC">
      <w:pPr>
        <w:pStyle w:val="ARheading4"/>
      </w:pPr>
      <w:r w:rsidRPr="001814D2">
        <w:lastRenderedPageBreak/>
        <w:t>Grants</w:t>
      </w:r>
    </w:p>
    <w:p w14:paraId="4C4758FE" w14:textId="77777777" w:rsidR="009103CC" w:rsidRPr="001814D2" w:rsidRDefault="009103CC" w:rsidP="009103CC">
      <w:pPr>
        <w:pStyle w:val="ARbody"/>
      </w:pPr>
      <w:r w:rsidRPr="001814D2">
        <w:t>The Art Gallery is very appreciative of grants secured in 2020–21 for the following special projects.</w:t>
      </w:r>
    </w:p>
    <w:p w14:paraId="682DF36B" w14:textId="77777777" w:rsidR="009103CC" w:rsidRPr="001814D2" w:rsidRDefault="009103CC" w:rsidP="009103CC">
      <w:pPr>
        <w:pStyle w:val="ARheading5"/>
      </w:pPr>
      <w:r w:rsidRPr="001814D2">
        <w:t>Philanthropic grants</w:t>
      </w:r>
    </w:p>
    <w:p w14:paraId="45E04655" w14:textId="77777777" w:rsidR="009103CC" w:rsidRPr="001814D2" w:rsidRDefault="009103CC" w:rsidP="009103CC">
      <w:pPr>
        <w:pStyle w:val="ARbody"/>
      </w:pPr>
      <w:r w:rsidRPr="001814D2">
        <w:t>Our major philanthropic partners, the Crown Resorts Foundation and Packer Family Foundation, continued their visionary, multi-year Sydney Arts Fund initiative supporting strategic initiatives across the organisation. Their additional Western Sydney Arts initiative multi-year grant enabled the Art Gallery to continue the Art Pathways program – offering structured art education and resources online and, where possible, in-person to teachers, students and art centres – to the Fairfield area in 2020 and Auburn in 2021.</w:t>
      </w:r>
    </w:p>
    <w:p w14:paraId="47F70B63" w14:textId="77777777" w:rsidR="009103CC" w:rsidRPr="001814D2" w:rsidRDefault="009103CC" w:rsidP="009103CC">
      <w:pPr>
        <w:pStyle w:val="ARbody"/>
      </w:pPr>
      <w:r w:rsidRPr="001814D2">
        <w:t xml:space="preserve">The Nelson Meers Foundation supported two new part-time positions for Indigenous Australian guides to research content and develop skills for leading visitor tours at the Art Gallery. </w:t>
      </w:r>
    </w:p>
    <w:p w14:paraId="6B7CAD01" w14:textId="77777777" w:rsidR="009103CC" w:rsidRPr="001814D2" w:rsidRDefault="009103CC" w:rsidP="009103CC">
      <w:pPr>
        <w:pStyle w:val="ARbody"/>
      </w:pPr>
      <w:r w:rsidRPr="001814D2">
        <w:t xml:space="preserve">The Balnaves Foundation continued its additional multi-year pledge in support of the Edmund Capon Fellowship, to expand international exchanges. </w:t>
      </w:r>
    </w:p>
    <w:p w14:paraId="2905E99D" w14:textId="77777777" w:rsidR="009103CC" w:rsidRPr="001814D2" w:rsidRDefault="009103CC" w:rsidP="009103CC">
      <w:pPr>
        <w:pStyle w:val="ARheading5"/>
      </w:pPr>
      <w:r w:rsidRPr="001814D2">
        <w:t xml:space="preserve">Government grants </w:t>
      </w:r>
    </w:p>
    <w:p w14:paraId="62DFF563" w14:textId="77777777" w:rsidR="009103CC" w:rsidRPr="001814D2" w:rsidRDefault="009103CC" w:rsidP="009103CC">
      <w:pPr>
        <w:pStyle w:val="ARbody"/>
      </w:pPr>
      <w:r w:rsidRPr="001814D2">
        <w:t xml:space="preserve">A Visions of Australia multi-year grant (Department of Communications and the Arts) supported the development of </w:t>
      </w:r>
      <w:r w:rsidRPr="001814D2">
        <w:rPr>
          <w:i/>
          <w:iCs/>
        </w:rPr>
        <w:t>Archie 100: A Century of the Archibald Prize</w:t>
      </w:r>
      <w:r w:rsidRPr="001814D2">
        <w:t xml:space="preserve">, an interstate touring exhibition that was successfully launched at the Art Gallery on 5 June 2020. </w:t>
      </w:r>
    </w:p>
    <w:p w14:paraId="44D5D080" w14:textId="77777777" w:rsidR="009103CC" w:rsidRPr="001814D2" w:rsidRDefault="009103CC" w:rsidP="009103CC">
      <w:pPr>
        <w:pStyle w:val="ARbody"/>
      </w:pPr>
      <w:r w:rsidRPr="001814D2">
        <w:t xml:space="preserve">An Australia Council grant supported five Aboriginal and Torres Strait Islander artists selected for the exhibition </w:t>
      </w:r>
      <w:r w:rsidRPr="001814D2">
        <w:rPr>
          <w:i/>
          <w:iCs/>
        </w:rPr>
        <w:t xml:space="preserve">The National 2021: New Australian Art </w:t>
      </w:r>
      <w:r w:rsidRPr="001814D2">
        <w:t xml:space="preserve">at the Art Gallery of New South Wales. The Art Gallery was the artists’ fiscal and administrative partner. </w:t>
      </w:r>
    </w:p>
    <w:p w14:paraId="59AC89CD" w14:textId="77777777" w:rsidR="009103CC" w:rsidRPr="001814D2" w:rsidRDefault="009103CC" w:rsidP="009103CC">
      <w:pPr>
        <w:pStyle w:val="ARbody"/>
      </w:pPr>
      <w:r w:rsidRPr="001814D2">
        <w:t>An Australia-Korea Foundation (Department of Foreign Affairs and Trade) multi-year grant supported the development of an ongoing lecture series on contemporary Korean art.</w:t>
      </w:r>
    </w:p>
    <w:p w14:paraId="4B2F6C5E" w14:textId="77777777" w:rsidR="009103CC" w:rsidRPr="001814D2" w:rsidRDefault="009103CC" w:rsidP="009103CC">
      <w:pPr>
        <w:pStyle w:val="ARheading5"/>
      </w:pPr>
      <w:r w:rsidRPr="001814D2">
        <w:t>International grants</w:t>
      </w:r>
    </w:p>
    <w:p w14:paraId="755D2564" w14:textId="77777777" w:rsidR="009103CC" w:rsidRPr="001814D2" w:rsidRDefault="009103CC" w:rsidP="009103CC">
      <w:pPr>
        <w:pStyle w:val="ARbody"/>
      </w:pPr>
      <w:r w:rsidRPr="001814D2">
        <w:t xml:space="preserve">Dr Lee MacCormick Edwards Charitable Foundation contributed to the significant publication that supported the Art Gallery’s landmark </w:t>
      </w:r>
      <w:r w:rsidRPr="001814D2">
        <w:rPr>
          <w:i/>
          <w:iCs/>
        </w:rPr>
        <w:t>Streeton</w:t>
      </w:r>
      <w:r w:rsidRPr="001814D2">
        <w:t xml:space="preserve"> exhibition. </w:t>
      </w:r>
    </w:p>
    <w:p w14:paraId="117065F7" w14:textId="77777777" w:rsidR="009103CC" w:rsidRPr="001814D2" w:rsidRDefault="009103CC" w:rsidP="009103CC">
      <w:pPr>
        <w:pStyle w:val="ARheading3"/>
      </w:pPr>
      <w:r w:rsidRPr="001814D2">
        <w:t>Art Gallery Society</w:t>
      </w:r>
    </w:p>
    <w:p w14:paraId="2004794B" w14:textId="77777777" w:rsidR="009103CC" w:rsidRPr="001814D2" w:rsidRDefault="009103CC" w:rsidP="009103CC">
      <w:pPr>
        <w:pStyle w:val="ARbody"/>
      </w:pPr>
      <w:r w:rsidRPr="001814D2">
        <w:t xml:space="preserve">Founded in 1953, the Art Gallery Society of NSW is dedicated to supporting the Art Gallery. It delivers exclusive member benefits and vibrant events, sponsor exhibitions and programs, and raises funds for art acquisitions – while providing members with opportunities to engage </w:t>
      </w:r>
      <w:r w:rsidRPr="001814D2">
        <w:lastRenderedPageBreak/>
        <w:t>deeply with art and the Art Gallery’s programs.</w:t>
      </w:r>
    </w:p>
    <w:p w14:paraId="66ADED70" w14:textId="77777777" w:rsidR="009103CC" w:rsidRPr="001814D2" w:rsidRDefault="009103CC" w:rsidP="009103CC">
      <w:pPr>
        <w:pStyle w:val="ARbody"/>
      </w:pPr>
      <w:r w:rsidRPr="001814D2">
        <w:t>The Society was grateful for members’ loyalty during the COVID-19 pandemic, recording 20</w:t>
      </w:r>
      <w:r>
        <w:t>,</w:t>
      </w:r>
      <w:r w:rsidRPr="001814D2">
        <w:t>147 memberships at 30 June 2021, representing 29</w:t>
      </w:r>
      <w:r>
        <w:t>,</w:t>
      </w:r>
      <w:r w:rsidRPr="001814D2">
        <w:t xml:space="preserve">342 members. These numbers reflect a 3% increase in memberships on the previous year, a strong result during a year of many uncertainties and challenges. </w:t>
      </w:r>
    </w:p>
    <w:p w14:paraId="397ACE8F" w14:textId="77777777" w:rsidR="009103CC" w:rsidRPr="001814D2" w:rsidRDefault="009103CC" w:rsidP="009103CC">
      <w:pPr>
        <w:pStyle w:val="ARbody"/>
      </w:pPr>
      <w:r w:rsidRPr="001814D2">
        <w:t>As soon as public health orders allowed, the Society reintroduced onsite programming with strict safety protocols. Between August 2020 and June 2021, 19</w:t>
      </w:r>
      <w:r>
        <w:t>,</w:t>
      </w:r>
      <w:r w:rsidRPr="001814D2">
        <w:t>483 attended 146 in-person paid events and 9823 people attended 145 free events (including individual free viewing sessions), totalling 29</w:t>
      </w:r>
      <w:r>
        <w:t>,</w:t>
      </w:r>
      <w:r w:rsidRPr="001814D2">
        <w:t xml:space="preserve">306 in-person attendees. The Society’s online events attracted 1193 additional bookings. </w:t>
      </w:r>
    </w:p>
    <w:p w14:paraId="37531ADE" w14:textId="77777777" w:rsidR="009103CC" w:rsidRPr="001814D2" w:rsidRDefault="009103CC" w:rsidP="009103CC">
      <w:pPr>
        <w:pStyle w:val="ARbody"/>
      </w:pPr>
      <w:r w:rsidRPr="001814D2">
        <w:t>Highlights included:</w:t>
      </w:r>
    </w:p>
    <w:p w14:paraId="0A3A851A" w14:textId="77777777" w:rsidR="009103CC" w:rsidRPr="001814D2" w:rsidRDefault="009103CC" w:rsidP="009103CC">
      <w:pPr>
        <w:pStyle w:val="ARlistparagraph"/>
      </w:pPr>
      <w:r w:rsidRPr="001814D2">
        <w:t xml:space="preserve">Art Appreciation lecture series </w:t>
      </w:r>
      <w:r w:rsidRPr="00C53F2E">
        <w:rPr>
          <w:i/>
          <w:iCs/>
        </w:rPr>
        <w:t>Love, sex and death: the constant companions of art</w:t>
      </w:r>
    </w:p>
    <w:p w14:paraId="0210F0BE" w14:textId="77777777" w:rsidR="009103CC" w:rsidRPr="001814D2" w:rsidRDefault="009103CC" w:rsidP="009103CC">
      <w:pPr>
        <w:pStyle w:val="ARlistparagraph"/>
      </w:pPr>
      <w:r w:rsidRPr="001814D2">
        <w:t xml:space="preserve">Learning Curve lecture series </w:t>
      </w:r>
      <w:r w:rsidRPr="00C53F2E">
        <w:rPr>
          <w:i/>
          <w:iCs/>
        </w:rPr>
        <w:t>Dressed to kill: when art and fashion collide</w:t>
      </w:r>
    </w:p>
    <w:p w14:paraId="5EF068A3" w14:textId="77777777" w:rsidR="009103CC" w:rsidRPr="001814D2" w:rsidRDefault="009103CC" w:rsidP="009103CC">
      <w:pPr>
        <w:pStyle w:val="ARlistparagraph"/>
      </w:pPr>
      <w:r w:rsidRPr="001814D2">
        <w:t xml:space="preserve">short lecture series </w:t>
      </w:r>
      <w:r w:rsidRPr="00C53F2E">
        <w:rPr>
          <w:i/>
          <w:iCs/>
        </w:rPr>
        <w:t>Celebrating Beethoven</w:t>
      </w:r>
      <w:r w:rsidRPr="001814D2">
        <w:t xml:space="preserve"> and </w:t>
      </w:r>
      <w:r w:rsidRPr="00C53F2E">
        <w:rPr>
          <w:i/>
          <w:iCs/>
        </w:rPr>
        <w:t>The living art of India</w:t>
      </w:r>
    </w:p>
    <w:p w14:paraId="47EB1739" w14:textId="77777777" w:rsidR="009103CC" w:rsidRPr="001814D2" w:rsidRDefault="009103CC" w:rsidP="009103CC">
      <w:pPr>
        <w:pStyle w:val="ARlistparagraph"/>
      </w:pPr>
      <w:r w:rsidRPr="001814D2">
        <w:t xml:space="preserve">Resonate concert series </w:t>
      </w:r>
      <w:r w:rsidRPr="00C53F2E">
        <w:rPr>
          <w:i/>
          <w:iCs/>
        </w:rPr>
        <w:t>The sounds of Streeton</w:t>
      </w:r>
      <w:r w:rsidRPr="001814D2">
        <w:t xml:space="preserve"> and </w:t>
      </w:r>
      <w:r w:rsidRPr="00C53F2E">
        <w:rPr>
          <w:i/>
          <w:iCs/>
        </w:rPr>
        <w:t>Bandaluzia Flamenco</w:t>
      </w:r>
      <w:r w:rsidRPr="001814D2">
        <w:t>, as well as a special concert and dinner celebrating the Art Gallery’s 150th anniversary</w:t>
      </w:r>
    </w:p>
    <w:p w14:paraId="20E6C6AB" w14:textId="77777777" w:rsidR="009103CC" w:rsidRPr="001814D2" w:rsidRDefault="009103CC" w:rsidP="009103CC">
      <w:pPr>
        <w:pStyle w:val="ARlistparagraph"/>
      </w:pPr>
      <w:r w:rsidRPr="001814D2">
        <w:t xml:space="preserve">Young Professionals monthly meet-up </w:t>
      </w:r>
    </w:p>
    <w:p w14:paraId="5060433F" w14:textId="77777777" w:rsidR="009103CC" w:rsidRPr="001814D2" w:rsidRDefault="009103CC" w:rsidP="009103CC">
      <w:pPr>
        <w:pStyle w:val="ARlistparagraph"/>
      </w:pPr>
      <w:r w:rsidRPr="001814D2">
        <w:t xml:space="preserve">a day tour to Canberra to view the </w:t>
      </w:r>
      <w:r w:rsidRPr="00C53F2E">
        <w:rPr>
          <w:i/>
          <w:iCs/>
        </w:rPr>
        <w:t>Botticelli to Van Gogh</w:t>
      </w:r>
      <w:r w:rsidRPr="001814D2">
        <w:t xml:space="preserve"> exhibition at the National Gallery of Australia</w:t>
      </w:r>
    </w:p>
    <w:p w14:paraId="18009969" w14:textId="77777777" w:rsidR="009103CC" w:rsidRPr="001814D2" w:rsidRDefault="009103CC" w:rsidP="009103CC">
      <w:pPr>
        <w:pStyle w:val="ARlistparagraph"/>
      </w:pPr>
      <w:r w:rsidRPr="001814D2">
        <w:t>the sold-out Archie preview party.</w:t>
      </w:r>
    </w:p>
    <w:p w14:paraId="6A0A1C98" w14:textId="77777777" w:rsidR="009103CC" w:rsidRPr="001814D2" w:rsidRDefault="009103CC" w:rsidP="009103CC">
      <w:pPr>
        <w:pStyle w:val="ARbody"/>
      </w:pPr>
      <w:r w:rsidRPr="001814D2">
        <w:t xml:space="preserve">The Society increased online programming to connect members to the Art Gallery from home, including art workshops for children via Zoom and the </w:t>
      </w:r>
      <w:r w:rsidRPr="001814D2">
        <w:rPr>
          <w:i/>
          <w:iCs/>
        </w:rPr>
        <w:t>Raphael: Renaissance master revealed</w:t>
      </w:r>
      <w:r w:rsidRPr="001814D2">
        <w:t xml:space="preserve"> lecture series, delivered both onsite and online. New free digital offerings included the Members Screening Room</w:t>
      </w:r>
      <w:r w:rsidRPr="001814D2">
        <w:rPr>
          <w:i/>
          <w:iCs/>
        </w:rPr>
        <w:t xml:space="preserve">, </w:t>
      </w:r>
      <w:r w:rsidRPr="001814D2">
        <w:t>enabling members to view free specialist art documentaries online, and a streamed lecture on artist William Dobell and his work.</w:t>
      </w:r>
    </w:p>
    <w:p w14:paraId="20F7F00D" w14:textId="77777777" w:rsidR="009103CC" w:rsidRPr="001814D2" w:rsidRDefault="009103CC" w:rsidP="009103CC">
      <w:pPr>
        <w:pStyle w:val="ARbody"/>
      </w:pPr>
      <w:r w:rsidRPr="001814D2">
        <w:t xml:space="preserve">Free member viewing sessions for the Art Gallery’s 2020 and 2021 Archibald, Wynne and Sulman Prizes, </w:t>
      </w:r>
      <w:r w:rsidRPr="001814D2">
        <w:rPr>
          <w:i/>
          <w:iCs/>
        </w:rPr>
        <w:t xml:space="preserve">Streeton </w:t>
      </w:r>
      <w:r w:rsidRPr="001814D2">
        <w:t>and</w:t>
      </w:r>
      <w:r w:rsidRPr="001814D2">
        <w:rPr>
          <w:i/>
          <w:iCs/>
        </w:rPr>
        <w:t xml:space="preserve"> Hilma af Klint</w:t>
      </w:r>
      <w:r w:rsidRPr="001814D2">
        <w:t xml:space="preserve"> exhibitions attracted the usual high volume of ticket-holders.</w:t>
      </w:r>
    </w:p>
    <w:p w14:paraId="62C0EDB9" w14:textId="77777777" w:rsidR="009103CC" w:rsidRPr="001814D2" w:rsidRDefault="009103CC" w:rsidP="009103CC">
      <w:pPr>
        <w:pStyle w:val="ARbody"/>
      </w:pPr>
      <w:r w:rsidRPr="001814D2">
        <w:t xml:space="preserve">The Society published six bi-monthly print issues of its members magazine, </w:t>
      </w:r>
      <w:r w:rsidRPr="001814D2">
        <w:rPr>
          <w:i/>
          <w:iCs/>
        </w:rPr>
        <w:t>Look</w:t>
      </w:r>
      <w:r w:rsidRPr="001814D2">
        <w:t xml:space="preserve">, as well as a digital guide to galleries in regional NSW. The April–May 2021 issue celebrated the Art Gallery’s 150th anniversary and members shared their connections to the institution. </w:t>
      </w:r>
    </w:p>
    <w:p w14:paraId="1E6CCB98" w14:textId="77777777" w:rsidR="009103CC" w:rsidRPr="001814D2" w:rsidRDefault="009103CC" w:rsidP="009103CC">
      <w:pPr>
        <w:pStyle w:val="ARbody"/>
      </w:pPr>
      <w:r w:rsidRPr="001814D2">
        <w:lastRenderedPageBreak/>
        <w:t xml:space="preserve">The Society acquired significant artworks for the Art Gallery including Yosl Bergner’s </w:t>
      </w:r>
      <w:r w:rsidRPr="001814D2">
        <w:rPr>
          <w:i/>
          <w:iCs/>
        </w:rPr>
        <w:t xml:space="preserve">Self-portrait </w:t>
      </w:r>
      <w:r w:rsidRPr="001814D2">
        <w:t xml:space="preserve">1939 through the Dagmar Halas Bequest Fund; Guy Maestri’s </w:t>
      </w:r>
      <w:r w:rsidRPr="001814D2">
        <w:rPr>
          <w:i/>
          <w:iCs/>
        </w:rPr>
        <w:t xml:space="preserve">The rain song </w:t>
      </w:r>
      <w:r w:rsidRPr="001814D2">
        <w:t>2020</w:t>
      </w:r>
      <w:r w:rsidRPr="001814D2">
        <w:rPr>
          <w:i/>
          <w:iCs/>
        </w:rPr>
        <w:t xml:space="preserve"> </w:t>
      </w:r>
      <w:r w:rsidRPr="001814D2">
        <w:t xml:space="preserve">to celebrate the Art Gallery’s 150th anniversary and Tempe Manning’s </w:t>
      </w:r>
      <w:r w:rsidRPr="001814D2">
        <w:rPr>
          <w:i/>
          <w:iCs/>
        </w:rPr>
        <w:t xml:space="preserve">Self-portrait </w:t>
      </w:r>
      <w:r w:rsidRPr="001814D2">
        <w:t xml:space="preserve">1939, included in the </w:t>
      </w:r>
      <w:r w:rsidRPr="001814D2">
        <w:rPr>
          <w:i/>
          <w:iCs/>
        </w:rPr>
        <w:t xml:space="preserve">Archie 100: A Century of the Archibald Prize </w:t>
      </w:r>
      <w:r w:rsidRPr="001814D2">
        <w:t xml:space="preserve">exhibition, both generously supported by members. The Society also contributed towards the </w:t>
      </w:r>
      <w:r w:rsidRPr="001814D2">
        <w:rPr>
          <w:i/>
          <w:iCs/>
        </w:rPr>
        <w:t xml:space="preserve">Streeton </w:t>
      </w:r>
      <w:r w:rsidRPr="001814D2">
        <w:t xml:space="preserve">exhibition and public programs, and the redevelopment of the Members Lounge. We look forward to welcoming members to the transformed lounge when it reopens. </w:t>
      </w:r>
    </w:p>
    <w:p w14:paraId="4ECB4396" w14:textId="77777777" w:rsidR="009103CC" w:rsidRPr="001814D2" w:rsidRDefault="009103CC" w:rsidP="009103CC">
      <w:pPr>
        <w:pStyle w:val="ARbody"/>
      </w:pPr>
      <w:r w:rsidRPr="001814D2">
        <w:t xml:space="preserve">Despite border closures, the Society and travel partner Renaissance Tours offered domestic regional tours. It also developed a series of Sydney day tours such as </w:t>
      </w:r>
      <w:r w:rsidRPr="001814D2">
        <w:rPr>
          <w:i/>
          <w:iCs/>
        </w:rPr>
        <w:t>Contemporary Japan in Sydney</w:t>
      </w:r>
      <w:r w:rsidRPr="001814D2">
        <w:t xml:space="preserve">, </w:t>
      </w:r>
      <w:r w:rsidRPr="001814D2">
        <w:rPr>
          <w:i/>
          <w:iCs/>
        </w:rPr>
        <w:t>Urban precincts of Sydney</w:t>
      </w:r>
      <w:r w:rsidRPr="001814D2">
        <w:t xml:space="preserve">, </w:t>
      </w:r>
      <w:r w:rsidRPr="001814D2">
        <w:rPr>
          <w:i/>
          <w:iCs/>
        </w:rPr>
        <w:t>A walk down Macquarie Street</w:t>
      </w:r>
      <w:r w:rsidRPr="001814D2">
        <w:t xml:space="preserve">, </w:t>
      </w:r>
      <w:r w:rsidRPr="001814D2">
        <w:rPr>
          <w:i/>
          <w:iCs/>
        </w:rPr>
        <w:t>Art Deco Sydney</w:t>
      </w:r>
      <w:r w:rsidRPr="001814D2">
        <w:t xml:space="preserve">, </w:t>
      </w:r>
      <w:r w:rsidRPr="001814D2">
        <w:rPr>
          <w:i/>
          <w:iCs/>
        </w:rPr>
        <w:t>Looking up: tall tales of Sydney architecture</w:t>
      </w:r>
      <w:r w:rsidRPr="001814D2">
        <w:t xml:space="preserve"> and </w:t>
      </w:r>
      <w:r w:rsidRPr="001814D2">
        <w:rPr>
          <w:i/>
          <w:iCs/>
        </w:rPr>
        <w:t>A day at the new Chau Chak Wing Museum</w:t>
      </w:r>
      <w:r w:rsidRPr="001814D2">
        <w:t>.</w:t>
      </w:r>
    </w:p>
    <w:p w14:paraId="66ECA243" w14:textId="77777777" w:rsidR="009103CC" w:rsidRPr="001814D2" w:rsidRDefault="009103CC" w:rsidP="009103CC">
      <w:pPr>
        <w:pStyle w:val="ARbody"/>
      </w:pPr>
      <w:r w:rsidRPr="001814D2">
        <w:t xml:space="preserve">After more than five years at the helm, executive director Ron Ramsey retired in June 2021, with the Society in an excellent position following strong membership growth and retention. Robert Heather has been appointed to the role and will steer the Society through the completion of the Sydney Modern Project expansion in 2022 and the Society’s upcoming 70th anniversary in 2023. </w:t>
      </w:r>
    </w:p>
    <w:p w14:paraId="1F19DD34" w14:textId="77777777" w:rsidR="009103CC" w:rsidRPr="001814D2" w:rsidRDefault="009103CC" w:rsidP="009103CC">
      <w:pPr>
        <w:pStyle w:val="ARbody"/>
      </w:pPr>
      <w:r w:rsidRPr="001814D2">
        <w:t>The Society will continue to work closely with the Art Gallery to inspire, connect and engage its community of art lovers.</w:t>
      </w:r>
    </w:p>
    <w:p w14:paraId="3E47C6D8" w14:textId="77777777" w:rsidR="009103CC" w:rsidRPr="001814D2" w:rsidRDefault="009103CC" w:rsidP="009103CC">
      <w:pPr>
        <w:pStyle w:val="Tabletext"/>
      </w:pPr>
      <w:r w:rsidRPr="001814D2">
        <w:br w:type="page"/>
      </w:r>
    </w:p>
    <w:p w14:paraId="62A413B9" w14:textId="77777777" w:rsidR="009103CC" w:rsidRPr="001814D2" w:rsidRDefault="009103CC" w:rsidP="009103CC">
      <w:pPr>
        <w:pStyle w:val="ARheading2"/>
        <w:rPr>
          <w:lang w:val="en-AU"/>
        </w:rPr>
      </w:pPr>
      <w:bookmarkStart w:id="17" w:name="_Toc90982536"/>
      <w:bookmarkStart w:id="18" w:name="_Toc92897865"/>
      <w:r>
        <w:rPr>
          <w:lang w:val="en-AU"/>
        </w:rPr>
        <w:lastRenderedPageBreak/>
        <w:t xml:space="preserve">5 </w:t>
      </w:r>
      <w:r w:rsidRPr="001814D2">
        <w:rPr>
          <w:lang w:val="en-AU"/>
        </w:rPr>
        <w:t>Strategic goal: People</w:t>
      </w:r>
      <w:bookmarkEnd w:id="17"/>
      <w:bookmarkEnd w:id="18"/>
    </w:p>
    <w:p w14:paraId="4B959672" w14:textId="77777777" w:rsidR="009103CC" w:rsidRPr="001814D2" w:rsidRDefault="009103CC" w:rsidP="009103CC">
      <w:pPr>
        <w:pStyle w:val="ARbody"/>
      </w:pPr>
      <w:r w:rsidRPr="001814D2">
        <w:t>Empowering our talented and diverse staff and volunteers in a collaborative and creative workspace</w:t>
      </w:r>
    </w:p>
    <w:p w14:paraId="44B95F04" w14:textId="77777777" w:rsidR="009103CC" w:rsidRPr="001814D2" w:rsidRDefault="009103CC" w:rsidP="009103CC">
      <w:pPr>
        <w:pStyle w:val="ARlistparagraph"/>
      </w:pPr>
      <w:r w:rsidRPr="001814D2">
        <w:t xml:space="preserve">Following consultation across staff, trustees, volunteers and visitors, the Art Gallery established a set of new organisational values which reflect its expanded ambitions for the Art Gallery campus and guide staff in every interaction with audiences, supporters and the community. With the new guiding principle of ‘From here. For all’, the Art Gallery has committed to the values of being openly engaging, authentically inspiring, fearlessly curious and consistently extraordinary. </w:t>
      </w:r>
    </w:p>
    <w:p w14:paraId="167F00DC" w14:textId="77777777" w:rsidR="009103CC" w:rsidRPr="001814D2" w:rsidRDefault="009103CC" w:rsidP="009103CC">
      <w:pPr>
        <w:pStyle w:val="ARlistparagraph"/>
      </w:pPr>
      <w:r w:rsidRPr="001814D2">
        <w:t>The Art Gallery expanded its activities in diversity and inclusion to ensure the Art Gallery can reach, reflect and celebrate the diversity of the community. These include staff information sessions on cultural awareness, disability inclusion and access. Art Gallery staff were key panellists in the Department of Premier and Cabinet’s Leading With Pride event, the first event from the Pride in NSW group, the state’s public sector LGBTQIA+ staff network, discussing the importance of building connections in overcoming obstacles to become leaders, and reflecting on art and artists that have been overlooked in our history, and their commitment to telling those artists’ stories.</w:t>
      </w:r>
    </w:p>
    <w:p w14:paraId="2150BAAF" w14:textId="77777777" w:rsidR="009103CC" w:rsidRPr="001814D2" w:rsidRDefault="009103CC" w:rsidP="009103CC">
      <w:pPr>
        <w:pStyle w:val="ARlistparagraph"/>
      </w:pPr>
      <w:r w:rsidRPr="001814D2">
        <w:t>A new position of diversity and inclusion manager was created to work across all areas of the Art Gallery, developing an overarching diversity and inclusion framework that connects the Art Gallery’s extensive work in this space. The role will create and implement plans and programs to promote diversity and inclusion across the Art Gallery in support of our strategic plans and goals.</w:t>
      </w:r>
    </w:p>
    <w:p w14:paraId="31169F58" w14:textId="77777777" w:rsidR="009103CC" w:rsidRPr="001814D2" w:rsidRDefault="009103CC" w:rsidP="009103CC">
      <w:pPr>
        <w:pStyle w:val="ARlistparagraph"/>
      </w:pPr>
      <w:r w:rsidRPr="001814D2">
        <w:t>Staff engagement in the People Matter Employment Survey remained strong at 77% in 2020 compared to the average rate of 67% across the NSW public sector.</w:t>
      </w:r>
    </w:p>
    <w:p w14:paraId="4BEBCFA8" w14:textId="77777777" w:rsidR="009103CC" w:rsidRPr="001814D2" w:rsidRDefault="009103CC" w:rsidP="009103CC">
      <w:pPr>
        <w:pStyle w:val="ARlistparagraph"/>
      </w:pPr>
      <w:r w:rsidRPr="001814D2">
        <w:t>The Return to Work Group, established to prepare for the Art Gallery’s reopening after our temporary closure from March to the end of May 2020, continued to meet weekly in 2020–21. Having led the Art Gallery as it became one of Australia’s first cultural institutions to reopen, the cross-divisional group continued to ensure a whole-of-institution approach to provide a COVID-safe environment for visitors and workers, including development of comprehensive information materials for staff, detailed safety planning for major exhibitions and events, and responding quickly and effectively to often rapidly changing public health advice. As Greater Sydney entered lockdown again in June 2021, the group again oversaw the Art Gallery’s transition and ensured the care of the collections and buildings during this time, while providing extensive support for staff and stakeholders.</w:t>
      </w:r>
    </w:p>
    <w:p w14:paraId="308A2DF5" w14:textId="77777777" w:rsidR="009103CC" w:rsidRPr="001814D2" w:rsidRDefault="009103CC" w:rsidP="009103CC">
      <w:pPr>
        <w:pStyle w:val="ARheading3"/>
      </w:pPr>
      <w:r w:rsidRPr="001814D2">
        <w:lastRenderedPageBreak/>
        <w:t>Board of Trustees</w:t>
      </w:r>
    </w:p>
    <w:p w14:paraId="4011E63F" w14:textId="77777777" w:rsidR="009103CC" w:rsidRPr="001814D2" w:rsidRDefault="009103CC" w:rsidP="009103CC">
      <w:pPr>
        <w:pStyle w:val="ARheading4"/>
      </w:pPr>
      <w:r w:rsidRPr="001814D2">
        <w:t>President</w:t>
      </w:r>
      <w:r>
        <w:t xml:space="preserve">: </w:t>
      </w:r>
      <w:r w:rsidRPr="001814D2">
        <w:t>Mr David Gonski AC</w:t>
      </w:r>
      <w:r>
        <w:t xml:space="preserve"> </w:t>
      </w:r>
      <w:r w:rsidRPr="00AD67C6">
        <w:rPr>
          <w:b w:val="0"/>
          <w:bCs w:val="0"/>
        </w:rPr>
        <w:t>B Com, LLB, FAICD (Life), FCPA, Hon LLD (UOW)</w:t>
      </w:r>
    </w:p>
    <w:p w14:paraId="09BADB5A" w14:textId="77777777" w:rsidR="009103CC" w:rsidRPr="001814D2" w:rsidRDefault="009103CC" w:rsidP="009103CC">
      <w:pPr>
        <w:pStyle w:val="ARbody"/>
      </w:pPr>
      <w:r w:rsidRPr="001814D2">
        <w:t xml:space="preserve">David Gonski is chancellor of the University of New South Wales, president of the Art Gallery of New South Wales Trust, chairman of Sydney Airport Limited Board, non-executive chairman of Barrenjoey Capital Partners Group Holdings Pty Limited, and chairman of the UNSW Foundation Ltd. He is a member of the Board of the Lowy Institute for International Policy, a non-executive member of LeapFrog Investment’s Global Leadership Council, a patron of the Australian Indigenous Education Foundation and Raise Foundation, and a founding panel member of Adara Partners. </w:t>
      </w:r>
    </w:p>
    <w:p w14:paraId="607DC4B7" w14:textId="77777777" w:rsidR="009103CC" w:rsidRPr="001814D2" w:rsidRDefault="009103CC" w:rsidP="009103CC">
      <w:pPr>
        <w:pStyle w:val="ARbody"/>
      </w:pPr>
      <w:r w:rsidRPr="001814D2">
        <w:t>He was previously chairman of the Australia and New Zealand Banking Group Ltd, chair of the Review to Achieve Educational Excellence in Australian Schools for the Commonwealth Government of Australia.  He was also a member of the Takeovers Panel, the ASIC External Advisory Panel and director of Singapore Airlines Limited, the Westfield Group and Singapore Telecommunications Limited, chairman of Coca-Cola Amatil Ltd, the Australian Securities Exchange Ltd, the Sydney Theatre Company, the Guardians of the Future Fund, the Australia Council for the Arts, the Board of Trustees of Sydney Grammar School and Investec Bank (Australia) Ltd.</w:t>
      </w:r>
    </w:p>
    <w:p w14:paraId="53F08316" w14:textId="77777777" w:rsidR="009103CC" w:rsidRPr="001814D2" w:rsidRDefault="009103CC" w:rsidP="009103CC">
      <w:pPr>
        <w:pStyle w:val="ARbody"/>
      </w:pPr>
      <w:r w:rsidRPr="001814D2">
        <w:t>Initial date of appointment 1 January 2016; expiry of current term 31 December 2021.</w:t>
      </w:r>
    </w:p>
    <w:p w14:paraId="4CE1BE54" w14:textId="77777777" w:rsidR="009103CC" w:rsidRPr="001814D2" w:rsidRDefault="009103CC" w:rsidP="009103CC">
      <w:pPr>
        <w:pStyle w:val="ARheading4"/>
      </w:pPr>
      <w:r w:rsidRPr="001814D2">
        <w:t>Vice-president</w:t>
      </w:r>
      <w:r>
        <w:t xml:space="preserve">: </w:t>
      </w:r>
      <w:r w:rsidRPr="001814D2">
        <w:t>Ms Gretel Packer AM</w:t>
      </w:r>
    </w:p>
    <w:p w14:paraId="0B4F8678" w14:textId="77777777" w:rsidR="009103CC" w:rsidRPr="001814D2" w:rsidRDefault="009103CC" w:rsidP="009103CC">
      <w:pPr>
        <w:pStyle w:val="ARbody"/>
      </w:pPr>
      <w:r w:rsidRPr="001814D2">
        <w:t xml:space="preserve">Gretel Packer has been involved in philanthropic endeavours since 2000 when she was appointed one of the founding governors of the Taronga Zoo Foundation. Her current positions include: chair of the Packer Family Foundation; chair of the Sydney Theatre Company Foundation; director of the Sydney Theatre Company; member of the Taronga Conservation Society Australia Board; member of Taronga’s Conservation Science Advisory Council; founding patron of the Taronga Conservation Science Initiative; and member of the William Robinson Advisory Committee. </w:t>
      </w:r>
    </w:p>
    <w:p w14:paraId="04E656EE" w14:textId="77777777" w:rsidR="009103CC" w:rsidRPr="001814D2" w:rsidRDefault="009103CC" w:rsidP="009103CC">
      <w:pPr>
        <w:pStyle w:val="ARbody"/>
      </w:pPr>
      <w:r w:rsidRPr="001814D2">
        <w:t>Ms Packer has a long-term commitment to supporting a broad range of community activities and charities aligned to the arts, education and environmental science.</w:t>
      </w:r>
    </w:p>
    <w:p w14:paraId="13A197D2" w14:textId="77777777" w:rsidR="009103CC" w:rsidRPr="001814D2" w:rsidRDefault="009103CC" w:rsidP="009103CC">
      <w:pPr>
        <w:pStyle w:val="ARbody"/>
      </w:pPr>
      <w:r w:rsidRPr="001814D2">
        <w:t>Initial date of appointment 5 February 2014; expiry of current term 31 December 2022.</w:t>
      </w:r>
    </w:p>
    <w:p w14:paraId="3949FEF9" w14:textId="77777777" w:rsidR="009103CC" w:rsidRPr="001814D2" w:rsidRDefault="009103CC" w:rsidP="009103CC">
      <w:pPr>
        <w:pStyle w:val="ARheading4"/>
      </w:pPr>
      <w:r w:rsidRPr="001814D2">
        <w:t>Member</w:t>
      </w:r>
      <w:r>
        <w:t xml:space="preserve">: </w:t>
      </w:r>
      <w:r w:rsidRPr="001814D2">
        <w:t xml:space="preserve">Mr Tony Albert </w:t>
      </w:r>
    </w:p>
    <w:p w14:paraId="66C76C53" w14:textId="77777777" w:rsidR="009103CC" w:rsidRPr="001814D2" w:rsidRDefault="009103CC" w:rsidP="009103CC">
      <w:pPr>
        <w:pStyle w:val="ARbody"/>
      </w:pPr>
      <w:r w:rsidRPr="001814D2">
        <w:t xml:space="preserve">Over the past ten years, Tony Albert has achieved extraordinary visibility and much critical acclaim for his visual art practice, which combines text, video, drawing, painting and three-dimensional objects. Examining the legacy of racial and cultural misrepresentation, </w:t>
      </w:r>
      <w:r w:rsidRPr="001814D2">
        <w:lastRenderedPageBreak/>
        <w:t>particularly of Australia’s Aboriginal people, Mr Albert has developed a universal language that seeks to rewrite historical mistruths and injustice.</w:t>
      </w:r>
    </w:p>
    <w:p w14:paraId="0B938C24" w14:textId="77777777" w:rsidR="009103CC" w:rsidRPr="001814D2" w:rsidRDefault="009103CC" w:rsidP="009103CC">
      <w:pPr>
        <w:pStyle w:val="ARbody"/>
      </w:pPr>
      <w:r w:rsidRPr="001814D2">
        <w:t xml:space="preserve">In 2014 Mr Albert was awarded the Basil Sellers Art Prize and the Telstra National Aboriginal and Torres Strait Islander Art Award. In the same year he was awarded a prestigious residency at the International Studio &amp; Curatorial Program in New York and unveiled a major new monument in Sydney’s Hyde Park dedicated to Australia’s Aboriginal and Torres Strait Islander military service. He was also awarded the 2016 Fleurieu Art Prize, with his winning work, </w:t>
      </w:r>
      <w:r w:rsidRPr="001814D2">
        <w:rPr>
          <w:i/>
          <w:iCs/>
        </w:rPr>
        <w:t>The hand you’re dealt</w:t>
      </w:r>
      <w:r w:rsidRPr="001814D2">
        <w:t>. Mr Albert’s work is held in major national and international museums and private collections.</w:t>
      </w:r>
    </w:p>
    <w:p w14:paraId="3673E857" w14:textId="77777777" w:rsidR="009103CC" w:rsidRPr="001814D2" w:rsidRDefault="009103CC" w:rsidP="009103CC">
      <w:pPr>
        <w:pStyle w:val="ARbody"/>
      </w:pPr>
      <w:r w:rsidRPr="001814D2">
        <w:t>Initial date of appointment 1 January 2020; expiry of current term 31 December 2022.</w:t>
      </w:r>
    </w:p>
    <w:p w14:paraId="17A53257" w14:textId="77777777" w:rsidR="009103CC" w:rsidRPr="001814D2" w:rsidRDefault="009103CC" w:rsidP="009103CC">
      <w:pPr>
        <w:pStyle w:val="ARheading4"/>
      </w:pPr>
      <w:r w:rsidRPr="001814D2">
        <w:t>Member</w:t>
      </w:r>
      <w:r>
        <w:t xml:space="preserve">: </w:t>
      </w:r>
      <w:r w:rsidRPr="001814D2">
        <w:t>Ms Anita Belgiorno-Nettis AM</w:t>
      </w:r>
    </w:p>
    <w:p w14:paraId="3788FA30" w14:textId="77777777" w:rsidR="009103CC" w:rsidRPr="001814D2" w:rsidRDefault="009103CC" w:rsidP="009103CC">
      <w:pPr>
        <w:pStyle w:val="ARbody"/>
      </w:pPr>
      <w:r w:rsidRPr="001814D2">
        <w:t xml:space="preserve">Anita Belgiorno-Nettis has been involved in the arts since she moved to Australia in 1988. She was the executive producer of </w:t>
      </w:r>
      <w:r w:rsidRPr="001814D2">
        <w:rPr>
          <w:i/>
          <w:iCs/>
        </w:rPr>
        <w:t>The black balloon</w:t>
      </w:r>
      <w:r w:rsidRPr="001814D2">
        <w:t xml:space="preserve"> (Best Film, 2008 AFI Awards) and producer of </w:t>
      </w:r>
      <w:r w:rsidRPr="001814D2">
        <w:rPr>
          <w:i/>
          <w:iCs/>
        </w:rPr>
        <w:t>The last race</w:t>
      </w:r>
      <w:r w:rsidRPr="001814D2">
        <w:t>.</w:t>
      </w:r>
    </w:p>
    <w:p w14:paraId="1CF2E153" w14:textId="77777777" w:rsidR="009103CC" w:rsidRPr="001814D2" w:rsidRDefault="009103CC" w:rsidP="009103CC">
      <w:pPr>
        <w:pStyle w:val="ARbody"/>
      </w:pPr>
      <w:r w:rsidRPr="001814D2">
        <w:t>For over fifteen years, Ms Belgiorno-Nettis played a significant role in the benefaction support of the Biennale of Sydney. She was councillor for the Australian representation at the Venice Biennale in 2015, and the Anita and Luca Belgiorno-Nettis Foundation was a major donor for the new Australian Pavilion. Ms Belgiorno-Nettis is a director of both the Sydney Theatre Company (STC) and the STC Foundation, and sits on the executive committee of the Advisory Board of the Peggy Guggenheim Collection in Venice.</w:t>
      </w:r>
    </w:p>
    <w:p w14:paraId="2CBAF77C" w14:textId="77777777" w:rsidR="009103CC" w:rsidRPr="001814D2" w:rsidRDefault="009103CC" w:rsidP="009103CC">
      <w:pPr>
        <w:pStyle w:val="ARbody"/>
      </w:pPr>
      <w:r w:rsidRPr="001814D2">
        <w:t>Since 2005 she has been involved as a volunteer and supporter of various community organisations, including establishing Step into Work. In 2019 she was awarded a Member of the Order of Australia for significant service to the community, through support and philanthropic contributions to social welfare and arts organisations.</w:t>
      </w:r>
    </w:p>
    <w:p w14:paraId="1BB50AB8" w14:textId="77777777" w:rsidR="009103CC" w:rsidRPr="001814D2" w:rsidRDefault="009103CC" w:rsidP="009103CC">
      <w:pPr>
        <w:pStyle w:val="ARbody"/>
      </w:pPr>
      <w:r w:rsidRPr="001814D2">
        <w:t>Initial date of appointment 1 January 2020; expiry of current term 31 December 2022.</w:t>
      </w:r>
    </w:p>
    <w:p w14:paraId="0B68F0F1" w14:textId="77777777" w:rsidR="009103CC" w:rsidRPr="001814D2" w:rsidRDefault="009103CC" w:rsidP="009103CC">
      <w:pPr>
        <w:pStyle w:val="ARheading4"/>
      </w:pPr>
      <w:r w:rsidRPr="001814D2">
        <w:t>Member</w:t>
      </w:r>
      <w:r>
        <w:t xml:space="preserve">: </w:t>
      </w:r>
      <w:r w:rsidRPr="001814D2">
        <w:t>Mr John Borghetti AO</w:t>
      </w:r>
    </w:p>
    <w:p w14:paraId="53EFF496" w14:textId="77777777" w:rsidR="009103CC" w:rsidRPr="001814D2" w:rsidRDefault="009103CC" w:rsidP="009103CC">
      <w:pPr>
        <w:pStyle w:val="ARbody"/>
      </w:pPr>
      <w:r w:rsidRPr="001814D2">
        <w:t>John Borghetti has over forty-five years’ experience in the aviation industry. In March 2019, he retired from Virgin Australia after nine years as chief executive officer and managing director. Prior to this, Mr Borghetti had a long career at Qantas Airways.</w:t>
      </w:r>
    </w:p>
    <w:p w14:paraId="378710AF" w14:textId="77777777" w:rsidR="009103CC" w:rsidRPr="001814D2" w:rsidRDefault="009103CC" w:rsidP="009103CC">
      <w:pPr>
        <w:pStyle w:val="ARbody"/>
      </w:pPr>
      <w:r w:rsidRPr="001814D2">
        <w:t>Mr Borghetti is a director of Brisbane Airport Corporation, Alinta Energy, Balmoral Pastoral Investments, the Charlie Teo Foundation and the John Sample Group Advisory Board. He is also a member of the Technical and Further Education (TAFE) NSW Commission Board, and O’Connell Street Associates.</w:t>
      </w:r>
    </w:p>
    <w:p w14:paraId="5397DC85" w14:textId="77777777" w:rsidR="009103CC" w:rsidRPr="001814D2" w:rsidRDefault="009103CC" w:rsidP="009103CC">
      <w:pPr>
        <w:pStyle w:val="ARbody"/>
      </w:pPr>
      <w:r w:rsidRPr="001814D2">
        <w:lastRenderedPageBreak/>
        <w:t>Mr Borghetti has previously served as a director of Coca-Cola Amatil, V8 Supercars Holdings, Energy Australia, the Australian Chamber Orchestra, the NSW Customer Advisory Board, Jetset Travelworld, Sydney FC, Piper Aircraft (USA), The Australian Ballet and CARE Australia.</w:t>
      </w:r>
    </w:p>
    <w:p w14:paraId="03F3B715" w14:textId="77777777" w:rsidR="009103CC" w:rsidRPr="001814D2" w:rsidRDefault="009103CC" w:rsidP="009103CC">
      <w:pPr>
        <w:pStyle w:val="ARbody"/>
      </w:pPr>
      <w:r w:rsidRPr="001814D2">
        <w:t>Initial date of appointment 1 January 2019; expiry of current term 31 December 2021.</w:t>
      </w:r>
    </w:p>
    <w:p w14:paraId="37C34F29" w14:textId="77777777" w:rsidR="009103CC" w:rsidRPr="001814D2" w:rsidRDefault="009103CC" w:rsidP="009103CC">
      <w:pPr>
        <w:pStyle w:val="ARheading4"/>
      </w:pPr>
      <w:r w:rsidRPr="001814D2">
        <w:t>Member</w:t>
      </w:r>
      <w:r>
        <w:t xml:space="preserve">: </w:t>
      </w:r>
      <w:r w:rsidRPr="001814D2">
        <w:t xml:space="preserve">Mr Andrew Cameron AM </w:t>
      </w:r>
    </w:p>
    <w:p w14:paraId="5AC0AA04" w14:textId="77777777" w:rsidR="009103CC" w:rsidRPr="001814D2" w:rsidRDefault="009103CC" w:rsidP="009103CC">
      <w:pPr>
        <w:pStyle w:val="ARbody"/>
      </w:pPr>
      <w:r w:rsidRPr="001814D2">
        <w:t>Andrew Cameron is a highly regarded arts supporter, philanthropist, art collector and arts sector advocate. He is founder and chair of the Andrew Cameron Family Foundation.</w:t>
      </w:r>
    </w:p>
    <w:p w14:paraId="2C47384A" w14:textId="77777777" w:rsidR="009103CC" w:rsidRPr="001814D2" w:rsidRDefault="009103CC" w:rsidP="009103CC">
      <w:pPr>
        <w:pStyle w:val="ARbody"/>
      </w:pPr>
      <w:r w:rsidRPr="001814D2">
        <w:t>Mr Cameron is currently chair of Artspace Visual Arts Centre in Sydney and until recently was chair of the Art Gallery of New South Wales Foundation. He is also a board member of Sydney Festival and previously was chair of Belvoir St Theatre for six years. He was previously deputy chair of the Biennale of Sydney, and was deputy commissioner for Australia’s presentation at the Venice Biennale in 2005, 2007 and 2009, and currently sits on the Venice Biennale Commissioners’ Council. He sits on the International Councils of both the Tate in London and MoMA in New York.</w:t>
      </w:r>
    </w:p>
    <w:p w14:paraId="43474ABF" w14:textId="77777777" w:rsidR="009103CC" w:rsidRPr="001814D2" w:rsidRDefault="009103CC" w:rsidP="009103CC">
      <w:pPr>
        <w:pStyle w:val="ARbody"/>
      </w:pPr>
      <w:r w:rsidRPr="001814D2">
        <w:t>Mr Cameron studied architecture at University of Sydney where he graduated with First Class Honours and the University Medal in 1981. He subsequently completed an MBA at the Australian Graduate School of Management.</w:t>
      </w:r>
    </w:p>
    <w:p w14:paraId="210B4F64" w14:textId="77777777" w:rsidR="009103CC" w:rsidRPr="001814D2" w:rsidRDefault="009103CC" w:rsidP="009103CC">
      <w:pPr>
        <w:pStyle w:val="ARbody"/>
      </w:pPr>
      <w:r w:rsidRPr="001814D2">
        <w:t>In 2017 Mr Cameron was recognised as Australia’s National Arts Philanthropist of the Year by Creative Partnerships Australia.</w:t>
      </w:r>
    </w:p>
    <w:p w14:paraId="49F1662D" w14:textId="77777777" w:rsidR="009103CC" w:rsidRPr="001814D2" w:rsidRDefault="009103CC" w:rsidP="009103CC">
      <w:pPr>
        <w:pStyle w:val="ARbody"/>
      </w:pPr>
      <w:r w:rsidRPr="001814D2">
        <w:t>Initial date of appointment 1 January 2020; expiry of current term 31 December 2022.</w:t>
      </w:r>
    </w:p>
    <w:p w14:paraId="4CE9A4B0" w14:textId="77777777" w:rsidR="009103CC" w:rsidRPr="001814D2" w:rsidRDefault="009103CC" w:rsidP="009103CC">
      <w:pPr>
        <w:pStyle w:val="ARheading4"/>
      </w:pPr>
      <w:r w:rsidRPr="001814D2">
        <w:t>Member</w:t>
      </w:r>
      <w:r>
        <w:t xml:space="preserve">: </w:t>
      </w:r>
      <w:r w:rsidRPr="001814D2">
        <w:t xml:space="preserve">Hon Mrs Ashley Dawson-Damer AM </w:t>
      </w:r>
      <w:r w:rsidRPr="00AD67C6">
        <w:rPr>
          <w:b w:val="0"/>
          <w:bCs w:val="0"/>
        </w:rPr>
        <w:t>BEc</w:t>
      </w:r>
    </w:p>
    <w:p w14:paraId="3A5FD3B2" w14:textId="77777777" w:rsidR="009103CC" w:rsidRPr="001814D2" w:rsidRDefault="009103CC" w:rsidP="009103CC">
      <w:pPr>
        <w:pStyle w:val="ARbody"/>
      </w:pPr>
      <w:r w:rsidRPr="001814D2">
        <w:t xml:space="preserve">Ashley Dawson-Damer has a deep understanding of the world of the performing and visual arts, having sat on arts boards over a period of thirty years. In this time, she has continued to study and lecture mainly on French decorative arts and history, and is the author of two books on women’s health and lifestyle, </w:t>
      </w:r>
      <w:r w:rsidRPr="001814D2">
        <w:rPr>
          <w:i/>
          <w:iCs/>
        </w:rPr>
        <w:t>Ripe energy</w:t>
      </w:r>
      <w:r w:rsidRPr="001814D2">
        <w:t xml:space="preserve"> (2005) and </w:t>
      </w:r>
      <w:r w:rsidRPr="001814D2">
        <w:rPr>
          <w:i/>
          <w:iCs/>
        </w:rPr>
        <w:t>On our terms</w:t>
      </w:r>
      <w:r w:rsidRPr="001814D2">
        <w:t xml:space="preserve"> (2011), as well as a memoir, </w:t>
      </w:r>
      <w:r w:rsidRPr="001814D2">
        <w:rPr>
          <w:i/>
          <w:iCs/>
        </w:rPr>
        <w:t>A particular woman</w:t>
      </w:r>
      <w:r w:rsidRPr="001814D2">
        <w:t xml:space="preserve"> (2020). She has been a director of Opera Australia Capital Fund since 2014 and Foundation board director at the University of Technology, Sydney since 2020.</w:t>
      </w:r>
    </w:p>
    <w:p w14:paraId="094932C0" w14:textId="77777777" w:rsidR="009103CC" w:rsidRPr="001814D2" w:rsidRDefault="009103CC" w:rsidP="009103CC">
      <w:pPr>
        <w:pStyle w:val="ARbody"/>
      </w:pPr>
      <w:r w:rsidRPr="001814D2">
        <w:t xml:space="preserve">Previously she was a member of the National Gallery of Australia Council (2005–14) and continues as a director on its Foundation board. She was a Festival of Sydney board director (2012–16), Alternate for the NSW Premier (2012–14) and director of National Art School (2012–14). Mrs Dawson-Damer was a director of the National Institute of Dramatic Art Board </w:t>
      </w:r>
      <w:r w:rsidRPr="001814D2">
        <w:lastRenderedPageBreak/>
        <w:t>(1997–2003), trustee of the Museum of Sydney Foundation (1995–99) and member of the Acquisition Committee for the Australiana Fund (1993–94).</w:t>
      </w:r>
    </w:p>
    <w:p w14:paraId="582CB67B" w14:textId="77777777" w:rsidR="009103CC" w:rsidRPr="001814D2" w:rsidRDefault="009103CC" w:rsidP="009103CC">
      <w:pPr>
        <w:pStyle w:val="ARbody"/>
      </w:pPr>
      <w:r w:rsidRPr="001814D2">
        <w:t xml:space="preserve">She became a member of the Order of Australia (AM) in 2014, and in 2020 was awarded the </w:t>
      </w:r>
      <w:r w:rsidRPr="001814D2">
        <w:rPr>
          <w:i/>
          <w:iCs/>
        </w:rPr>
        <w:t>Chevalier des Arts et des Lettres</w:t>
      </w:r>
      <w:r w:rsidRPr="001814D2">
        <w:t xml:space="preserve"> by the French Government.</w:t>
      </w:r>
    </w:p>
    <w:p w14:paraId="46617881" w14:textId="77777777" w:rsidR="009103CC" w:rsidRPr="001814D2" w:rsidRDefault="009103CC" w:rsidP="009103CC">
      <w:pPr>
        <w:pStyle w:val="ARbody"/>
      </w:pPr>
      <w:r w:rsidRPr="001814D2">
        <w:t>Initial date of appointment 26 February 2014; expiry of current term 31 December 2022.</w:t>
      </w:r>
    </w:p>
    <w:p w14:paraId="2458D551" w14:textId="77777777" w:rsidR="009103CC" w:rsidRPr="001814D2" w:rsidRDefault="009103CC" w:rsidP="009103CC">
      <w:pPr>
        <w:pStyle w:val="ARheading4"/>
      </w:pPr>
      <w:r w:rsidRPr="001814D2">
        <w:t>Member</w:t>
      </w:r>
      <w:r>
        <w:t xml:space="preserve">: </w:t>
      </w:r>
      <w:r w:rsidRPr="001814D2">
        <w:t xml:space="preserve">Professor S Bruce Dowton </w:t>
      </w:r>
      <w:r w:rsidRPr="00AD67C6">
        <w:rPr>
          <w:b w:val="0"/>
          <w:bCs w:val="0"/>
        </w:rPr>
        <w:t>MB BS MD FACMG FRACP FAICD FRSN</w:t>
      </w:r>
    </w:p>
    <w:p w14:paraId="7EFC3FD7" w14:textId="77777777" w:rsidR="009103CC" w:rsidRPr="001814D2" w:rsidRDefault="009103CC" w:rsidP="009103CC">
      <w:pPr>
        <w:pStyle w:val="ARbody"/>
      </w:pPr>
      <w:r w:rsidRPr="001814D2">
        <w:t>Professor S Bruce Dowton is the vice-chancellor and president of Macquarie University. He is a paediatrician, clinical geneticist, molecular biologist, researcher and academic, and has served as a senior medical executive at a range of universities, healthcare institutions and consulting organisations. Most notably, he served as a paediatrician at the Massachusetts General Hospital for Children, and clinical professor in paediatrics at Harvard Medical School. Professor Dowton serves on a number of boards and is the chairman of Open Universities Australia. He was born in Ivanhoe, NSW, and raised in Dubbo before moving to Sydney as the first in his family to go to university.</w:t>
      </w:r>
    </w:p>
    <w:p w14:paraId="2E2A1CE2" w14:textId="77777777" w:rsidR="009103CC" w:rsidRPr="001814D2" w:rsidRDefault="009103CC" w:rsidP="009103CC">
      <w:pPr>
        <w:pStyle w:val="ARbody"/>
      </w:pPr>
      <w:r w:rsidRPr="001814D2">
        <w:t>Initial date of appointment 1 January 2015; expiry of current term 31 December 2023.</w:t>
      </w:r>
    </w:p>
    <w:p w14:paraId="20A2D4A8" w14:textId="77777777" w:rsidR="009103CC" w:rsidRPr="001814D2" w:rsidRDefault="009103CC" w:rsidP="009103CC">
      <w:pPr>
        <w:pStyle w:val="ARheading4"/>
      </w:pPr>
      <w:r w:rsidRPr="001814D2">
        <w:t>Member</w:t>
      </w:r>
      <w:r>
        <w:t xml:space="preserve">: </w:t>
      </w:r>
      <w:r w:rsidRPr="001814D2">
        <w:t xml:space="preserve">Ms Sally Herman </w:t>
      </w:r>
      <w:r w:rsidRPr="00AD67C6">
        <w:rPr>
          <w:b w:val="0"/>
          <w:bCs w:val="0"/>
        </w:rPr>
        <w:t>BA, GAICD</w:t>
      </w:r>
    </w:p>
    <w:p w14:paraId="21C5009B" w14:textId="77777777" w:rsidR="009103CC" w:rsidRPr="001814D2" w:rsidRDefault="009103CC" w:rsidP="009103CC">
      <w:pPr>
        <w:pStyle w:val="ARbody"/>
      </w:pPr>
      <w:r w:rsidRPr="001814D2">
        <w:t>Sally Herman is an experienced director in the fields of financial services, retail, manufacturing and property. She had a successful executive career in financial services in both Australia and the United States, transitioning in late 2010 to a full-time career as a non-executive director. Prior to that, she had spent sixteen years with the Westpac Group. Ms Herman now sits on both listed and unlisted boards, including three ASX 200 companies, Suncorp Group Limited, Premier Investments Limited and Breville Group Limited. She is also on the board of Irongate Property Group, E&amp;P Financial Group Limited and the Sydney Film Festival. She is actively involved in the not-for-profit sector, with a particular interest in social justice, education and the arts. She is a member of Chief Executive Women.</w:t>
      </w:r>
    </w:p>
    <w:p w14:paraId="1DB51067" w14:textId="77777777" w:rsidR="009103CC" w:rsidRPr="001814D2" w:rsidRDefault="009103CC" w:rsidP="009103CC">
      <w:pPr>
        <w:pStyle w:val="ARbody"/>
      </w:pPr>
      <w:r w:rsidRPr="001814D2">
        <w:t>Initial date of appointment 1 January 2019; expiry of current term 31 December 2021.</w:t>
      </w:r>
    </w:p>
    <w:p w14:paraId="46430DF1" w14:textId="77777777" w:rsidR="009103CC" w:rsidRPr="001814D2" w:rsidRDefault="009103CC" w:rsidP="009103CC">
      <w:pPr>
        <w:pStyle w:val="ARheading4"/>
      </w:pPr>
      <w:r w:rsidRPr="001814D2">
        <w:t>Member</w:t>
      </w:r>
      <w:r>
        <w:t xml:space="preserve">: </w:t>
      </w:r>
      <w:r w:rsidRPr="001814D2">
        <w:t xml:space="preserve">Mr Ben Quilty </w:t>
      </w:r>
      <w:r w:rsidRPr="00AD67C6">
        <w:rPr>
          <w:b w:val="0"/>
          <w:bCs w:val="0"/>
        </w:rPr>
        <w:t>BA (Visual Arts), B Des (Vis Com)</w:t>
      </w:r>
    </w:p>
    <w:p w14:paraId="157ABE2E" w14:textId="77777777" w:rsidR="009103CC" w:rsidRPr="001814D2" w:rsidRDefault="009103CC" w:rsidP="009103CC">
      <w:pPr>
        <w:pStyle w:val="ARbody"/>
      </w:pPr>
      <w:r w:rsidRPr="001814D2">
        <w:t xml:space="preserve">Ben Quilty is a practising artist and Sydney College of the Arts graduate. He also graduated from the Western Sydney University (WSU) School of Design, has completed studies in Aboriginal culture and history through Monash University, Melbourne, and in 2015 received an honorary doctorate from WSU. His work is held in numerous institutional collections including the Museum of Contemporary Art Australia, Art Gallery of South Australia and Art Gallery of New South Wales. He has won numerous awards in Australia including the </w:t>
      </w:r>
      <w:r w:rsidRPr="001814D2">
        <w:lastRenderedPageBreak/>
        <w:t>Archibald Prize at the Art Gallery of New South Wales, Doug Moran Portrait Prize, Redlands Westpac Art Prize, National Self Portrait Prize and Brett Whiteley Travelling Art Scholarship. Mr Quilty has guest lectured extensively and is a former board member of Artspace in Woolloomooloo.</w:t>
      </w:r>
    </w:p>
    <w:p w14:paraId="20DEA635" w14:textId="77777777" w:rsidR="009103CC" w:rsidRPr="001814D2" w:rsidRDefault="009103CC" w:rsidP="009103CC">
      <w:pPr>
        <w:pStyle w:val="ARbody"/>
      </w:pPr>
      <w:r w:rsidRPr="001814D2">
        <w:t>Initial date of appointment 1 January 2013; expiry of current term 31 December 2021.</w:t>
      </w:r>
    </w:p>
    <w:p w14:paraId="189AFB46" w14:textId="77777777" w:rsidR="009103CC" w:rsidRPr="001814D2" w:rsidRDefault="009103CC" w:rsidP="009103CC">
      <w:pPr>
        <w:pStyle w:val="ARheading4"/>
      </w:pPr>
      <w:r w:rsidRPr="001814D2">
        <w:t>Member</w:t>
      </w:r>
      <w:r>
        <w:t xml:space="preserve">: </w:t>
      </w:r>
      <w:r w:rsidRPr="001814D2">
        <w:t>Ms Lucy Turnbull AO</w:t>
      </w:r>
    </w:p>
    <w:p w14:paraId="0CA672DE" w14:textId="77777777" w:rsidR="009103CC" w:rsidRPr="001814D2" w:rsidRDefault="009103CC" w:rsidP="009103CC">
      <w:pPr>
        <w:pStyle w:val="ARbody"/>
      </w:pPr>
      <w:r w:rsidRPr="001814D2">
        <w:t>Lucy Hughes Turnbull is an urbanist, businesswoman and philanthropist with a longstanding interest in cities, culture, technological and social innovation and Australian research and commercialisation.</w:t>
      </w:r>
    </w:p>
    <w:p w14:paraId="6891583B" w14:textId="77777777" w:rsidR="009103CC" w:rsidRPr="001814D2" w:rsidRDefault="009103CC" w:rsidP="009103CC">
      <w:pPr>
        <w:pStyle w:val="ARbody"/>
      </w:pPr>
      <w:r w:rsidRPr="001814D2">
        <w:t xml:space="preserve">Ms Turnbull is a director of Turnbull and Partners Pty Ltd, a family-owned business which invests in earlier stage innovative enterprises. In January 2020 she was appointed by the NSW Government as chair of the Sydney Opera House Trust. </w:t>
      </w:r>
    </w:p>
    <w:p w14:paraId="2AF2C85F" w14:textId="77777777" w:rsidR="009103CC" w:rsidRPr="001814D2" w:rsidRDefault="009103CC" w:rsidP="009103CC">
      <w:pPr>
        <w:pStyle w:val="ARbody"/>
      </w:pPr>
      <w:r w:rsidRPr="001814D2">
        <w:t>From 2015–20 she was the inaugural chief commissioner of the Greater Sydney Commission, tasked by the NSW Government to assist in delivering strong and effective strategic planning for the whole of metropolitan Sydney. From 2003–04 she was Lord Mayor of the City of Sydney, the first woman ever to hold the position. She has held many other board roles in the not-for-profit and private sector.</w:t>
      </w:r>
    </w:p>
    <w:p w14:paraId="3EFD9E6F" w14:textId="77777777" w:rsidR="009103CC" w:rsidRPr="001814D2" w:rsidRDefault="009103CC" w:rsidP="009103CC">
      <w:pPr>
        <w:pStyle w:val="ARbody"/>
      </w:pPr>
      <w:r w:rsidRPr="001814D2">
        <w:t>Initial date of appointment 7 August 2019; resigned 31 December 2021.</w:t>
      </w:r>
    </w:p>
    <w:p w14:paraId="22B3CB76" w14:textId="77777777" w:rsidR="009103CC" w:rsidRPr="001814D2" w:rsidRDefault="009103CC" w:rsidP="009103CC">
      <w:pPr>
        <w:pStyle w:val="ARheading3"/>
      </w:pPr>
      <w:r w:rsidRPr="001814D2">
        <w:t>Executives</w:t>
      </w:r>
    </w:p>
    <w:p w14:paraId="66913E1D" w14:textId="77777777" w:rsidR="009103CC" w:rsidRPr="001814D2" w:rsidRDefault="009103CC" w:rsidP="009103CC">
      <w:pPr>
        <w:pStyle w:val="ARheading4"/>
      </w:pPr>
      <w:r w:rsidRPr="001814D2">
        <w:t>Director</w:t>
      </w:r>
      <w:r>
        <w:t xml:space="preserve">: </w:t>
      </w:r>
      <w:r w:rsidRPr="001814D2">
        <w:t>Dr Michael Brand</w:t>
      </w:r>
      <w:r>
        <w:t xml:space="preserve"> </w:t>
      </w:r>
      <w:r w:rsidRPr="00BF42D2">
        <w:rPr>
          <w:b w:val="0"/>
          <w:bCs w:val="0"/>
        </w:rPr>
        <w:t>BA Asian Studies (Hons), MA, PhD (Art History)</w:t>
      </w:r>
    </w:p>
    <w:p w14:paraId="6D08CCFA" w14:textId="77777777" w:rsidR="009103CC" w:rsidRPr="001814D2" w:rsidRDefault="009103CC" w:rsidP="009103CC">
      <w:pPr>
        <w:pStyle w:val="ARbody"/>
      </w:pPr>
      <w:r w:rsidRPr="001814D2">
        <w:t>Michael Brand joined the Art Gallery of New South Wales as director in June 2012. Prior to his appointment, he was director of the new Aga Khan Museum in Toronto while it was under construction. From 2005 to 2010, Dr Brand was director of the J Paul Getty Museum in Los Angeles, leading both the Getty Center and Getty Villa sites and establishing its new Center for Photography. Previously, he was director of the Virginia Museum of Fine Arts in Richmond from 2000 to 2005; assistant director, curatorial and collection development, at the Queensland Art Gallery in Brisbane from 1996 to 2000; curator of Asian art at the National Gallery of Australia in Canberra from 1988 to 1996; and co-director of the Smithsonian Institution Mughal Garden Project in Lahore, Pakistan from 1988 to 1993.</w:t>
      </w:r>
    </w:p>
    <w:p w14:paraId="05AC88FC" w14:textId="77777777" w:rsidR="009103CC" w:rsidRPr="001814D2" w:rsidRDefault="009103CC" w:rsidP="009103CC">
      <w:pPr>
        <w:pStyle w:val="ARbody"/>
      </w:pPr>
      <w:r w:rsidRPr="001814D2">
        <w:t xml:space="preserve">Dr Brand is the current chair of the Council of Australian Art Museum Directors (CAAMD) and serves on the International Advisory Board of The State Hermitage Museum in St Petersburg. His professional affiliations include the Bizot Group of International Art Museum Directors and the American Association of Museum Directors. Dr Brand also sits on the </w:t>
      </w:r>
      <w:r w:rsidRPr="001814D2">
        <w:lastRenderedPageBreak/>
        <w:t>boards of the Australian Institute of Art History, the Sherman Centre for Culture and Ideas (SCCI) Architecture Hub and the Barangaroo Structures Commissioner’s Council, as well as being a member of the Woollahra Council Public Art Panel.</w:t>
      </w:r>
    </w:p>
    <w:p w14:paraId="470FF042" w14:textId="77777777" w:rsidR="009103CC" w:rsidRPr="001814D2" w:rsidRDefault="009103CC" w:rsidP="009103CC">
      <w:pPr>
        <w:pStyle w:val="ARheading4"/>
      </w:pPr>
      <w:r w:rsidRPr="001814D2">
        <w:t>Deputy Director and Director of Collections</w:t>
      </w:r>
      <w:r>
        <w:t xml:space="preserve">: </w:t>
      </w:r>
      <w:r w:rsidRPr="001814D2">
        <w:t>Ms Maud Page</w:t>
      </w:r>
      <w:r>
        <w:t xml:space="preserve"> </w:t>
      </w:r>
      <w:r w:rsidRPr="00BF42D2">
        <w:rPr>
          <w:b w:val="0"/>
          <w:bCs w:val="0"/>
        </w:rPr>
        <w:t>BA (Hons) (Art History)</w:t>
      </w:r>
    </w:p>
    <w:p w14:paraId="4980DD1B" w14:textId="77777777" w:rsidR="009103CC" w:rsidRPr="001814D2" w:rsidRDefault="009103CC" w:rsidP="009103CC">
      <w:pPr>
        <w:pStyle w:val="ARbody"/>
      </w:pPr>
      <w:r w:rsidRPr="001814D2">
        <w:t>Maud Page joined the Art Gallery in 2017 as deputy director and director of collections. She was previously deputy director, collection and exhibitions at the Queensland Art Gallery | Gallery of Modern Art (QAGOMA), Brisbane. Her former role as senior curator of Pacific art saw her develop the most comprehensive collection of contemporary Pacific art in the region. Prior to her art gallery roles, she was a lecturer in museum studies at the University of Sydney.</w:t>
      </w:r>
    </w:p>
    <w:p w14:paraId="6FAF396F" w14:textId="77777777" w:rsidR="009103CC" w:rsidRPr="001814D2" w:rsidRDefault="009103CC" w:rsidP="009103CC">
      <w:pPr>
        <w:pStyle w:val="ARbody"/>
      </w:pPr>
      <w:r w:rsidRPr="001814D2">
        <w:t xml:space="preserve">Ms Page oversees the development and direction of the Art Gallery’s collections. She is responsible for the management and operation of the Art Gallery’s acquisition program, the conservation and display of the collection, curatorial content and development of exhibitions, and oversees the areas of registration, photography, collection management, library and archives, film programs and the Brett Whiteley Studio. Ms Page is a member of the Create NSW Visual Arts Artform Advisory Board. </w:t>
      </w:r>
    </w:p>
    <w:p w14:paraId="303B555B" w14:textId="77777777" w:rsidR="009103CC" w:rsidRPr="001814D2" w:rsidRDefault="009103CC" w:rsidP="009103CC">
      <w:pPr>
        <w:pStyle w:val="ARbody"/>
      </w:pPr>
      <w:r w:rsidRPr="001814D2">
        <w:t>As deputy director, she is responsible for the curatorial direction and public art commissions of the Art Gallery’s Sydney Modern Project expansion.</w:t>
      </w:r>
    </w:p>
    <w:p w14:paraId="6F464B9D" w14:textId="77777777" w:rsidR="009103CC" w:rsidRPr="001814D2" w:rsidRDefault="009103CC" w:rsidP="009103CC">
      <w:pPr>
        <w:pStyle w:val="ARheading4"/>
      </w:pPr>
      <w:r w:rsidRPr="001814D2">
        <w:t>Chief Operating Officer</w:t>
      </w:r>
      <w:r>
        <w:t xml:space="preserve">: </w:t>
      </w:r>
      <w:r w:rsidRPr="001814D2">
        <w:t>Mr Hakan Harman</w:t>
      </w:r>
      <w:r>
        <w:t xml:space="preserve"> </w:t>
      </w:r>
      <w:r w:rsidRPr="00BF42D2">
        <w:rPr>
          <w:b w:val="0"/>
          <w:bCs w:val="0"/>
        </w:rPr>
        <w:t>BCom (Accounting), MPAdmin, FCPA, MAICD</w:t>
      </w:r>
    </w:p>
    <w:p w14:paraId="76CFB1C7" w14:textId="77777777" w:rsidR="009103CC" w:rsidRPr="001814D2" w:rsidRDefault="009103CC" w:rsidP="009103CC">
      <w:pPr>
        <w:pStyle w:val="ARbody"/>
      </w:pPr>
      <w:r w:rsidRPr="001814D2">
        <w:t>Hakan Harman joined the Art Gallery in October 2018. Mr Harman has extensive senior leadership experience in both the public and private sectors and within arts and culture. He has expertise in organisational transformation, financial management, corporate governance, stakeholder engagement and strategic management. Previously he worked for Multicultural NSW where, as chief executive officer, he led a successful transformation of the organisation and, prior to this, he was the chief operating officer at the State Library of NSW.</w:t>
      </w:r>
    </w:p>
    <w:p w14:paraId="18E4274A" w14:textId="77777777" w:rsidR="009103CC" w:rsidRPr="001814D2" w:rsidRDefault="009103CC" w:rsidP="009103CC">
      <w:pPr>
        <w:pStyle w:val="ARbody"/>
      </w:pPr>
      <w:r w:rsidRPr="001814D2">
        <w:t>Mr Harman is company secretary for the Art Gallery of New South Wales Trust, the Art Gallery of New South Wales Foundation, VisAsia and the Brett Whiteley Foundation. He is responsible for administration, human resources, corporate governance, investments, legal services, information technology, audio visual, security and risk management, building services, the Sydney Modern Project team, and finance and budgeting.</w:t>
      </w:r>
    </w:p>
    <w:p w14:paraId="03C40F70" w14:textId="77777777" w:rsidR="009103CC" w:rsidRPr="001814D2" w:rsidRDefault="009103CC" w:rsidP="009103CC">
      <w:pPr>
        <w:pStyle w:val="ARheading4"/>
      </w:pPr>
      <w:r w:rsidRPr="001814D2">
        <w:t>Director of Public Engagement</w:t>
      </w:r>
      <w:r>
        <w:t xml:space="preserve">: </w:t>
      </w:r>
      <w:r w:rsidRPr="001814D2">
        <w:t>Ms Miranda Carroll</w:t>
      </w:r>
      <w:r>
        <w:t xml:space="preserve"> </w:t>
      </w:r>
      <w:r w:rsidRPr="00BF42D2">
        <w:rPr>
          <w:b w:val="0"/>
          <w:bCs w:val="0"/>
        </w:rPr>
        <w:t>BA (Hons) (Art History)</w:t>
      </w:r>
    </w:p>
    <w:p w14:paraId="1390EF17" w14:textId="77777777" w:rsidR="009103CC" w:rsidRPr="001814D2" w:rsidRDefault="009103CC" w:rsidP="009103CC">
      <w:pPr>
        <w:pStyle w:val="ARbody"/>
      </w:pPr>
      <w:r w:rsidRPr="001814D2">
        <w:t xml:space="preserve">Miranda Carroll commenced with the Art Gallery in February 2019. Previously, she worked at </w:t>
      </w:r>
      <w:r w:rsidRPr="001814D2">
        <w:lastRenderedPageBreak/>
        <w:t xml:space="preserve">the Los Angeles County Museum of Art (LACMA) where she was senior director of communications for eight years. At LACMA, Ms Carroll played a pivotal role conceptualising, developing and implementing strategies to raise the museum’s profile and visibility locally, nationally and internationally and increase its audiences. Ms Carroll has worked in art museums across three continents including in the United Kingdom at the National Gallery, London, and in Qatar for the opening of the Museum of Islamic Art, Doha (2008). Relocating to Los Angeles in 2005 she also held positions at the J Paul Getty Trust, Hammer Museum at UCLA and the Santa Monica Museum of Art. </w:t>
      </w:r>
    </w:p>
    <w:p w14:paraId="3A31100F" w14:textId="77777777" w:rsidR="009103CC" w:rsidRPr="001814D2" w:rsidRDefault="009103CC" w:rsidP="009103CC">
      <w:pPr>
        <w:pStyle w:val="ARbody"/>
      </w:pPr>
      <w:r w:rsidRPr="001814D2">
        <w:t xml:space="preserve">Ms Carroll is responsible for audience engagement and development across all divisions within public engagement, including learning and participation (public programs, education, families, access and community), visitor experience, web/digital content and experience, marketing and communications, creative studio/design and publishing. </w:t>
      </w:r>
    </w:p>
    <w:p w14:paraId="0741ECF7" w14:textId="77777777" w:rsidR="009103CC" w:rsidRPr="001814D2" w:rsidRDefault="009103CC" w:rsidP="009103CC">
      <w:pPr>
        <w:pStyle w:val="ARheading4"/>
      </w:pPr>
      <w:r w:rsidRPr="001814D2">
        <w:t>Director of Development</w:t>
      </w:r>
      <w:r>
        <w:t xml:space="preserve">: </w:t>
      </w:r>
      <w:r w:rsidRPr="001814D2">
        <w:t>Mr John Richardson</w:t>
      </w:r>
      <w:r>
        <w:t xml:space="preserve"> </w:t>
      </w:r>
      <w:r w:rsidRPr="00BF42D2">
        <w:rPr>
          <w:b w:val="0"/>
          <w:bCs w:val="0"/>
        </w:rPr>
        <w:t>BA (Economics), MA (Arts Administration)</w:t>
      </w:r>
    </w:p>
    <w:p w14:paraId="072C6739" w14:textId="77777777" w:rsidR="009103CC" w:rsidRPr="001814D2" w:rsidRDefault="009103CC" w:rsidP="009103CC">
      <w:pPr>
        <w:pStyle w:val="ARbody"/>
      </w:pPr>
      <w:r w:rsidRPr="001814D2">
        <w:t>John Richardson joined the Art Gallery in 2014. He is responsible for leading the unprecedented Sydney Modern Project Capital Campaign that to date has raised $103.5 million in private contributions, to complement the NSW Government’s funding commitment of $244 million. An expert in high-end stakeholder management, a strategic leader and commercial strategist, he is deeply committed to building, maintaining and growing corporate partner, government and benefactor relationships. He has worked at Back Row Productions and the New 42nd Street Project in New York City, and was the chief commercial officer at the South Sydney Rabbitohs from 2006 to 2014, turning the off-field business pillars into one of the benchmark commercial sports administrations in Australia.</w:t>
      </w:r>
    </w:p>
    <w:p w14:paraId="4D809E9E" w14:textId="77777777" w:rsidR="009103CC" w:rsidRPr="001814D2" w:rsidRDefault="009103CC" w:rsidP="009103CC">
      <w:pPr>
        <w:pStyle w:val="ARbody"/>
      </w:pPr>
      <w:r w:rsidRPr="001814D2">
        <w:t>Mr Richardson is responsible for philanthropy, corporate partnership, venue hire, restaurant, catering, retail and Sydney Modern Project Capital Campaign departments at the Art Gallery, as well as for liaising with the Art Gallery’s membership organisation.</w:t>
      </w:r>
    </w:p>
    <w:p w14:paraId="5A51F3FB" w14:textId="77777777" w:rsidR="009103CC" w:rsidRPr="001814D2" w:rsidRDefault="009103CC" w:rsidP="009103CC">
      <w:pPr>
        <w:pStyle w:val="ARheading3"/>
      </w:pPr>
      <w:r w:rsidRPr="001814D2">
        <w:t>Board of Trustees meetings</w:t>
      </w:r>
    </w:p>
    <w:p w14:paraId="1509C332" w14:textId="77777777" w:rsidR="009103CC" w:rsidRPr="001814D2" w:rsidRDefault="009103CC" w:rsidP="009103CC">
      <w:pPr>
        <w:pStyle w:val="ARbody"/>
      </w:pPr>
      <w:r w:rsidRPr="001814D2">
        <w:t xml:space="preserve">The Board of Trustees comprises eleven trustees, appointed by the governor on the nomination of the minister for the arts, at least two of whom must be knowledgeable and experienced in the visual arts. A trustee holds office for three years and is eligible for reappointment for no more than three consecutive terms. </w:t>
      </w:r>
    </w:p>
    <w:p w14:paraId="329214EE" w14:textId="77777777" w:rsidR="009103CC" w:rsidRPr="001814D2" w:rsidRDefault="009103CC" w:rsidP="009103CC">
      <w:pPr>
        <w:pStyle w:val="ARbody"/>
      </w:pPr>
      <w:r w:rsidRPr="001814D2">
        <w:t xml:space="preserve">There were six meetings of the Board of Trustees during the period July 2020 to June 2021. Trustee attendances were as follows: David Gonski (president) (6/6); Gretel Packer (vice-president) (6/6); Tony Albert (6/6); Ben Quilty (6/6); Anita Belgiorno-Nettis (6/6); John Borghetti (6/6); Andrew Cameron (6/6); Ashley Dawson-Damer (5/6); Bruce Dowton (6/6); </w:t>
      </w:r>
      <w:r w:rsidRPr="001814D2">
        <w:lastRenderedPageBreak/>
        <w:t>Sally Herman (6/6); Lucy Turnbull (stood down December 2020) (5/5).</w:t>
      </w:r>
    </w:p>
    <w:p w14:paraId="2939B80B" w14:textId="77777777" w:rsidR="009103CC" w:rsidRPr="001814D2" w:rsidRDefault="009103CC" w:rsidP="009103CC">
      <w:pPr>
        <w:pStyle w:val="ARheading4"/>
      </w:pPr>
      <w:r w:rsidRPr="001814D2">
        <w:t>Board of Trustees sub-committees</w:t>
      </w:r>
    </w:p>
    <w:p w14:paraId="26563FB6" w14:textId="77777777" w:rsidR="009103CC" w:rsidRPr="001814D2" w:rsidRDefault="009103CC" w:rsidP="009103CC">
      <w:pPr>
        <w:pStyle w:val="ARbody"/>
      </w:pPr>
      <w:r w:rsidRPr="001814D2">
        <w:t>The sub-committees generally comprise a subset of board members based on their respective areas of interest and expertise. Relevant senior staff members and other experts are included as appropriate. The sub-committees are responsible for monitoring their respective areas and making recommendations to the full Board for approval or otherwise. They usually meet in the lead-up to the main Board meeting, at which the minutes of their meetings are tabled.</w:t>
      </w:r>
    </w:p>
    <w:p w14:paraId="55D6E80E" w14:textId="77777777" w:rsidR="009103CC" w:rsidRPr="001814D2" w:rsidRDefault="009103CC" w:rsidP="009103CC">
      <w:pPr>
        <w:pStyle w:val="ARheading4"/>
      </w:pPr>
      <w:r w:rsidRPr="001814D2">
        <w:t xml:space="preserve">Acquisitions and Loans Sub-committee </w:t>
      </w:r>
    </w:p>
    <w:p w14:paraId="3091511B" w14:textId="77777777" w:rsidR="009103CC" w:rsidRPr="001814D2" w:rsidRDefault="009103CC" w:rsidP="009103CC">
      <w:pPr>
        <w:pStyle w:val="ARbody"/>
      </w:pPr>
      <w:r w:rsidRPr="001814D2">
        <w:t xml:space="preserve">The Acquisitions and Loans Sub-committee plays an important role in overseeing the Art Gallery’s collections policies. It considers proposals on acquisitions, commissions, gifts and loans and, if applicable, de-accessions. Based on these considerations, recommendations are made to the Board for ratification. </w:t>
      </w:r>
    </w:p>
    <w:p w14:paraId="51E1417D" w14:textId="77777777" w:rsidR="009103CC" w:rsidRPr="001814D2" w:rsidRDefault="009103CC" w:rsidP="009103CC">
      <w:pPr>
        <w:pStyle w:val="ARbody"/>
      </w:pPr>
      <w:r w:rsidRPr="001814D2">
        <w:t xml:space="preserve">The Acquisitions and Loans Sub-committee met six times between July 2020 and June 2021. Attendances were as follows: Andrew Cameron (chair) (6/6); Tony Albert (6/6); Anita Belgiorno-Nettis (4/6); Ashley Dawson-Damer (5/6); Gretel Packer (6/6); Ben Quilty (6/6); Geoff Ainsworth (non-trustee member) (5/6); Mark Nelson (non-trustee member) (6/6); Catherine Brenner (non-trustee member) (6/6). </w:t>
      </w:r>
    </w:p>
    <w:p w14:paraId="499A3998" w14:textId="77777777" w:rsidR="009103CC" w:rsidRPr="001814D2" w:rsidRDefault="009103CC" w:rsidP="009103CC">
      <w:pPr>
        <w:pStyle w:val="ARheading4"/>
      </w:pPr>
      <w:r w:rsidRPr="001814D2">
        <w:t>Finance, Audit and Risk Sub-committee</w:t>
      </w:r>
    </w:p>
    <w:p w14:paraId="3CA04640" w14:textId="77777777" w:rsidR="009103CC" w:rsidRPr="001814D2" w:rsidRDefault="009103CC" w:rsidP="009103CC">
      <w:pPr>
        <w:pStyle w:val="ARbody"/>
      </w:pPr>
      <w:r w:rsidRPr="001814D2">
        <w:t xml:space="preserve">The Finance, Audit and Risk Sub-committee oversees strategic and operational risk and financial management. It provides guidance and makes recommendations to the Board in relation to all financial, audit and risk matters. </w:t>
      </w:r>
    </w:p>
    <w:p w14:paraId="6BB3CA68" w14:textId="77777777" w:rsidR="009103CC" w:rsidRPr="001814D2" w:rsidRDefault="009103CC" w:rsidP="009103CC">
      <w:pPr>
        <w:pStyle w:val="ARbody"/>
      </w:pPr>
      <w:r w:rsidRPr="001814D2">
        <w:t>The Finance, Audit and Risk Committee met five times between July 2020 and June 2021. Attendances were as follows: Sally Herman (chair) (5/5); John Borghetti (3/5); Bruce Dowton (5/5); David Gonski (5/5); Miles Bastick (non-trustee member) (5/5); Catherine Brenner (non-trustee member) (5/5); Ross Gavin (non-trustee member) (4/4); Mark Nelson (non-trustee member) (5/5).</w:t>
      </w:r>
    </w:p>
    <w:p w14:paraId="6B68EAB8" w14:textId="77777777" w:rsidR="009103CC" w:rsidRPr="001814D2" w:rsidRDefault="009103CC" w:rsidP="009103CC">
      <w:pPr>
        <w:pStyle w:val="ARheading4"/>
      </w:pPr>
      <w:r w:rsidRPr="001814D2">
        <w:t>Audience and Engagement Sub-committee</w:t>
      </w:r>
    </w:p>
    <w:p w14:paraId="33018743" w14:textId="77777777" w:rsidR="009103CC" w:rsidRPr="001814D2" w:rsidRDefault="009103CC" w:rsidP="009103CC">
      <w:pPr>
        <w:pStyle w:val="ARbody"/>
      </w:pPr>
      <w:r w:rsidRPr="001814D2">
        <w:t xml:space="preserve">The Audience and Engagement Sub-committee provides oversight on the Art Gallery’s various engagement strategies. </w:t>
      </w:r>
    </w:p>
    <w:p w14:paraId="5CAED6E7" w14:textId="77777777" w:rsidR="009103CC" w:rsidRPr="001814D2" w:rsidRDefault="009103CC" w:rsidP="009103CC">
      <w:pPr>
        <w:pStyle w:val="ARbody"/>
      </w:pPr>
      <w:r w:rsidRPr="001814D2">
        <w:t>The Audience and Engagement Sub-committee met seven times between July 2020 and June 2021. Trustee attendances were as follows: John Borghetti (chair) (7/7); Anita Belgiorno-Nettis (6/7); Ashley Dawson-Damer (6/7); Gretel Packer (7/7); Ben Quilty (6/7).</w:t>
      </w:r>
    </w:p>
    <w:p w14:paraId="3A773349" w14:textId="77777777" w:rsidR="009103CC" w:rsidRPr="001814D2" w:rsidRDefault="009103CC" w:rsidP="009103CC">
      <w:pPr>
        <w:pStyle w:val="ARheading4"/>
      </w:pPr>
      <w:r w:rsidRPr="001814D2">
        <w:lastRenderedPageBreak/>
        <w:t>Capital Campaign Committee</w:t>
      </w:r>
    </w:p>
    <w:p w14:paraId="09F7496B" w14:textId="77777777" w:rsidR="009103CC" w:rsidRPr="001814D2" w:rsidRDefault="009103CC" w:rsidP="009103CC">
      <w:pPr>
        <w:pStyle w:val="ARbody"/>
      </w:pPr>
      <w:r w:rsidRPr="001814D2">
        <w:t>The Capital Campaign Committee met six times between July 2020 and June 2021. Trustee attendances were as follows: Mark Nelson (chair) (6/6); David Gonski (6/6); Rosie Williams (6/6); Peggy Yeoh (4/6); Bruce Dowton (4/6); Andrew Cameron (5/6); Gretel Packer (2020 member) (1/3); Kerry-Anne Johnston (3/6); Kiera Grant (4/6); Justin Miller (4/6); Liz Lewin (2021 member) (3/3).</w:t>
      </w:r>
    </w:p>
    <w:p w14:paraId="6EC855CD" w14:textId="77777777" w:rsidR="009103CC" w:rsidRPr="001814D2" w:rsidRDefault="009103CC" w:rsidP="009103CC">
      <w:pPr>
        <w:pStyle w:val="ARheading3"/>
      </w:pPr>
      <w:r w:rsidRPr="001814D2">
        <w:t>Organisation chart</w:t>
      </w:r>
    </w:p>
    <w:p w14:paraId="169081B3" w14:textId="77777777" w:rsidR="009103CC" w:rsidRPr="001A35EB" w:rsidRDefault="009103CC" w:rsidP="009103CC">
      <w:pPr>
        <w:pStyle w:val="ARbody"/>
        <w:rPr>
          <w:b/>
          <w:bCs/>
        </w:rPr>
      </w:pPr>
      <w:r w:rsidRPr="001A35EB">
        <w:rPr>
          <w:b/>
          <w:bCs/>
        </w:rPr>
        <w:t>1 Minister for the Arts</w:t>
      </w:r>
    </w:p>
    <w:p w14:paraId="40CC7CFB" w14:textId="77777777" w:rsidR="009103CC" w:rsidRPr="001A35EB" w:rsidRDefault="009103CC" w:rsidP="009103CC">
      <w:pPr>
        <w:pStyle w:val="ARbody"/>
        <w:rPr>
          <w:b/>
          <w:bCs/>
        </w:rPr>
      </w:pPr>
      <w:r w:rsidRPr="001A35EB">
        <w:rPr>
          <w:b/>
          <w:bCs/>
        </w:rPr>
        <w:t>2 Department of Premier and Cabinet</w:t>
      </w:r>
    </w:p>
    <w:p w14:paraId="7FE37190" w14:textId="77777777" w:rsidR="009103CC" w:rsidRPr="001A35EB" w:rsidRDefault="009103CC" w:rsidP="009103CC">
      <w:pPr>
        <w:pStyle w:val="ARbody"/>
        <w:rPr>
          <w:b/>
          <w:bCs/>
        </w:rPr>
      </w:pPr>
      <w:r w:rsidRPr="001A35EB">
        <w:rPr>
          <w:b/>
          <w:bCs/>
        </w:rPr>
        <w:t>3 Art Gallery of New South Wales Board of Trustees. President: David Gonski AC</w:t>
      </w:r>
    </w:p>
    <w:p w14:paraId="53888CFC" w14:textId="77777777" w:rsidR="009103CC" w:rsidRPr="001A35EB" w:rsidRDefault="009103CC" w:rsidP="009103CC">
      <w:pPr>
        <w:pStyle w:val="ARbody"/>
        <w:rPr>
          <w:b/>
          <w:bCs/>
        </w:rPr>
      </w:pPr>
      <w:r w:rsidRPr="001A35EB">
        <w:rPr>
          <w:b/>
          <w:bCs/>
        </w:rPr>
        <w:t>4 Art Gallery of New South Wales Trust Staff Agency. Director: Dr Michael Brand</w:t>
      </w:r>
    </w:p>
    <w:p w14:paraId="38957A23" w14:textId="77777777" w:rsidR="009103CC" w:rsidRPr="001A35EB" w:rsidRDefault="009103CC" w:rsidP="009103CC">
      <w:pPr>
        <w:pStyle w:val="ARbody"/>
        <w:rPr>
          <w:b/>
          <w:bCs/>
        </w:rPr>
      </w:pPr>
      <w:r w:rsidRPr="001A35EB">
        <w:rPr>
          <w:b/>
          <w:bCs/>
        </w:rPr>
        <w:t>5 Directorate</w:t>
      </w:r>
    </w:p>
    <w:p w14:paraId="597B5B58" w14:textId="77777777" w:rsidR="009103CC" w:rsidRPr="001814D2" w:rsidRDefault="009103CC" w:rsidP="009103CC">
      <w:pPr>
        <w:pStyle w:val="ARlistparagraph"/>
      </w:pPr>
      <w:r w:rsidRPr="001814D2">
        <w:t>Government Relations</w:t>
      </w:r>
    </w:p>
    <w:p w14:paraId="6C6C1582" w14:textId="77777777" w:rsidR="009103CC" w:rsidRPr="001814D2" w:rsidRDefault="009103CC" w:rsidP="009103CC">
      <w:pPr>
        <w:pStyle w:val="ARlistparagraph"/>
      </w:pPr>
      <w:r w:rsidRPr="001814D2">
        <w:t>Public Affairs</w:t>
      </w:r>
    </w:p>
    <w:p w14:paraId="09821491" w14:textId="77777777" w:rsidR="009103CC" w:rsidRPr="001A35EB" w:rsidRDefault="009103CC" w:rsidP="009103CC">
      <w:pPr>
        <w:pStyle w:val="ARbody"/>
        <w:rPr>
          <w:b/>
          <w:bCs/>
        </w:rPr>
      </w:pPr>
      <w:r w:rsidRPr="001A35EB">
        <w:rPr>
          <w:b/>
          <w:bCs/>
        </w:rPr>
        <w:t>5 Deputy Director/Director of Collections: Maud Page</w:t>
      </w:r>
    </w:p>
    <w:p w14:paraId="5E5BA75C" w14:textId="77777777" w:rsidR="009103CC" w:rsidRPr="001814D2" w:rsidRDefault="009103CC" w:rsidP="009103CC">
      <w:pPr>
        <w:pStyle w:val="ARlistparagraph"/>
      </w:pPr>
      <w:r w:rsidRPr="001814D2">
        <w:t>Australian Art/Brett Whiteley Studio</w:t>
      </w:r>
    </w:p>
    <w:p w14:paraId="7D306676" w14:textId="77777777" w:rsidR="009103CC" w:rsidRPr="001814D2" w:rsidRDefault="009103CC" w:rsidP="009103CC">
      <w:pPr>
        <w:pStyle w:val="ARlistparagraph"/>
      </w:pPr>
      <w:r w:rsidRPr="001814D2">
        <w:t xml:space="preserve">International Art </w:t>
      </w:r>
    </w:p>
    <w:p w14:paraId="44D7A83D" w14:textId="77777777" w:rsidR="009103CC" w:rsidRPr="001814D2" w:rsidRDefault="009103CC" w:rsidP="009103CC">
      <w:pPr>
        <w:pStyle w:val="ARlistparagraph"/>
      </w:pPr>
      <w:r w:rsidRPr="001814D2">
        <w:t>Collection Management</w:t>
      </w:r>
    </w:p>
    <w:p w14:paraId="205E113E" w14:textId="77777777" w:rsidR="009103CC" w:rsidRPr="001814D2" w:rsidRDefault="009103CC" w:rsidP="009103CC">
      <w:pPr>
        <w:pStyle w:val="ARlistparagraph"/>
      </w:pPr>
      <w:r w:rsidRPr="001814D2">
        <w:t>Conservation</w:t>
      </w:r>
    </w:p>
    <w:p w14:paraId="53C82C46" w14:textId="77777777" w:rsidR="009103CC" w:rsidRPr="001814D2" w:rsidRDefault="009103CC" w:rsidP="009103CC">
      <w:pPr>
        <w:pStyle w:val="ARlistparagraph"/>
      </w:pPr>
      <w:r w:rsidRPr="001814D2">
        <w:t>Exhibition Management/Installation</w:t>
      </w:r>
    </w:p>
    <w:p w14:paraId="41574E79" w14:textId="77777777" w:rsidR="009103CC" w:rsidRPr="001814D2" w:rsidRDefault="009103CC" w:rsidP="009103CC">
      <w:pPr>
        <w:pStyle w:val="ARlistparagraph"/>
      </w:pPr>
      <w:r w:rsidRPr="001814D2">
        <w:t>Photography</w:t>
      </w:r>
    </w:p>
    <w:p w14:paraId="4D6A5804" w14:textId="77777777" w:rsidR="009103CC" w:rsidRPr="001814D2" w:rsidRDefault="009103CC" w:rsidP="009103CC">
      <w:pPr>
        <w:pStyle w:val="ARlistparagraph"/>
      </w:pPr>
      <w:r w:rsidRPr="001814D2">
        <w:t>Research Library and Archives</w:t>
      </w:r>
    </w:p>
    <w:p w14:paraId="03BF660D" w14:textId="77777777" w:rsidR="009103CC" w:rsidRPr="001814D2" w:rsidRDefault="009103CC" w:rsidP="009103CC">
      <w:pPr>
        <w:pStyle w:val="ARlistparagraph"/>
      </w:pPr>
      <w:r w:rsidRPr="001814D2">
        <w:t>Registration</w:t>
      </w:r>
    </w:p>
    <w:p w14:paraId="60BAB6F8" w14:textId="77777777" w:rsidR="009103CC" w:rsidRPr="001814D2" w:rsidRDefault="009103CC" w:rsidP="009103CC">
      <w:pPr>
        <w:pStyle w:val="ARlistparagraph"/>
      </w:pPr>
      <w:r w:rsidRPr="001814D2">
        <w:t xml:space="preserve">Sydney Modern Project Exhibitions </w:t>
      </w:r>
      <w:r w:rsidRPr="001814D2">
        <w:br/>
        <w:t>and Commissions</w:t>
      </w:r>
    </w:p>
    <w:p w14:paraId="760A3569" w14:textId="77777777" w:rsidR="009103CC" w:rsidRPr="001A35EB" w:rsidRDefault="009103CC" w:rsidP="009103CC">
      <w:pPr>
        <w:pStyle w:val="ARbody"/>
        <w:rPr>
          <w:b/>
          <w:bCs/>
        </w:rPr>
      </w:pPr>
      <w:r w:rsidRPr="001A35EB">
        <w:rPr>
          <w:b/>
          <w:bCs/>
        </w:rPr>
        <w:t>5 Chief Operating Officer: Hakan Harman</w:t>
      </w:r>
    </w:p>
    <w:p w14:paraId="00AFFDE0" w14:textId="77777777" w:rsidR="009103CC" w:rsidRPr="001814D2" w:rsidRDefault="009103CC" w:rsidP="009103CC">
      <w:pPr>
        <w:pStyle w:val="ARlistparagraph"/>
      </w:pPr>
      <w:r w:rsidRPr="001814D2">
        <w:lastRenderedPageBreak/>
        <w:t xml:space="preserve">Facilities Management </w:t>
      </w:r>
    </w:p>
    <w:p w14:paraId="7AAB303F" w14:textId="77777777" w:rsidR="009103CC" w:rsidRPr="001814D2" w:rsidRDefault="009103CC" w:rsidP="009103CC">
      <w:pPr>
        <w:pStyle w:val="ARlistparagraph"/>
      </w:pPr>
      <w:r w:rsidRPr="001814D2">
        <w:t>Finance</w:t>
      </w:r>
    </w:p>
    <w:p w14:paraId="1466D1BC" w14:textId="77777777" w:rsidR="009103CC" w:rsidRPr="001814D2" w:rsidRDefault="009103CC" w:rsidP="009103CC">
      <w:pPr>
        <w:pStyle w:val="ARlistparagraph"/>
      </w:pPr>
      <w:r w:rsidRPr="001814D2">
        <w:t>Governance and Services</w:t>
      </w:r>
    </w:p>
    <w:p w14:paraId="4788C714" w14:textId="77777777" w:rsidR="009103CC" w:rsidRPr="001814D2" w:rsidRDefault="009103CC" w:rsidP="009103CC">
      <w:pPr>
        <w:pStyle w:val="ARlistparagraph"/>
      </w:pPr>
      <w:r w:rsidRPr="001814D2">
        <w:t>Information and Communication Technology/Audio Visual Services</w:t>
      </w:r>
    </w:p>
    <w:p w14:paraId="654A236E" w14:textId="77777777" w:rsidR="009103CC" w:rsidRPr="001814D2" w:rsidRDefault="009103CC" w:rsidP="009103CC">
      <w:pPr>
        <w:pStyle w:val="ARlistparagraph"/>
      </w:pPr>
      <w:r w:rsidRPr="001814D2">
        <w:t>Legal</w:t>
      </w:r>
    </w:p>
    <w:p w14:paraId="683E12A4" w14:textId="77777777" w:rsidR="009103CC" w:rsidRPr="001814D2" w:rsidRDefault="009103CC" w:rsidP="009103CC">
      <w:pPr>
        <w:pStyle w:val="ARlistparagraph"/>
      </w:pPr>
      <w:r w:rsidRPr="001814D2">
        <w:t>People and Culture</w:t>
      </w:r>
    </w:p>
    <w:p w14:paraId="305E1C0F" w14:textId="77777777" w:rsidR="009103CC" w:rsidRPr="001814D2" w:rsidRDefault="009103CC" w:rsidP="009103CC">
      <w:pPr>
        <w:pStyle w:val="ARlistparagraph"/>
      </w:pPr>
      <w:r w:rsidRPr="001814D2">
        <w:t>Security</w:t>
      </w:r>
    </w:p>
    <w:p w14:paraId="2567364E" w14:textId="77777777" w:rsidR="009103CC" w:rsidRPr="001814D2" w:rsidRDefault="009103CC" w:rsidP="009103CC">
      <w:pPr>
        <w:pStyle w:val="ARlistparagraph"/>
      </w:pPr>
      <w:r w:rsidRPr="001814D2">
        <w:t>Sydney Modern Project</w:t>
      </w:r>
    </w:p>
    <w:p w14:paraId="039B136D" w14:textId="77777777" w:rsidR="009103CC" w:rsidRPr="001A35EB" w:rsidRDefault="009103CC" w:rsidP="009103CC">
      <w:pPr>
        <w:pStyle w:val="ARbody"/>
        <w:rPr>
          <w:b/>
          <w:bCs/>
        </w:rPr>
      </w:pPr>
      <w:r w:rsidRPr="001A35EB">
        <w:rPr>
          <w:b/>
          <w:bCs/>
        </w:rPr>
        <w:t>5 Director of Public Engagement: Miranda Carroll</w:t>
      </w:r>
    </w:p>
    <w:p w14:paraId="6F44DBD7" w14:textId="77777777" w:rsidR="009103CC" w:rsidRPr="001814D2" w:rsidRDefault="009103CC" w:rsidP="009103CC">
      <w:pPr>
        <w:pStyle w:val="ARlistparagraph"/>
      </w:pPr>
      <w:r w:rsidRPr="001814D2">
        <w:t>Design and Creative Studio</w:t>
      </w:r>
    </w:p>
    <w:p w14:paraId="3FB2BD7E" w14:textId="77777777" w:rsidR="009103CC" w:rsidRPr="001814D2" w:rsidRDefault="009103CC" w:rsidP="009103CC">
      <w:pPr>
        <w:pStyle w:val="ARlistparagraph"/>
      </w:pPr>
      <w:r w:rsidRPr="001814D2">
        <w:t>Digital Engagement</w:t>
      </w:r>
    </w:p>
    <w:p w14:paraId="471C6450" w14:textId="77777777" w:rsidR="009103CC" w:rsidRPr="001814D2" w:rsidRDefault="009103CC" w:rsidP="009103CC">
      <w:pPr>
        <w:pStyle w:val="ARlistparagraph"/>
      </w:pPr>
      <w:r w:rsidRPr="001814D2">
        <w:t>Learning and Participation</w:t>
      </w:r>
    </w:p>
    <w:p w14:paraId="27412D3A" w14:textId="77777777" w:rsidR="009103CC" w:rsidRPr="001814D2" w:rsidRDefault="009103CC" w:rsidP="009103CC">
      <w:pPr>
        <w:pStyle w:val="ARlistparagraph"/>
      </w:pPr>
      <w:r w:rsidRPr="001814D2">
        <w:t>Marketing and Communications</w:t>
      </w:r>
    </w:p>
    <w:p w14:paraId="0A70CD96" w14:textId="77777777" w:rsidR="009103CC" w:rsidRPr="001814D2" w:rsidRDefault="009103CC" w:rsidP="009103CC">
      <w:pPr>
        <w:pStyle w:val="ARlistparagraph"/>
      </w:pPr>
      <w:r w:rsidRPr="001814D2">
        <w:t>Publishing</w:t>
      </w:r>
    </w:p>
    <w:p w14:paraId="248B99DC" w14:textId="77777777" w:rsidR="009103CC" w:rsidRPr="001814D2" w:rsidRDefault="009103CC" w:rsidP="009103CC">
      <w:pPr>
        <w:pStyle w:val="ARlistparagraph"/>
      </w:pPr>
      <w:r w:rsidRPr="001814D2">
        <w:t>Visitor Experience</w:t>
      </w:r>
    </w:p>
    <w:p w14:paraId="1A9A4066" w14:textId="77777777" w:rsidR="009103CC" w:rsidRPr="001A35EB" w:rsidRDefault="009103CC" w:rsidP="009103CC">
      <w:pPr>
        <w:pStyle w:val="ARbody"/>
        <w:rPr>
          <w:b/>
          <w:bCs/>
        </w:rPr>
      </w:pPr>
      <w:r w:rsidRPr="001A35EB">
        <w:rPr>
          <w:b/>
          <w:bCs/>
        </w:rPr>
        <w:t>5 Director of Development: John Richardson</w:t>
      </w:r>
    </w:p>
    <w:p w14:paraId="2AA55ABA" w14:textId="77777777" w:rsidR="009103CC" w:rsidRPr="001814D2" w:rsidRDefault="009103CC" w:rsidP="009103CC">
      <w:pPr>
        <w:pStyle w:val="ARlistparagraph"/>
      </w:pPr>
      <w:r w:rsidRPr="001814D2">
        <w:t>Business Development</w:t>
      </w:r>
    </w:p>
    <w:p w14:paraId="24966AF6" w14:textId="77777777" w:rsidR="009103CC" w:rsidRPr="001814D2" w:rsidRDefault="009103CC" w:rsidP="009103CC">
      <w:pPr>
        <w:pStyle w:val="ARlistparagraph"/>
      </w:pPr>
      <w:r w:rsidRPr="001814D2">
        <w:t>Sydney Modern Project Capital Campaign</w:t>
      </w:r>
    </w:p>
    <w:p w14:paraId="39922D98" w14:textId="77777777" w:rsidR="009103CC" w:rsidRPr="001814D2" w:rsidRDefault="009103CC" w:rsidP="009103CC">
      <w:pPr>
        <w:pStyle w:val="ARlistparagraph"/>
      </w:pPr>
      <w:r w:rsidRPr="001814D2">
        <w:t>Foundation</w:t>
      </w:r>
    </w:p>
    <w:p w14:paraId="37EBEBF9" w14:textId="77777777" w:rsidR="009103CC" w:rsidRPr="001814D2" w:rsidRDefault="009103CC" w:rsidP="009103CC">
      <w:pPr>
        <w:pStyle w:val="ARlistparagraph"/>
      </w:pPr>
      <w:r w:rsidRPr="001814D2">
        <w:t>Gallery Shop</w:t>
      </w:r>
    </w:p>
    <w:p w14:paraId="70C87B6F" w14:textId="77777777" w:rsidR="009103CC" w:rsidRPr="001814D2" w:rsidRDefault="009103CC" w:rsidP="009103CC">
      <w:pPr>
        <w:pStyle w:val="ARlistparagraph"/>
      </w:pPr>
      <w:r w:rsidRPr="001814D2">
        <w:t>Philanthropy</w:t>
      </w:r>
    </w:p>
    <w:p w14:paraId="56343235" w14:textId="77777777" w:rsidR="009103CC" w:rsidRPr="001814D2" w:rsidRDefault="009103CC" w:rsidP="009103CC">
      <w:pPr>
        <w:pStyle w:val="ARlistparagraph"/>
      </w:pPr>
      <w:r w:rsidRPr="001814D2">
        <w:t>Venue Management</w:t>
      </w:r>
    </w:p>
    <w:p w14:paraId="2B76EFD9" w14:textId="77777777" w:rsidR="009103CC" w:rsidRPr="001814D2" w:rsidRDefault="009103CC" w:rsidP="009103CC">
      <w:pPr>
        <w:pStyle w:val="ARheading3"/>
      </w:pPr>
      <w:r w:rsidRPr="001814D2">
        <w:t>Staff</w:t>
      </w:r>
    </w:p>
    <w:p w14:paraId="0CDC3472" w14:textId="77777777" w:rsidR="009103CC" w:rsidRPr="001814D2" w:rsidRDefault="009103CC" w:rsidP="009103CC">
      <w:pPr>
        <w:pStyle w:val="ARheading4"/>
        <w:rPr>
          <w:rFonts w:cs="Arial"/>
          <w:lang w:val="en-US"/>
        </w:rPr>
      </w:pPr>
      <w:r w:rsidRPr="001814D2">
        <w:rPr>
          <w:rFonts w:cs="Arial"/>
          <w:lang w:val="en-US"/>
        </w:rPr>
        <w:lastRenderedPageBreak/>
        <w:t>Staff profile</w:t>
      </w:r>
    </w:p>
    <w:tbl>
      <w:tblPr>
        <w:tblStyle w:val="TableGrid"/>
        <w:tblW w:w="0" w:type="auto"/>
        <w:tblLook w:val="0620" w:firstRow="1" w:lastRow="0" w:firstColumn="0" w:lastColumn="0" w:noHBand="1" w:noVBand="1"/>
        <w:tblCaption w:val="Staff profile"/>
        <w:tblDescription w:val="This table provides a head count of Gallery staff by classification for the financial years 2017-18 to 2020-21."/>
      </w:tblPr>
      <w:tblGrid>
        <w:gridCol w:w="4077"/>
        <w:gridCol w:w="1190"/>
        <w:gridCol w:w="1190"/>
        <w:gridCol w:w="1190"/>
        <w:gridCol w:w="1190"/>
      </w:tblGrid>
      <w:tr w:rsidR="009103CC" w:rsidRPr="00F61169" w14:paraId="04A4082B" w14:textId="77777777" w:rsidTr="002718DF">
        <w:trPr>
          <w:tblHeader/>
        </w:trPr>
        <w:tc>
          <w:tcPr>
            <w:tcW w:w="4077" w:type="dxa"/>
          </w:tcPr>
          <w:p w14:paraId="76D4C05E" w14:textId="77777777" w:rsidR="009103CC" w:rsidRPr="00F61169" w:rsidRDefault="009103CC" w:rsidP="002718DF">
            <w:pPr>
              <w:pStyle w:val="Tabletext"/>
              <w:rPr>
                <w:b/>
                <w:bCs/>
              </w:rPr>
            </w:pPr>
            <w:r w:rsidRPr="00F61169">
              <w:rPr>
                <w:b/>
                <w:bCs/>
              </w:rPr>
              <w:t>Classification</w:t>
            </w:r>
          </w:p>
        </w:tc>
        <w:tc>
          <w:tcPr>
            <w:tcW w:w="1190" w:type="dxa"/>
          </w:tcPr>
          <w:p w14:paraId="5AE4D6E0" w14:textId="77777777" w:rsidR="009103CC" w:rsidRPr="00F61169" w:rsidRDefault="009103CC" w:rsidP="002718DF">
            <w:pPr>
              <w:pStyle w:val="Tabletext"/>
              <w:jc w:val="right"/>
              <w:rPr>
                <w:b/>
                <w:bCs/>
              </w:rPr>
            </w:pPr>
            <w:r w:rsidRPr="00F61169">
              <w:rPr>
                <w:b/>
                <w:bCs/>
              </w:rPr>
              <w:t>2017–18</w:t>
            </w:r>
          </w:p>
        </w:tc>
        <w:tc>
          <w:tcPr>
            <w:tcW w:w="1190" w:type="dxa"/>
          </w:tcPr>
          <w:p w14:paraId="18142B9D" w14:textId="77777777" w:rsidR="009103CC" w:rsidRPr="00F61169" w:rsidRDefault="009103CC" w:rsidP="002718DF">
            <w:pPr>
              <w:pStyle w:val="Tabletext"/>
              <w:jc w:val="right"/>
              <w:rPr>
                <w:b/>
                <w:bCs/>
              </w:rPr>
            </w:pPr>
            <w:r w:rsidRPr="00F61169">
              <w:rPr>
                <w:b/>
                <w:bCs/>
              </w:rPr>
              <w:t>2018–19</w:t>
            </w:r>
          </w:p>
        </w:tc>
        <w:tc>
          <w:tcPr>
            <w:tcW w:w="1190" w:type="dxa"/>
          </w:tcPr>
          <w:p w14:paraId="58D9F083" w14:textId="77777777" w:rsidR="009103CC" w:rsidRPr="00F61169" w:rsidRDefault="009103CC" w:rsidP="002718DF">
            <w:pPr>
              <w:pStyle w:val="Tabletext"/>
              <w:jc w:val="right"/>
              <w:rPr>
                <w:b/>
                <w:bCs/>
              </w:rPr>
            </w:pPr>
            <w:r w:rsidRPr="00F61169">
              <w:rPr>
                <w:b/>
                <w:bCs/>
              </w:rPr>
              <w:t>2019–20</w:t>
            </w:r>
          </w:p>
        </w:tc>
        <w:tc>
          <w:tcPr>
            <w:tcW w:w="1190" w:type="dxa"/>
          </w:tcPr>
          <w:p w14:paraId="3BECC08F" w14:textId="77777777" w:rsidR="009103CC" w:rsidRPr="00F61169" w:rsidRDefault="009103CC" w:rsidP="002718DF">
            <w:pPr>
              <w:pStyle w:val="Tabletext"/>
              <w:jc w:val="right"/>
              <w:rPr>
                <w:b/>
                <w:bCs/>
              </w:rPr>
            </w:pPr>
            <w:r w:rsidRPr="00F61169">
              <w:rPr>
                <w:b/>
                <w:bCs/>
              </w:rPr>
              <w:t>2020–21</w:t>
            </w:r>
          </w:p>
        </w:tc>
      </w:tr>
      <w:tr w:rsidR="009103CC" w:rsidRPr="00F61169" w14:paraId="3FCC15A3" w14:textId="77777777" w:rsidTr="002718DF">
        <w:tc>
          <w:tcPr>
            <w:tcW w:w="4077" w:type="dxa"/>
          </w:tcPr>
          <w:p w14:paraId="23DA0169" w14:textId="77777777" w:rsidR="009103CC" w:rsidRPr="00F61169" w:rsidRDefault="009103CC" w:rsidP="002718DF">
            <w:pPr>
              <w:pStyle w:val="Tabletext"/>
            </w:pPr>
            <w:r w:rsidRPr="00F61169">
              <w:t>Administration and clerical staff</w:t>
            </w:r>
          </w:p>
        </w:tc>
        <w:tc>
          <w:tcPr>
            <w:tcW w:w="1190" w:type="dxa"/>
          </w:tcPr>
          <w:p w14:paraId="7D74DDED" w14:textId="77777777" w:rsidR="009103CC" w:rsidRPr="00F61169" w:rsidRDefault="009103CC" w:rsidP="002718DF">
            <w:pPr>
              <w:pStyle w:val="Tabletext"/>
              <w:jc w:val="right"/>
            </w:pPr>
            <w:r w:rsidRPr="00F61169">
              <w:t>248</w:t>
            </w:r>
          </w:p>
        </w:tc>
        <w:tc>
          <w:tcPr>
            <w:tcW w:w="1190" w:type="dxa"/>
          </w:tcPr>
          <w:p w14:paraId="0772C390" w14:textId="77777777" w:rsidR="009103CC" w:rsidRPr="00F61169" w:rsidRDefault="009103CC" w:rsidP="002718DF">
            <w:pPr>
              <w:pStyle w:val="Tabletext"/>
              <w:jc w:val="right"/>
            </w:pPr>
            <w:r w:rsidRPr="00F61169">
              <w:t>268</w:t>
            </w:r>
          </w:p>
        </w:tc>
        <w:tc>
          <w:tcPr>
            <w:tcW w:w="1190" w:type="dxa"/>
          </w:tcPr>
          <w:p w14:paraId="58C52588" w14:textId="77777777" w:rsidR="009103CC" w:rsidRPr="00F61169" w:rsidRDefault="009103CC" w:rsidP="002718DF">
            <w:pPr>
              <w:pStyle w:val="Tabletext"/>
              <w:jc w:val="right"/>
            </w:pPr>
            <w:r w:rsidRPr="00F61169">
              <w:t>280</w:t>
            </w:r>
          </w:p>
        </w:tc>
        <w:tc>
          <w:tcPr>
            <w:tcW w:w="1190" w:type="dxa"/>
          </w:tcPr>
          <w:p w14:paraId="1E3DB16B" w14:textId="77777777" w:rsidR="009103CC" w:rsidRPr="00F61169" w:rsidRDefault="009103CC" w:rsidP="002718DF">
            <w:pPr>
              <w:pStyle w:val="Tabletext"/>
              <w:jc w:val="right"/>
            </w:pPr>
            <w:r w:rsidRPr="00F61169">
              <w:t>273</w:t>
            </w:r>
          </w:p>
        </w:tc>
      </w:tr>
      <w:tr w:rsidR="009103CC" w:rsidRPr="00F61169" w14:paraId="4EE33B23" w14:textId="77777777" w:rsidTr="002718DF">
        <w:tc>
          <w:tcPr>
            <w:tcW w:w="4077" w:type="dxa"/>
          </w:tcPr>
          <w:p w14:paraId="1366D7CC" w14:textId="77777777" w:rsidR="009103CC" w:rsidRPr="00F61169" w:rsidRDefault="009103CC" w:rsidP="002718DF">
            <w:pPr>
              <w:pStyle w:val="Tabletext"/>
            </w:pPr>
            <w:r w:rsidRPr="00F61169">
              <w:t>Conservators</w:t>
            </w:r>
          </w:p>
        </w:tc>
        <w:tc>
          <w:tcPr>
            <w:tcW w:w="1190" w:type="dxa"/>
          </w:tcPr>
          <w:p w14:paraId="6B716ED2" w14:textId="77777777" w:rsidR="009103CC" w:rsidRPr="00F61169" w:rsidRDefault="009103CC" w:rsidP="002718DF">
            <w:pPr>
              <w:pStyle w:val="Tabletext"/>
              <w:jc w:val="right"/>
            </w:pPr>
            <w:r w:rsidRPr="00F61169">
              <w:t>13</w:t>
            </w:r>
          </w:p>
        </w:tc>
        <w:tc>
          <w:tcPr>
            <w:tcW w:w="1190" w:type="dxa"/>
          </w:tcPr>
          <w:p w14:paraId="79B55397" w14:textId="77777777" w:rsidR="009103CC" w:rsidRPr="00F61169" w:rsidRDefault="009103CC" w:rsidP="002718DF">
            <w:pPr>
              <w:pStyle w:val="Tabletext"/>
              <w:jc w:val="right"/>
            </w:pPr>
            <w:r w:rsidRPr="00F61169">
              <w:t>15</w:t>
            </w:r>
          </w:p>
        </w:tc>
        <w:tc>
          <w:tcPr>
            <w:tcW w:w="1190" w:type="dxa"/>
          </w:tcPr>
          <w:p w14:paraId="3C54B7E0" w14:textId="77777777" w:rsidR="009103CC" w:rsidRPr="00F61169" w:rsidRDefault="009103CC" w:rsidP="002718DF">
            <w:pPr>
              <w:pStyle w:val="Tabletext"/>
              <w:jc w:val="right"/>
            </w:pPr>
            <w:r w:rsidRPr="00F61169">
              <w:t>19</w:t>
            </w:r>
          </w:p>
        </w:tc>
        <w:tc>
          <w:tcPr>
            <w:tcW w:w="1190" w:type="dxa"/>
          </w:tcPr>
          <w:p w14:paraId="191ED522" w14:textId="77777777" w:rsidR="009103CC" w:rsidRPr="00F61169" w:rsidRDefault="009103CC" w:rsidP="002718DF">
            <w:pPr>
              <w:pStyle w:val="Tabletext"/>
              <w:jc w:val="right"/>
            </w:pPr>
            <w:r w:rsidRPr="00F61169">
              <w:t>2</w:t>
            </w:r>
          </w:p>
        </w:tc>
      </w:tr>
      <w:tr w:rsidR="009103CC" w:rsidRPr="00F61169" w14:paraId="030E0674" w14:textId="77777777" w:rsidTr="002718DF">
        <w:tc>
          <w:tcPr>
            <w:tcW w:w="4077" w:type="dxa"/>
          </w:tcPr>
          <w:p w14:paraId="7E6099FC" w14:textId="77777777" w:rsidR="009103CC" w:rsidRPr="00F61169" w:rsidRDefault="009103CC" w:rsidP="002718DF">
            <w:pPr>
              <w:pStyle w:val="Tabletext"/>
            </w:pPr>
            <w:r w:rsidRPr="00F61169">
              <w:t>Curators and registrars</w:t>
            </w:r>
          </w:p>
        </w:tc>
        <w:tc>
          <w:tcPr>
            <w:tcW w:w="1190" w:type="dxa"/>
          </w:tcPr>
          <w:p w14:paraId="5B004471" w14:textId="77777777" w:rsidR="009103CC" w:rsidRPr="00F61169" w:rsidRDefault="009103CC" w:rsidP="002718DF">
            <w:pPr>
              <w:pStyle w:val="Tabletext"/>
              <w:jc w:val="right"/>
            </w:pPr>
            <w:r w:rsidRPr="00F61169">
              <w:t>38</w:t>
            </w:r>
          </w:p>
        </w:tc>
        <w:tc>
          <w:tcPr>
            <w:tcW w:w="1190" w:type="dxa"/>
          </w:tcPr>
          <w:p w14:paraId="344E9278" w14:textId="77777777" w:rsidR="009103CC" w:rsidRPr="00F61169" w:rsidRDefault="009103CC" w:rsidP="002718DF">
            <w:pPr>
              <w:pStyle w:val="Tabletext"/>
              <w:jc w:val="right"/>
            </w:pPr>
            <w:r w:rsidRPr="00F61169">
              <w:t>38</w:t>
            </w:r>
          </w:p>
        </w:tc>
        <w:tc>
          <w:tcPr>
            <w:tcW w:w="1190" w:type="dxa"/>
          </w:tcPr>
          <w:p w14:paraId="4555E341" w14:textId="77777777" w:rsidR="009103CC" w:rsidRPr="00F61169" w:rsidRDefault="009103CC" w:rsidP="002718DF">
            <w:pPr>
              <w:pStyle w:val="Tabletext"/>
              <w:jc w:val="right"/>
            </w:pPr>
            <w:r w:rsidRPr="00F61169">
              <w:t>38</w:t>
            </w:r>
          </w:p>
        </w:tc>
        <w:tc>
          <w:tcPr>
            <w:tcW w:w="1190" w:type="dxa"/>
          </w:tcPr>
          <w:p w14:paraId="0AFC1067" w14:textId="77777777" w:rsidR="009103CC" w:rsidRPr="00F61169" w:rsidRDefault="009103CC" w:rsidP="002718DF">
            <w:pPr>
              <w:pStyle w:val="Tabletext"/>
              <w:jc w:val="right"/>
            </w:pPr>
            <w:r w:rsidRPr="00F61169">
              <w:t>41</w:t>
            </w:r>
          </w:p>
        </w:tc>
      </w:tr>
      <w:tr w:rsidR="009103CC" w:rsidRPr="00F61169" w14:paraId="6B2EE72B" w14:textId="77777777" w:rsidTr="002718DF">
        <w:tc>
          <w:tcPr>
            <w:tcW w:w="4077" w:type="dxa"/>
          </w:tcPr>
          <w:p w14:paraId="4C1A4B1C" w14:textId="77777777" w:rsidR="009103CC" w:rsidRPr="00F61169" w:rsidRDefault="009103CC" w:rsidP="002718DF">
            <w:pPr>
              <w:pStyle w:val="Tabletext"/>
            </w:pPr>
            <w:r w:rsidRPr="00F61169">
              <w:t>Education officers</w:t>
            </w:r>
          </w:p>
        </w:tc>
        <w:tc>
          <w:tcPr>
            <w:tcW w:w="1190" w:type="dxa"/>
          </w:tcPr>
          <w:p w14:paraId="27C04924" w14:textId="77777777" w:rsidR="009103CC" w:rsidRPr="00F61169" w:rsidRDefault="009103CC" w:rsidP="002718DF">
            <w:pPr>
              <w:pStyle w:val="Tabletext"/>
              <w:jc w:val="right"/>
            </w:pPr>
            <w:r w:rsidRPr="00F61169">
              <w:t>5</w:t>
            </w:r>
          </w:p>
        </w:tc>
        <w:tc>
          <w:tcPr>
            <w:tcW w:w="1190" w:type="dxa"/>
          </w:tcPr>
          <w:p w14:paraId="16C2BE00" w14:textId="77777777" w:rsidR="009103CC" w:rsidRPr="00F61169" w:rsidRDefault="009103CC" w:rsidP="002718DF">
            <w:pPr>
              <w:pStyle w:val="Tabletext"/>
              <w:jc w:val="right"/>
            </w:pPr>
            <w:r w:rsidRPr="00F61169">
              <w:t>5</w:t>
            </w:r>
          </w:p>
        </w:tc>
        <w:tc>
          <w:tcPr>
            <w:tcW w:w="1190" w:type="dxa"/>
          </w:tcPr>
          <w:p w14:paraId="47FFCA42" w14:textId="77777777" w:rsidR="009103CC" w:rsidRPr="00F61169" w:rsidRDefault="009103CC" w:rsidP="002718DF">
            <w:pPr>
              <w:pStyle w:val="Tabletext"/>
              <w:jc w:val="right"/>
            </w:pPr>
            <w:r w:rsidRPr="00F61169">
              <w:t>4</w:t>
            </w:r>
          </w:p>
        </w:tc>
        <w:tc>
          <w:tcPr>
            <w:tcW w:w="1190" w:type="dxa"/>
          </w:tcPr>
          <w:p w14:paraId="3AFF3206" w14:textId="77777777" w:rsidR="009103CC" w:rsidRPr="00F61169" w:rsidRDefault="009103CC" w:rsidP="002718DF">
            <w:pPr>
              <w:pStyle w:val="Tabletext"/>
              <w:jc w:val="right"/>
            </w:pPr>
            <w:r w:rsidRPr="00F61169">
              <w:t>3</w:t>
            </w:r>
          </w:p>
        </w:tc>
      </w:tr>
      <w:tr w:rsidR="009103CC" w:rsidRPr="00F61169" w14:paraId="636C2006" w14:textId="77777777" w:rsidTr="002718DF">
        <w:tc>
          <w:tcPr>
            <w:tcW w:w="4077" w:type="dxa"/>
          </w:tcPr>
          <w:p w14:paraId="01675868" w14:textId="77777777" w:rsidR="009103CC" w:rsidRPr="00F61169" w:rsidRDefault="009103CC" w:rsidP="002718DF">
            <w:pPr>
              <w:pStyle w:val="Tabletext"/>
            </w:pPr>
            <w:r w:rsidRPr="00F61169">
              <w:t>General division staff</w:t>
            </w:r>
          </w:p>
        </w:tc>
        <w:tc>
          <w:tcPr>
            <w:tcW w:w="1190" w:type="dxa"/>
          </w:tcPr>
          <w:p w14:paraId="74B743F4" w14:textId="77777777" w:rsidR="009103CC" w:rsidRPr="00F61169" w:rsidRDefault="009103CC" w:rsidP="002718DF">
            <w:pPr>
              <w:pStyle w:val="Tabletext"/>
              <w:jc w:val="right"/>
            </w:pPr>
            <w:r w:rsidRPr="00F61169">
              <w:t>47</w:t>
            </w:r>
          </w:p>
        </w:tc>
        <w:tc>
          <w:tcPr>
            <w:tcW w:w="1190" w:type="dxa"/>
          </w:tcPr>
          <w:p w14:paraId="35B6CDFF" w14:textId="77777777" w:rsidR="009103CC" w:rsidRPr="00F61169" w:rsidRDefault="009103CC" w:rsidP="002718DF">
            <w:pPr>
              <w:pStyle w:val="Tabletext"/>
              <w:jc w:val="right"/>
            </w:pPr>
            <w:r w:rsidRPr="00F61169">
              <w:t>50</w:t>
            </w:r>
          </w:p>
        </w:tc>
        <w:tc>
          <w:tcPr>
            <w:tcW w:w="1190" w:type="dxa"/>
          </w:tcPr>
          <w:p w14:paraId="4109734C" w14:textId="77777777" w:rsidR="009103CC" w:rsidRPr="00F61169" w:rsidRDefault="009103CC" w:rsidP="002718DF">
            <w:pPr>
              <w:pStyle w:val="Tabletext"/>
              <w:jc w:val="right"/>
            </w:pPr>
            <w:r w:rsidRPr="00F61169">
              <w:t>49</w:t>
            </w:r>
          </w:p>
        </w:tc>
        <w:tc>
          <w:tcPr>
            <w:tcW w:w="1190" w:type="dxa"/>
          </w:tcPr>
          <w:p w14:paraId="22990546" w14:textId="77777777" w:rsidR="009103CC" w:rsidRPr="00F61169" w:rsidRDefault="009103CC" w:rsidP="002718DF">
            <w:pPr>
              <w:pStyle w:val="Tabletext"/>
              <w:jc w:val="right"/>
            </w:pPr>
            <w:r w:rsidRPr="00F61169">
              <w:t>43</w:t>
            </w:r>
          </w:p>
        </w:tc>
      </w:tr>
      <w:tr w:rsidR="009103CC" w:rsidRPr="00F61169" w14:paraId="470975FE" w14:textId="77777777" w:rsidTr="002718DF">
        <w:tc>
          <w:tcPr>
            <w:tcW w:w="4077" w:type="dxa"/>
          </w:tcPr>
          <w:p w14:paraId="46157EF7" w14:textId="77777777" w:rsidR="009103CC" w:rsidRPr="00F61169" w:rsidRDefault="009103CC" w:rsidP="002718DF">
            <w:pPr>
              <w:pStyle w:val="Tabletext"/>
            </w:pPr>
            <w:r w:rsidRPr="00F61169">
              <w:t>Librarians and archivists</w:t>
            </w:r>
          </w:p>
        </w:tc>
        <w:tc>
          <w:tcPr>
            <w:tcW w:w="1190" w:type="dxa"/>
          </w:tcPr>
          <w:p w14:paraId="41B49C14" w14:textId="77777777" w:rsidR="009103CC" w:rsidRPr="00F61169" w:rsidRDefault="009103CC" w:rsidP="002718DF">
            <w:pPr>
              <w:pStyle w:val="Tabletext"/>
              <w:jc w:val="right"/>
            </w:pPr>
            <w:r w:rsidRPr="00F61169">
              <w:t>10</w:t>
            </w:r>
          </w:p>
        </w:tc>
        <w:tc>
          <w:tcPr>
            <w:tcW w:w="1190" w:type="dxa"/>
          </w:tcPr>
          <w:p w14:paraId="48D476A5" w14:textId="77777777" w:rsidR="009103CC" w:rsidRPr="00F61169" w:rsidRDefault="009103CC" w:rsidP="002718DF">
            <w:pPr>
              <w:pStyle w:val="Tabletext"/>
              <w:jc w:val="right"/>
            </w:pPr>
            <w:r w:rsidRPr="00F61169">
              <w:t>11</w:t>
            </w:r>
          </w:p>
        </w:tc>
        <w:tc>
          <w:tcPr>
            <w:tcW w:w="1190" w:type="dxa"/>
          </w:tcPr>
          <w:p w14:paraId="19D86771" w14:textId="77777777" w:rsidR="009103CC" w:rsidRPr="00F61169" w:rsidRDefault="009103CC" w:rsidP="002718DF">
            <w:pPr>
              <w:pStyle w:val="Tabletext"/>
              <w:jc w:val="right"/>
            </w:pPr>
            <w:r w:rsidRPr="00F61169">
              <w:t>9</w:t>
            </w:r>
          </w:p>
        </w:tc>
        <w:tc>
          <w:tcPr>
            <w:tcW w:w="1190" w:type="dxa"/>
          </w:tcPr>
          <w:p w14:paraId="1E05292D" w14:textId="77777777" w:rsidR="009103CC" w:rsidRPr="00F61169" w:rsidRDefault="009103CC" w:rsidP="002718DF">
            <w:pPr>
              <w:pStyle w:val="Tabletext"/>
              <w:jc w:val="right"/>
            </w:pPr>
            <w:r w:rsidRPr="00F61169">
              <w:t>8</w:t>
            </w:r>
          </w:p>
        </w:tc>
      </w:tr>
      <w:tr w:rsidR="009103CC" w:rsidRPr="00F61169" w14:paraId="739F331A" w14:textId="77777777" w:rsidTr="002718DF">
        <w:tc>
          <w:tcPr>
            <w:tcW w:w="4077" w:type="dxa"/>
          </w:tcPr>
          <w:p w14:paraId="51007886" w14:textId="77777777" w:rsidR="009103CC" w:rsidRPr="00F61169" w:rsidRDefault="009103CC" w:rsidP="002718DF">
            <w:pPr>
              <w:pStyle w:val="Tabletext"/>
            </w:pPr>
            <w:r w:rsidRPr="00F61169">
              <w:t>Security staff</w:t>
            </w:r>
          </w:p>
        </w:tc>
        <w:tc>
          <w:tcPr>
            <w:tcW w:w="1190" w:type="dxa"/>
          </w:tcPr>
          <w:p w14:paraId="1A1C920F" w14:textId="77777777" w:rsidR="009103CC" w:rsidRPr="00F61169" w:rsidRDefault="009103CC" w:rsidP="002718DF">
            <w:pPr>
              <w:pStyle w:val="Tabletext"/>
              <w:jc w:val="right"/>
            </w:pPr>
            <w:r w:rsidRPr="00F61169">
              <w:t>15</w:t>
            </w:r>
          </w:p>
        </w:tc>
        <w:tc>
          <w:tcPr>
            <w:tcW w:w="1190" w:type="dxa"/>
          </w:tcPr>
          <w:p w14:paraId="551C1A12" w14:textId="77777777" w:rsidR="009103CC" w:rsidRPr="00F61169" w:rsidRDefault="009103CC" w:rsidP="002718DF">
            <w:pPr>
              <w:pStyle w:val="Tabletext"/>
              <w:jc w:val="right"/>
            </w:pPr>
            <w:r w:rsidRPr="00F61169">
              <w:t>16</w:t>
            </w:r>
          </w:p>
        </w:tc>
        <w:tc>
          <w:tcPr>
            <w:tcW w:w="1190" w:type="dxa"/>
          </w:tcPr>
          <w:p w14:paraId="32210F77" w14:textId="77777777" w:rsidR="009103CC" w:rsidRPr="00F61169" w:rsidRDefault="009103CC" w:rsidP="002718DF">
            <w:pPr>
              <w:pStyle w:val="Tabletext"/>
              <w:jc w:val="right"/>
            </w:pPr>
            <w:r w:rsidRPr="00F61169">
              <w:t>17</w:t>
            </w:r>
          </w:p>
        </w:tc>
        <w:tc>
          <w:tcPr>
            <w:tcW w:w="1190" w:type="dxa"/>
          </w:tcPr>
          <w:p w14:paraId="395B036D" w14:textId="77777777" w:rsidR="009103CC" w:rsidRPr="00F61169" w:rsidRDefault="009103CC" w:rsidP="002718DF">
            <w:pPr>
              <w:pStyle w:val="Tabletext"/>
              <w:jc w:val="right"/>
            </w:pPr>
            <w:r w:rsidRPr="00F61169">
              <w:t>17</w:t>
            </w:r>
          </w:p>
        </w:tc>
      </w:tr>
      <w:tr w:rsidR="009103CC" w:rsidRPr="00F61169" w14:paraId="2CE2586A" w14:textId="77777777" w:rsidTr="002718DF">
        <w:tc>
          <w:tcPr>
            <w:tcW w:w="4077" w:type="dxa"/>
          </w:tcPr>
          <w:p w14:paraId="3D7869BA" w14:textId="77777777" w:rsidR="009103CC" w:rsidRPr="00F61169" w:rsidRDefault="009103CC" w:rsidP="002718DF">
            <w:pPr>
              <w:pStyle w:val="Tabletext"/>
            </w:pPr>
            <w:r w:rsidRPr="00F61169">
              <w:t>Public service senior executives</w:t>
            </w:r>
          </w:p>
        </w:tc>
        <w:tc>
          <w:tcPr>
            <w:tcW w:w="1190" w:type="dxa"/>
          </w:tcPr>
          <w:p w14:paraId="4F7CD305" w14:textId="77777777" w:rsidR="009103CC" w:rsidRPr="00F61169" w:rsidRDefault="009103CC" w:rsidP="002718DF">
            <w:pPr>
              <w:pStyle w:val="Tabletext"/>
              <w:jc w:val="right"/>
            </w:pPr>
            <w:r w:rsidRPr="00F61169">
              <w:t>8</w:t>
            </w:r>
          </w:p>
        </w:tc>
        <w:tc>
          <w:tcPr>
            <w:tcW w:w="1190" w:type="dxa"/>
          </w:tcPr>
          <w:p w14:paraId="02B8477A" w14:textId="77777777" w:rsidR="009103CC" w:rsidRPr="00F61169" w:rsidRDefault="009103CC" w:rsidP="002718DF">
            <w:pPr>
              <w:pStyle w:val="Tabletext"/>
              <w:jc w:val="right"/>
            </w:pPr>
            <w:r w:rsidRPr="00F61169">
              <w:t>8</w:t>
            </w:r>
          </w:p>
        </w:tc>
        <w:tc>
          <w:tcPr>
            <w:tcW w:w="1190" w:type="dxa"/>
          </w:tcPr>
          <w:p w14:paraId="729AD2EF" w14:textId="77777777" w:rsidR="009103CC" w:rsidRPr="00F61169" w:rsidRDefault="009103CC" w:rsidP="002718DF">
            <w:pPr>
              <w:pStyle w:val="Tabletext"/>
              <w:jc w:val="right"/>
            </w:pPr>
            <w:r w:rsidRPr="00F61169">
              <w:t>8</w:t>
            </w:r>
          </w:p>
        </w:tc>
        <w:tc>
          <w:tcPr>
            <w:tcW w:w="1190" w:type="dxa"/>
          </w:tcPr>
          <w:p w14:paraId="389AFCD5" w14:textId="77777777" w:rsidR="009103CC" w:rsidRPr="00F61169" w:rsidRDefault="009103CC" w:rsidP="002718DF">
            <w:pPr>
              <w:pStyle w:val="Tabletext"/>
              <w:jc w:val="right"/>
            </w:pPr>
            <w:r w:rsidRPr="00F61169">
              <w:t>8</w:t>
            </w:r>
          </w:p>
        </w:tc>
      </w:tr>
      <w:tr w:rsidR="009103CC" w:rsidRPr="00F61169" w14:paraId="283B81FA" w14:textId="77777777" w:rsidTr="002718DF">
        <w:tc>
          <w:tcPr>
            <w:tcW w:w="4077" w:type="dxa"/>
          </w:tcPr>
          <w:p w14:paraId="0266969B" w14:textId="77777777" w:rsidR="009103CC" w:rsidRPr="00F61169" w:rsidRDefault="009103CC" w:rsidP="002718DF">
            <w:pPr>
              <w:pStyle w:val="Tabletext"/>
            </w:pPr>
            <w:r w:rsidRPr="00F61169">
              <w:t>Total</w:t>
            </w:r>
          </w:p>
        </w:tc>
        <w:tc>
          <w:tcPr>
            <w:tcW w:w="1190" w:type="dxa"/>
          </w:tcPr>
          <w:p w14:paraId="34AC5F59" w14:textId="77777777" w:rsidR="009103CC" w:rsidRPr="00F61169" w:rsidRDefault="009103CC" w:rsidP="002718DF">
            <w:pPr>
              <w:pStyle w:val="Tabletext"/>
              <w:jc w:val="right"/>
            </w:pPr>
            <w:r w:rsidRPr="00F61169">
              <w:t>384</w:t>
            </w:r>
          </w:p>
        </w:tc>
        <w:tc>
          <w:tcPr>
            <w:tcW w:w="1190" w:type="dxa"/>
          </w:tcPr>
          <w:p w14:paraId="53D2A529" w14:textId="77777777" w:rsidR="009103CC" w:rsidRPr="00F61169" w:rsidRDefault="009103CC" w:rsidP="002718DF">
            <w:pPr>
              <w:pStyle w:val="Tabletext"/>
              <w:jc w:val="right"/>
              <w:rPr>
                <w:rStyle w:val="Bodytextmedium"/>
              </w:rPr>
            </w:pPr>
            <w:r w:rsidRPr="00F61169">
              <w:t>411</w:t>
            </w:r>
          </w:p>
        </w:tc>
        <w:tc>
          <w:tcPr>
            <w:tcW w:w="1190" w:type="dxa"/>
          </w:tcPr>
          <w:p w14:paraId="5316FFD8" w14:textId="77777777" w:rsidR="009103CC" w:rsidRPr="00F61169" w:rsidRDefault="009103CC" w:rsidP="002718DF">
            <w:pPr>
              <w:pStyle w:val="Tabletext"/>
              <w:jc w:val="right"/>
              <w:rPr>
                <w:rStyle w:val="Bodytextmedium"/>
              </w:rPr>
            </w:pPr>
            <w:r w:rsidRPr="00F61169">
              <w:t>424</w:t>
            </w:r>
          </w:p>
        </w:tc>
        <w:tc>
          <w:tcPr>
            <w:tcW w:w="1190" w:type="dxa"/>
          </w:tcPr>
          <w:p w14:paraId="3461D52A" w14:textId="77777777" w:rsidR="009103CC" w:rsidRPr="00F61169" w:rsidRDefault="009103CC" w:rsidP="002718DF">
            <w:pPr>
              <w:pStyle w:val="Tabletext"/>
              <w:jc w:val="right"/>
              <w:rPr>
                <w:rStyle w:val="Bodytextmedium"/>
              </w:rPr>
            </w:pPr>
            <w:r w:rsidRPr="00F61169">
              <w:t>413</w:t>
            </w:r>
          </w:p>
        </w:tc>
      </w:tr>
      <w:tr w:rsidR="009103CC" w:rsidRPr="00F61169" w14:paraId="1C1F2832" w14:textId="77777777" w:rsidTr="002718DF">
        <w:tc>
          <w:tcPr>
            <w:tcW w:w="4077" w:type="dxa"/>
          </w:tcPr>
          <w:p w14:paraId="0DF625DF" w14:textId="77777777" w:rsidR="009103CC" w:rsidRPr="00F61169" w:rsidRDefault="009103CC" w:rsidP="002718DF">
            <w:pPr>
              <w:pStyle w:val="Tabletext"/>
            </w:pPr>
            <w:r w:rsidRPr="00F61169">
              <w:t>Staff number (effective full-time)</w:t>
            </w:r>
          </w:p>
        </w:tc>
        <w:tc>
          <w:tcPr>
            <w:tcW w:w="1190" w:type="dxa"/>
          </w:tcPr>
          <w:p w14:paraId="37178B84" w14:textId="77777777" w:rsidR="009103CC" w:rsidRPr="00F61169" w:rsidRDefault="009103CC" w:rsidP="002718DF">
            <w:pPr>
              <w:pStyle w:val="Tabletext"/>
              <w:jc w:val="right"/>
            </w:pPr>
            <w:r w:rsidRPr="00F61169">
              <w:t>218</w:t>
            </w:r>
          </w:p>
        </w:tc>
        <w:tc>
          <w:tcPr>
            <w:tcW w:w="1190" w:type="dxa"/>
          </w:tcPr>
          <w:p w14:paraId="1D5026F0" w14:textId="77777777" w:rsidR="009103CC" w:rsidRPr="00F61169" w:rsidRDefault="009103CC" w:rsidP="002718DF">
            <w:pPr>
              <w:pStyle w:val="Tabletext"/>
              <w:jc w:val="right"/>
            </w:pPr>
            <w:r w:rsidRPr="00F61169">
              <w:t>234</w:t>
            </w:r>
          </w:p>
        </w:tc>
        <w:tc>
          <w:tcPr>
            <w:tcW w:w="1190" w:type="dxa"/>
          </w:tcPr>
          <w:p w14:paraId="26F292D1" w14:textId="77777777" w:rsidR="009103CC" w:rsidRPr="00F61169" w:rsidRDefault="009103CC" w:rsidP="002718DF">
            <w:pPr>
              <w:pStyle w:val="Tabletext"/>
              <w:jc w:val="right"/>
            </w:pPr>
            <w:r w:rsidRPr="00F61169">
              <w:t>247</w:t>
            </w:r>
          </w:p>
        </w:tc>
        <w:tc>
          <w:tcPr>
            <w:tcW w:w="1190" w:type="dxa"/>
          </w:tcPr>
          <w:p w14:paraId="42F7164C" w14:textId="77777777" w:rsidR="009103CC" w:rsidRPr="00F61169" w:rsidRDefault="009103CC" w:rsidP="002718DF">
            <w:pPr>
              <w:pStyle w:val="Tabletext"/>
              <w:jc w:val="right"/>
            </w:pPr>
            <w:r w:rsidRPr="00F61169">
              <w:t>266</w:t>
            </w:r>
          </w:p>
        </w:tc>
      </w:tr>
    </w:tbl>
    <w:p w14:paraId="7255BDAF" w14:textId="77777777" w:rsidR="009103CC" w:rsidRPr="00E458F4" w:rsidRDefault="009103CC" w:rsidP="009103CC">
      <w:pPr>
        <w:pStyle w:val="Tabletext"/>
      </w:pPr>
      <w:r w:rsidRPr="00E458F4">
        <w:t>Total headcount and effective full-time staff number figures refer to number of employees paid during the financial year.</w:t>
      </w:r>
    </w:p>
    <w:p w14:paraId="5E5AD344" w14:textId="77777777" w:rsidR="009103CC" w:rsidRPr="001814D2" w:rsidRDefault="009103CC" w:rsidP="009103CC">
      <w:pPr>
        <w:pStyle w:val="ARheading4"/>
      </w:pPr>
      <w:r w:rsidRPr="001814D2">
        <w:t>Senior executive reporting</w:t>
      </w:r>
    </w:p>
    <w:p w14:paraId="5D67B8BC" w14:textId="77777777" w:rsidR="009103CC" w:rsidRPr="001814D2" w:rsidRDefault="009103CC" w:rsidP="009103CC">
      <w:pPr>
        <w:pStyle w:val="ARheading5"/>
      </w:pPr>
      <w:r w:rsidRPr="001814D2">
        <w:t>Numbers by band in 2019–20</w:t>
      </w:r>
    </w:p>
    <w:p w14:paraId="6F26E6C0" w14:textId="77777777" w:rsidR="009103CC" w:rsidRPr="001814D2" w:rsidRDefault="009103CC" w:rsidP="009103CC">
      <w:pPr>
        <w:pStyle w:val="Listitemasbody"/>
      </w:pPr>
      <w:r w:rsidRPr="001814D2">
        <w:t>Band 4: 0 (0 female, 0, male)</w:t>
      </w:r>
    </w:p>
    <w:p w14:paraId="426F4784" w14:textId="77777777" w:rsidR="009103CC" w:rsidRPr="001814D2" w:rsidRDefault="009103CC" w:rsidP="009103CC">
      <w:pPr>
        <w:pStyle w:val="Listitemasbody"/>
      </w:pPr>
      <w:r w:rsidRPr="001814D2">
        <w:t>Band 3: 1 (0 female, 1 male)</w:t>
      </w:r>
    </w:p>
    <w:p w14:paraId="42175EDB" w14:textId="77777777" w:rsidR="009103CC" w:rsidRPr="001814D2" w:rsidRDefault="009103CC" w:rsidP="009103CC">
      <w:pPr>
        <w:pStyle w:val="Listitemasbody"/>
      </w:pPr>
      <w:r w:rsidRPr="001814D2">
        <w:t>Band 2: 2 (1 female, 1 male)</w:t>
      </w:r>
    </w:p>
    <w:p w14:paraId="159ED17A" w14:textId="77777777" w:rsidR="009103CC" w:rsidRPr="001814D2" w:rsidRDefault="009103CC" w:rsidP="009103CC">
      <w:pPr>
        <w:pStyle w:val="Listitemasbody"/>
      </w:pPr>
      <w:r w:rsidRPr="001814D2">
        <w:t>Band 1: 5 (2 female, 3 male)</w:t>
      </w:r>
    </w:p>
    <w:p w14:paraId="08D6E79A" w14:textId="77777777" w:rsidR="009103CC" w:rsidRPr="001814D2" w:rsidRDefault="009103CC" w:rsidP="009103CC">
      <w:pPr>
        <w:pStyle w:val="Listitemasbody"/>
      </w:pPr>
      <w:r w:rsidRPr="001814D2">
        <w:t>Totals: 8 (3 female, 5 male)</w:t>
      </w:r>
    </w:p>
    <w:p w14:paraId="377FADDA" w14:textId="77777777" w:rsidR="009103CC" w:rsidRPr="001814D2" w:rsidRDefault="009103CC" w:rsidP="009103CC">
      <w:pPr>
        <w:pStyle w:val="ARheading5"/>
      </w:pPr>
      <w:r w:rsidRPr="001814D2">
        <w:t>Numbers by band in 2020–21</w:t>
      </w:r>
    </w:p>
    <w:p w14:paraId="383D52CC" w14:textId="77777777" w:rsidR="009103CC" w:rsidRPr="001814D2" w:rsidRDefault="009103CC" w:rsidP="009103CC">
      <w:pPr>
        <w:pStyle w:val="Listitemasbody"/>
      </w:pPr>
      <w:r w:rsidRPr="001814D2">
        <w:t>Band 4: 0 (0 female, 0, male)</w:t>
      </w:r>
    </w:p>
    <w:p w14:paraId="239E2458" w14:textId="77777777" w:rsidR="009103CC" w:rsidRPr="001814D2" w:rsidRDefault="009103CC" w:rsidP="009103CC">
      <w:pPr>
        <w:pStyle w:val="Listitemasbody"/>
      </w:pPr>
      <w:r w:rsidRPr="001814D2">
        <w:t>Band 3: 1 (0 female, 1 male)</w:t>
      </w:r>
    </w:p>
    <w:p w14:paraId="04E4FB58" w14:textId="77777777" w:rsidR="009103CC" w:rsidRPr="001814D2" w:rsidRDefault="009103CC" w:rsidP="009103CC">
      <w:pPr>
        <w:pStyle w:val="Listitemasbody"/>
      </w:pPr>
      <w:r w:rsidRPr="001814D2">
        <w:t>Band 2: 2 (1 female, 1 male)</w:t>
      </w:r>
    </w:p>
    <w:p w14:paraId="5F8B1B5C" w14:textId="77777777" w:rsidR="009103CC" w:rsidRPr="001814D2" w:rsidRDefault="009103CC" w:rsidP="009103CC">
      <w:pPr>
        <w:pStyle w:val="Listitemasbody"/>
      </w:pPr>
      <w:r w:rsidRPr="001814D2">
        <w:t>Band 1: 5 (2 female, 3 male)</w:t>
      </w:r>
    </w:p>
    <w:p w14:paraId="76A581B1" w14:textId="77777777" w:rsidR="009103CC" w:rsidRPr="001814D2" w:rsidRDefault="009103CC" w:rsidP="009103CC">
      <w:pPr>
        <w:pStyle w:val="Listitemasbody"/>
      </w:pPr>
      <w:r w:rsidRPr="001814D2">
        <w:t>Totals: 8 (3 female, 5 male)</w:t>
      </w:r>
    </w:p>
    <w:p w14:paraId="466D6B5F" w14:textId="77777777" w:rsidR="009103CC" w:rsidRPr="001814D2" w:rsidRDefault="009103CC" w:rsidP="009103CC">
      <w:pPr>
        <w:pStyle w:val="ARheading5"/>
      </w:pPr>
      <w:r w:rsidRPr="001814D2">
        <w:t>Average renumeration by band in 2019–20</w:t>
      </w:r>
    </w:p>
    <w:p w14:paraId="6EBCEFF4" w14:textId="77777777" w:rsidR="009103CC" w:rsidRPr="001814D2" w:rsidRDefault="009103CC" w:rsidP="009103CC">
      <w:pPr>
        <w:pStyle w:val="Listitemasbody"/>
      </w:pPr>
      <w:r w:rsidRPr="001814D2">
        <w:t>Band 4: $487,051 – 562,650. Average remuneration: $0</w:t>
      </w:r>
    </w:p>
    <w:p w14:paraId="614E58AD" w14:textId="77777777" w:rsidR="009103CC" w:rsidRPr="001814D2" w:rsidRDefault="009103CC" w:rsidP="009103CC">
      <w:pPr>
        <w:pStyle w:val="Listitemasbody"/>
      </w:pPr>
      <w:r w:rsidRPr="001814D2">
        <w:t>Band 3: $345,551 – 487,050. Average remuneration: $487,002</w:t>
      </w:r>
    </w:p>
    <w:p w14:paraId="15ACDA90" w14:textId="77777777" w:rsidR="009103CC" w:rsidRPr="001814D2" w:rsidRDefault="009103CC" w:rsidP="009103CC">
      <w:pPr>
        <w:pStyle w:val="Listitemasbody"/>
      </w:pPr>
      <w:r w:rsidRPr="001814D2">
        <w:t>Band 2: $274,701 – 345,550. Average remuneration: $300,650</w:t>
      </w:r>
    </w:p>
    <w:p w14:paraId="23498781" w14:textId="77777777" w:rsidR="009103CC" w:rsidRPr="001814D2" w:rsidRDefault="009103CC" w:rsidP="009103CC">
      <w:pPr>
        <w:pStyle w:val="Listitemasbody"/>
      </w:pPr>
      <w:r w:rsidRPr="001814D2">
        <w:lastRenderedPageBreak/>
        <w:t>Band 1: $192,600 – 274,700. Average remuneration: $239,251</w:t>
      </w:r>
    </w:p>
    <w:p w14:paraId="56E01463" w14:textId="77777777" w:rsidR="009103CC" w:rsidRPr="001814D2" w:rsidRDefault="009103CC" w:rsidP="009103CC">
      <w:pPr>
        <w:pStyle w:val="ARheading5"/>
      </w:pPr>
      <w:r w:rsidRPr="001814D2">
        <w:t>Average renumeration by band in 2020–21</w:t>
      </w:r>
    </w:p>
    <w:p w14:paraId="6D7B0077" w14:textId="77777777" w:rsidR="009103CC" w:rsidRPr="001814D2" w:rsidRDefault="009103CC" w:rsidP="009103CC">
      <w:pPr>
        <w:pStyle w:val="Listitemasbody"/>
      </w:pPr>
      <w:r w:rsidRPr="001814D2">
        <w:t>Band 4: $487,051 – 562,650. Average remuneration: $0</w:t>
      </w:r>
    </w:p>
    <w:p w14:paraId="22CDC1A7" w14:textId="77777777" w:rsidR="009103CC" w:rsidRPr="001814D2" w:rsidRDefault="009103CC" w:rsidP="009103CC">
      <w:pPr>
        <w:pStyle w:val="Listitemasbody"/>
      </w:pPr>
      <w:r w:rsidRPr="001814D2">
        <w:t>Band 3: $345,551 – 487,050. Average remuneration: $487,002</w:t>
      </w:r>
    </w:p>
    <w:p w14:paraId="4A8AF736" w14:textId="77777777" w:rsidR="009103CC" w:rsidRPr="001814D2" w:rsidRDefault="009103CC" w:rsidP="009103CC">
      <w:pPr>
        <w:pStyle w:val="Listitemasbody"/>
      </w:pPr>
      <w:r w:rsidRPr="001814D2">
        <w:t>Band 2: $274,701 – 345,550. Average remuneration: $300,650</w:t>
      </w:r>
    </w:p>
    <w:p w14:paraId="503AC0C3" w14:textId="77777777" w:rsidR="009103CC" w:rsidRPr="001814D2" w:rsidRDefault="009103CC" w:rsidP="009103CC">
      <w:pPr>
        <w:pStyle w:val="Listitemasbody"/>
      </w:pPr>
      <w:r w:rsidRPr="001814D2">
        <w:t>Band 1: $192,600 – 274,700. Average remuneration: $239,251</w:t>
      </w:r>
    </w:p>
    <w:p w14:paraId="7901D320" w14:textId="77777777" w:rsidR="009103CC" w:rsidRPr="001814D2" w:rsidRDefault="009103CC" w:rsidP="009103CC">
      <w:pPr>
        <w:pStyle w:val="ARheading4"/>
        <w:rPr>
          <w:rFonts w:cs="Arial"/>
          <w:lang w:val="en-US"/>
        </w:rPr>
      </w:pPr>
      <w:r w:rsidRPr="001814D2">
        <w:rPr>
          <w:rFonts w:cs="Arial"/>
          <w:lang w:val="en-US"/>
        </w:rPr>
        <w:t>Parliamentary Annual Report tables</w:t>
      </w:r>
    </w:p>
    <w:p w14:paraId="560D6E1B" w14:textId="77777777" w:rsidR="009103CC" w:rsidRPr="001814D2" w:rsidRDefault="009103CC" w:rsidP="009103CC">
      <w:pPr>
        <w:pStyle w:val="ARheading5"/>
        <w:rPr>
          <w:rFonts w:cs="Arial"/>
          <w:lang w:val="en-US"/>
        </w:rPr>
      </w:pPr>
      <w:r w:rsidRPr="001814D2">
        <w:rPr>
          <w:rFonts w:cs="Arial"/>
          <w:lang w:val="en-US"/>
        </w:rPr>
        <w:t>Trends in the representation of workforce diversity groups</w:t>
      </w:r>
    </w:p>
    <w:tbl>
      <w:tblPr>
        <w:tblStyle w:val="TableGrid"/>
        <w:tblW w:w="0" w:type="auto"/>
        <w:tblLook w:val="0620" w:firstRow="1" w:lastRow="0" w:firstColumn="0" w:lastColumn="0" w:noHBand="1" w:noVBand="1"/>
        <w:tblCaption w:val="Trends in the representation of workforce diversity groups"/>
        <w:tblDescription w:val="This table lists several types of workplace diversity group and provides a benchmark percentage for each as well as the percentage at the Gallery for the years 2019, 2020 and 2021 in terms of representation."/>
      </w:tblPr>
      <w:tblGrid>
        <w:gridCol w:w="4077"/>
        <w:gridCol w:w="1276"/>
        <w:gridCol w:w="1190"/>
        <w:gridCol w:w="1190"/>
        <w:gridCol w:w="1190"/>
      </w:tblGrid>
      <w:tr w:rsidR="009103CC" w:rsidRPr="001814D2" w14:paraId="5030016E" w14:textId="77777777" w:rsidTr="002718DF">
        <w:trPr>
          <w:tblHeader/>
        </w:trPr>
        <w:tc>
          <w:tcPr>
            <w:tcW w:w="4077" w:type="dxa"/>
          </w:tcPr>
          <w:p w14:paraId="5C45E8D5" w14:textId="77777777" w:rsidR="009103CC" w:rsidRPr="001814D2" w:rsidRDefault="009103CC" w:rsidP="002718DF">
            <w:pPr>
              <w:pStyle w:val="Tabletext"/>
              <w:rPr>
                <w:rFonts w:cs="Arial"/>
                <w:b/>
              </w:rPr>
            </w:pPr>
            <w:r w:rsidRPr="001814D2">
              <w:rPr>
                <w:rStyle w:val="Bold"/>
                <w:rFonts w:cs="Arial"/>
              </w:rPr>
              <w:t>Workforce diversity group</w:t>
            </w:r>
          </w:p>
        </w:tc>
        <w:tc>
          <w:tcPr>
            <w:tcW w:w="1276" w:type="dxa"/>
          </w:tcPr>
          <w:p w14:paraId="01022A38" w14:textId="77777777" w:rsidR="009103CC" w:rsidRPr="001814D2" w:rsidRDefault="009103CC" w:rsidP="002718DF">
            <w:pPr>
              <w:pStyle w:val="Tabletext"/>
              <w:rPr>
                <w:rFonts w:cs="Arial"/>
                <w:b/>
              </w:rPr>
            </w:pPr>
            <w:r w:rsidRPr="001814D2">
              <w:rPr>
                <w:rFonts w:cs="Arial"/>
                <w:b/>
              </w:rPr>
              <w:t>Benchmark</w:t>
            </w:r>
          </w:p>
        </w:tc>
        <w:tc>
          <w:tcPr>
            <w:tcW w:w="1190" w:type="dxa"/>
          </w:tcPr>
          <w:p w14:paraId="4B1A5CF7" w14:textId="77777777" w:rsidR="009103CC" w:rsidRPr="001814D2" w:rsidRDefault="009103CC" w:rsidP="002718DF">
            <w:pPr>
              <w:pStyle w:val="Tabletext"/>
              <w:rPr>
                <w:rFonts w:cs="Arial"/>
                <w:b/>
              </w:rPr>
            </w:pPr>
            <w:r w:rsidRPr="001814D2">
              <w:rPr>
                <w:rFonts w:cs="Arial"/>
                <w:b/>
              </w:rPr>
              <w:t>2019</w:t>
            </w:r>
          </w:p>
        </w:tc>
        <w:tc>
          <w:tcPr>
            <w:tcW w:w="1190" w:type="dxa"/>
          </w:tcPr>
          <w:p w14:paraId="4D6D5988" w14:textId="77777777" w:rsidR="009103CC" w:rsidRPr="001814D2" w:rsidRDefault="009103CC" w:rsidP="002718DF">
            <w:pPr>
              <w:pStyle w:val="Tabletext"/>
              <w:rPr>
                <w:rFonts w:cs="Arial"/>
                <w:b/>
              </w:rPr>
            </w:pPr>
            <w:r w:rsidRPr="001814D2">
              <w:rPr>
                <w:rFonts w:cs="Arial"/>
                <w:b/>
              </w:rPr>
              <w:t>2020</w:t>
            </w:r>
          </w:p>
        </w:tc>
        <w:tc>
          <w:tcPr>
            <w:tcW w:w="1190" w:type="dxa"/>
          </w:tcPr>
          <w:p w14:paraId="771087A0" w14:textId="77777777" w:rsidR="009103CC" w:rsidRPr="001814D2" w:rsidRDefault="009103CC" w:rsidP="002718DF">
            <w:pPr>
              <w:pStyle w:val="Tabletext"/>
              <w:rPr>
                <w:rFonts w:cs="Arial"/>
                <w:b/>
              </w:rPr>
            </w:pPr>
            <w:r w:rsidRPr="001814D2">
              <w:rPr>
                <w:rFonts w:cs="Arial"/>
                <w:b/>
              </w:rPr>
              <w:t>2021</w:t>
            </w:r>
          </w:p>
        </w:tc>
      </w:tr>
      <w:tr w:rsidR="009103CC" w:rsidRPr="001814D2" w14:paraId="6FF18937" w14:textId="77777777" w:rsidTr="002718DF">
        <w:tc>
          <w:tcPr>
            <w:tcW w:w="4077" w:type="dxa"/>
          </w:tcPr>
          <w:p w14:paraId="5CB3BFFC" w14:textId="77777777" w:rsidR="009103CC" w:rsidRPr="001814D2" w:rsidRDefault="009103CC" w:rsidP="002718DF">
            <w:pPr>
              <w:pStyle w:val="Tabletext"/>
              <w:rPr>
                <w:rFonts w:cs="Arial"/>
              </w:rPr>
            </w:pPr>
            <w:r w:rsidRPr="001814D2">
              <w:rPr>
                <w:rFonts w:cs="Arial"/>
              </w:rPr>
              <w:t>Women</w:t>
            </w:r>
          </w:p>
        </w:tc>
        <w:tc>
          <w:tcPr>
            <w:tcW w:w="1276" w:type="dxa"/>
          </w:tcPr>
          <w:p w14:paraId="76D91D61" w14:textId="77777777" w:rsidR="009103CC" w:rsidRPr="001814D2" w:rsidRDefault="009103CC" w:rsidP="002718DF">
            <w:pPr>
              <w:pStyle w:val="Tabletext"/>
              <w:rPr>
                <w:rFonts w:cs="Arial"/>
              </w:rPr>
            </w:pPr>
            <w:r w:rsidRPr="001814D2">
              <w:rPr>
                <w:rFonts w:cs="Arial"/>
              </w:rPr>
              <w:t>50%</w:t>
            </w:r>
          </w:p>
        </w:tc>
        <w:tc>
          <w:tcPr>
            <w:tcW w:w="1190" w:type="dxa"/>
          </w:tcPr>
          <w:p w14:paraId="02491597" w14:textId="77777777" w:rsidR="009103CC" w:rsidRPr="001814D2" w:rsidRDefault="009103CC" w:rsidP="002718DF">
            <w:pPr>
              <w:pStyle w:val="Tabletext"/>
              <w:rPr>
                <w:rFonts w:cs="Arial"/>
              </w:rPr>
            </w:pPr>
            <w:r w:rsidRPr="001814D2">
              <w:rPr>
                <w:rFonts w:cs="Arial"/>
              </w:rPr>
              <w:t>66.8%</w:t>
            </w:r>
          </w:p>
        </w:tc>
        <w:tc>
          <w:tcPr>
            <w:tcW w:w="1190" w:type="dxa"/>
          </w:tcPr>
          <w:p w14:paraId="48CE055E" w14:textId="77777777" w:rsidR="009103CC" w:rsidRPr="001814D2" w:rsidRDefault="009103CC" w:rsidP="002718DF">
            <w:pPr>
              <w:pStyle w:val="Tabletext"/>
              <w:rPr>
                <w:rFonts w:cs="Arial"/>
              </w:rPr>
            </w:pPr>
            <w:r w:rsidRPr="001814D2">
              <w:rPr>
                <w:rFonts w:cs="Arial"/>
              </w:rPr>
              <w:t>67.8%</w:t>
            </w:r>
          </w:p>
        </w:tc>
        <w:tc>
          <w:tcPr>
            <w:tcW w:w="1190" w:type="dxa"/>
          </w:tcPr>
          <w:p w14:paraId="22B0B3E1" w14:textId="77777777" w:rsidR="009103CC" w:rsidRPr="001814D2" w:rsidRDefault="009103CC" w:rsidP="002718DF">
            <w:pPr>
              <w:pStyle w:val="Tabletext"/>
              <w:rPr>
                <w:rFonts w:cs="Arial"/>
              </w:rPr>
            </w:pPr>
            <w:r w:rsidRPr="001814D2">
              <w:rPr>
                <w:rFonts w:cs="Arial"/>
              </w:rPr>
              <w:t>66.8%</w:t>
            </w:r>
          </w:p>
        </w:tc>
      </w:tr>
      <w:tr w:rsidR="009103CC" w:rsidRPr="001814D2" w14:paraId="124A2668" w14:textId="77777777" w:rsidTr="002718DF">
        <w:tc>
          <w:tcPr>
            <w:tcW w:w="4077" w:type="dxa"/>
          </w:tcPr>
          <w:p w14:paraId="2029F1F4" w14:textId="77777777" w:rsidR="009103CC" w:rsidRPr="001814D2" w:rsidRDefault="009103CC" w:rsidP="002718DF">
            <w:pPr>
              <w:pStyle w:val="Tabletext"/>
              <w:rPr>
                <w:rFonts w:cs="Arial"/>
              </w:rPr>
            </w:pPr>
            <w:r w:rsidRPr="001814D2">
              <w:rPr>
                <w:rFonts w:cs="Arial"/>
              </w:rPr>
              <w:t>Aboriginal and/or Torres Strait Islander people</w:t>
            </w:r>
          </w:p>
        </w:tc>
        <w:tc>
          <w:tcPr>
            <w:tcW w:w="1276" w:type="dxa"/>
          </w:tcPr>
          <w:p w14:paraId="0433D192" w14:textId="77777777" w:rsidR="009103CC" w:rsidRPr="001814D2" w:rsidRDefault="009103CC" w:rsidP="002718DF">
            <w:pPr>
              <w:pStyle w:val="Tabletext"/>
              <w:rPr>
                <w:rFonts w:cs="Arial"/>
              </w:rPr>
            </w:pPr>
            <w:r w:rsidRPr="001814D2">
              <w:rPr>
                <w:rFonts w:cs="Arial"/>
              </w:rPr>
              <w:t>3.3%</w:t>
            </w:r>
          </w:p>
        </w:tc>
        <w:tc>
          <w:tcPr>
            <w:tcW w:w="1190" w:type="dxa"/>
          </w:tcPr>
          <w:p w14:paraId="52FB7CCB" w14:textId="77777777" w:rsidR="009103CC" w:rsidRPr="001814D2" w:rsidRDefault="009103CC" w:rsidP="002718DF">
            <w:pPr>
              <w:pStyle w:val="Tabletext"/>
              <w:rPr>
                <w:rFonts w:cs="Arial"/>
              </w:rPr>
            </w:pPr>
            <w:r w:rsidRPr="001814D2">
              <w:rPr>
                <w:rFonts w:cs="Arial"/>
              </w:rPr>
              <w:t>1.6%</w:t>
            </w:r>
          </w:p>
        </w:tc>
        <w:tc>
          <w:tcPr>
            <w:tcW w:w="1190" w:type="dxa"/>
          </w:tcPr>
          <w:p w14:paraId="14EF5EC7" w14:textId="77777777" w:rsidR="009103CC" w:rsidRPr="001814D2" w:rsidRDefault="009103CC" w:rsidP="002718DF">
            <w:pPr>
              <w:pStyle w:val="Tabletext"/>
              <w:rPr>
                <w:rFonts w:cs="Arial"/>
              </w:rPr>
            </w:pPr>
            <w:r w:rsidRPr="001814D2">
              <w:rPr>
                <w:rFonts w:cs="Arial"/>
              </w:rPr>
              <w:t>2.4%</w:t>
            </w:r>
          </w:p>
        </w:tc>
        <w:tc>
          <w:tcPr>
            <w:tcW w:w="1190" w:type="dxa"/>
          </w:tcPr>
          <w:p w14:paraId="3E13A267" w14:textId="77777777" w:rsidR="009103CC" w:rsidRPr="001814D2" w:rsidRDefault="009103CC" w:rsidP="002718DF">
            <w:pPr>
              <w:pStyle w:val="Tabletext"/>
              <w:rPr>
                <w:rFonts w:cs="Arial"/>
              </w:rPr>
            </w:pPr>
            <w:r w:rsidRPr="001814D2">
              <w:rPr>
                <w:rFonts w:cs="Arial"/>
              </w:rPr>
              <w:t>2.0%</w:t>
            </w:r>
          </w:p>
        </w:tc>
      </w:tr>
      <w:tr w:rsidR="009103CC" w:rsidRPr="001814D2" w14:paraId="4C67A02D" w14:textId="77777777" w:rsidTr="002718DF">
        <w:tc>
          <w:tcPr>
            <w:tcW w:w="4077" w:type="dxa"/>
          </w:tcPr>
          <w:p w14:paraId="41B02738" w14:textId="77777777" w:rsidR="009103CC" w:rsidRPr="001814D2" w:rsidRDefault="009103CC" w:rsidP="002718DF">
            <w:pPr>
              <w:pStyle w:val="Tabletext"/>
              <w:rPr>
                <w:rFonts w:cs="Arial"/>
              </w:rPr>
            </w:pPr>
            <w:r w:rsidRPr="001814D2">
              <w:rPr>
                <w:rFonts w:cs="Arial"/>
              </w:rPr>
              <w:t>People whose first language spoken as a child was not English</w:t>
            </w:r>
          </w:p>
        </w:tc>
        <w:tc>
          <w:tcPr>
            <w:tcW w:w="1276" w:type="dxa"/>
          </w:tcPr>
          <w:p w14:paraId="1DDD551B" w14:textId="77777777" w:rsidR="009103CC" w:rsidRPr="001814D2" w:rsidRDefault="009103CC" w:rsidP="002718DF">
            <w:pPr>
              <w:pStyle w:val="Tabletext"/>
              <w:rPr>
                <w:rFonts w:cs="Arial"/>
              </w:rPr>
            </w:pPr>
            <w:r w:rsidRPr="001814D2">
              <w:rPr>
                <w:rFonts w:cs="Arial"/>
              </w:rPr>
              <w:t>23.2%</w:t>
            </w:r>
          </w:p>
        </w:tc>
        <w:tc>
          <w:tcPr>
            <w:tcW w:w="1190" w:type="dxa"/>
          </w:tcPr>
          <w:p w14:paraId="4F16A468" w14:textId="77777777" w:rsidR="009103CC" w:rsidRPr="001814D2" w:rsidRDefault="009103CC" w:rsidP="002718DF">
            <w:pPr>
              <w:pStyle w:val="Tabletext"/>
              <w:rPr>
                <w:rFonts w:cs="Arial"/>
              </w:rPr>
            </w:pPr>
            <w:r w:rsidRPr="001814D2">
              <w:rPr>
                <w:rFonts w:cs="Arial"/>
              </w:rPr>
              <w:t>30.4%</w:t>
            </w:r>
          </w:p>
        </w:tc>
        <w:tc>
          <w:tcPr>
            <w:tcW w:w="1190" w:type="dxa"/>
          </w:tcPr>
          <w:p w14:paraId="32ADFB14" w14:textId="77777777" w:rsidR="009103CC" w:rsidRPr="001814D2" w:rsidRDefault="009103CC" w:rsidP="002718DF">
            <w:pPr>
              <w:pStyle w:val="Tabletext"/>
              <w:rPr>
                <w:rFonts w:cs="Arial"/>
              </w:rPr>
            </w:pPr>
            <w:r w:rsidRPr="001814D2">
              <w:rPr>
                <w:rFonts w:cs="Arial"/>
              </w:rPr>
              <w:t>21.1%</w:t>
            </w:r>
          </w:p>
        </w:tc>
        <w:tc>
          <w:tcPr>
            <w:tcW w:w="1190" w:type="dxa"/>
          </w:tcPr>
          <w:p w14:paraId="57860B2D" w14:textId="77777777" w:rsidR="009103CC" w:rsidRPr="001814D2" w:rsidRDefault="009103CC" w:rsidP="002718DF">
            <w:pPr>
              <w:pStyle w:val="Tabletext"/>
              <w:rPr>
                <w:rFonts w:cs="Arial"/>
              </w:rPr>
            </w:pPr>
            <w:r w:rsidRPr="001814D2">
              <w:rPr>
                <w:rFonts w:cs="Arial"/>
              </w:rPr>
              <w:t>2.0%</w:t>
            </w:r>
          </w:p>
        </w:tc>
      </w:tr>
      <w:tr w:rsidR="009103CC" w:rsidRPr="001814D2" w14:paraId="4A71DE78" w14:textId="77777777" w:rsidTr="002718DF">
        <w:tc>
          <w:tcPr>
            <w:tcW w:w="4077" w:type="dxa"/>
          </w:tcPr>
          <w:p w14:paraId="3E78CE97" w14:textId="77777777" w:rsidR="009103CC" w:rsidRPr="001814D2" w:rsidRDefault="009103CC" w:rsidP="002718DF">
            <w:pPr>
              <w:pStyle w:val="Tabletext"/>
              <w:rPr>
                <w:rFonts w:cs="Arial"/>
              </w:rPr>
            </w:pPr>
            <w:r w:rsidRPr="001814D2">
              <w:rPr>
                <w:rFonts w:cs="Arial"/>
              </w:rPr>
              <w:t>People with a disability</w:t>
            </w:r>
          </w:p>
        </w:tc>
        <w:tc>
          <w:tcPr>
            <w:tcW w:w="1276" w:type="dxa"/>
          </w:tcPr>
          <w:p w14:paraId="3B9A5471" w14:textId="77777777" w:rsidR="009103CC" w:rsidRPr="001814D2" w:rsidRDefault="009103CC" w:rsidP="002718DF">
            <w:pPr>
              <w:pStyle w:val="Tabletext"/>
              <w:rPr>
                <w:rFonts w:cs="Arial"/>
              </w:rPr>
            </w:pPr>
            <w:r w:rsidRPr="001814D2">
              <w:rPr>
                <w:rFonts w:cs="Arial"/>
              </w:rPr>
              <w:t>5.6%</w:t>
            </w:r>
          </w:p>
        </w:tc>
        <w:tc>
          <w:tcPr>
            <w:tcW w:w="1190" w:type="dxa"/>
          </w:tcPr>
          <w:p w14:paraId="2AA647DF" w14:textId="77777777" w:rsidR="009103CC" w:rsidRPr="001814D2" w:rsidRDefault="009103CC" w:rsidP="002718DF">
            <w:pPr>
              <w:pStyle w:val="Tabletext"/>
              <w:rPr>
                <w:rFonts w:cs="Arial"/>
              </w:rPr>
            </w:pPr>
            <w:r w:rsidRPr="001814D2">
              <w:rPr>
                <w:rFonts w:cs="Arial"/>
              </w:rPr>
              <w:t>2.0%</w:t>
            </w:r>
          </w:p>
        </w:tc>
        <w:tc>
          <w:tcPr>
            <w:tcW w:w="1190" w:type="dxa"/>
          </w:tcPr>
          <w:p w14:paraId="4820012A" w14:textId="77777777" w:rsidR="009103CC" w:rsidRPr="001814D2" w:rsidRDefault="009103CC" w:rsidP="002718DF">
            <w:pPr>
              <w:pStyle w:val="Tabletext"/>
              <w:rPr>
                <w:rFonts w:cs="Arial"/>
              </w:rPr>
            </w:pPr>
            <w:r w:rsidRPr="001814D2">
              <w:rPr>
                <w:rFonts w:cs="Arial"/>
              </w:rPr>
              <w:t>2.8%</w:t>
            </w:r>
          </w:p>
        </w:tc>
        <w:tc>
          <w:tcPr>
            <w:tcW w:w="1190" w:type="dxa"/>
          </w:tcPr>
          <w:p w14:paraId="0ED98938" w14:textId="77777777" w:rsidR="009103CC" w:rsidRPr="001814D2" w:rsidRDefault="009103CC" w:rsidP="002718DF">
            <w:pPr>
              <w:pStyle w:val="Tabletext"/>
              <w:rPr>
                <w:rFonts w:cs="Arial"/>
              </w:rPr>
            </w:pPr>
            <w:r w:rsidRPr="001814D2">
              <w:rPr>
                <w:rFonts w:cs="Arial"/>
              </w:rPr>
              <w:t>2.3%</w:t>
            </w:r>
          </w:p>
        </w:tc>
      </w:tr>
      <w:tr w:rsidR="009103CC" w:rsidRPr="001814D2" w14:paraId="193EBC27" w14:textId="77777777" w:rsidTr="002718DF">
        <w:tc>
          <w:tcPr>
            <w:tcW w:w="4077" w:type="dxa"/>
          </w:tcPr>
          <w:p w14:paraId="0D70731F" w14:textId="77777777" w:rsidR="009103CC" w:rsidRPr="001814D2" w:rsidRDefault="009103CC" w:rsidP="002718DF">
            <w:pPr>
              <w:pStyle w:val="Tabletext"/>
              <w:rPr>
                <w:rFonts w:cs="Arial"/>
              </w:rPr>
            </w:pPr>
            <w:r w:rsidRPr="001814D2">
              <w:rPr>
                <w:rFonts w:cs="Arial"/>
              </w:rPr>
              <w:t>People with a disability requiring work-related adjustment</w:t>
            </w:r>
          </w:p>
        </w:tc>
        <w:tc>
          <w:tcPr>
            <w:tcW w:w="1276" w:type="dxa"/>
          </w:tcPr>
          <w:p w14:paraId="2DFD115A" w14:textId="77777777" w:rsidR="009103CC" w:rsidRPr="001814D2" w:rsidRDefault="009103CC" w:rsidP="002718DF">
            <w:pPr>
              <w:pStyle w:val="Tabletext"/>
              <w:rPr>
                <w:rFonts w:cs="Arial"/>
              </w:rPr>
            </w:pPr>
            <w:r w:rsidRPr="001814D2">
              <w:rPr>
                <w:rFonts w:cs="Arial"/>
              </w:rPr>
              <w:t>N/A</w:t>
            </w:r>
          </w:p>
        </w:tc>
        <w:tc>
          <w:tcPr>
            <w:tcW w:w="1190" w:type="dxa"/>
          </w:tcPr>
          <w:p w14:paraId="608F8029" w14:textId="77777777" w:rsidR="009103CC" w:rsidRPr="001814D2" w:rsidRDefault="009103CC" w:rsidP="002718DF">
            <w:pPr>
              <w:pStyle w:val="Tabletext"/>
              <w:rPr>
                <w:rFonts w:cs="Arial"/>
              </w:rPr>
            </w:pPr>
            <w:r w:rsidRPr="001814D2">
              <w:rPr>
                <w:rFonts w:cs="Arial"/>
              </w:rPr>
              <w:t>0.4%</w:t>
            </w:r>
          </w:p>
        </w:tc>
        <w:tc>
          <w:tcPr>
            <w:tcW w:w="1190" w:type="dxa"/>
          </w:tcPr>
          <w:p w14:paraId="7C349642" w14:textId="77777777" w:rsidR="009103CC" w:rsidRPr="001814D2" w:rsidRDefault="009103CC" w:rsidP="002718DF">
            <w:pPr>
              <w:pStyle w:val="Tabletext"/>
              <w:rPr>
                <w:rFonts w:cs="Arial"/>
              </w:rPr>
            </w:pPr>
            <w:r w:rsidRPr="001814D2">
              <w:rPr>
                <w:rFonts w:cs="Arial"/>
              </w:rPr>
              <w:t>0.7%</w:t>
            </w:r>
          </w:p>
        </w:tc>
        <w:tc>
          <w:tcPr>
            <w:tcW w:w="1190" w:type="dxa"/>
          </w:tcPr>
          <w:p w14:paraId="08755B5D" w14:textId="77777777" w:rsidR="009103CC" w:rsidRPr="001814D2" w:rsidRDefault="009103CC" w:rsidP="002718DF">
            <w:pPr>
              <w:pStyle w:val="Tabletext"/>
              <w:rPr>
                <w:rFonts w:cs="Arial"/>
              </w:rPr>
            </w:pPr>
            <w:r w:rsidRPr="001814D2">
              <w:rPr>
                <w:rFonts w:cs="Arial"/>
              </w:rPr>
              <w:t>0.7%</w:t>
            </w:r>
          </w:p>
        </w:tc>
      </w:tr>
    </w:tbl>
    <w:p w14:paraId="16C4F4F2" w14:textId="77777777" w:rsidR="009103CC" w:rsidRDefault="009103CC" w:rsidP="009103CC">
      <w:pPr>
        <w:pStyle w:val="Tabletext"/>
      </w:pPr>
      <w:r w:rsidRPr="00E458F4">
        <w:t>Note 1: The benchmark of 50% for representation of women across the sector is intended to reflect the gender composition of the NSW community.</w:t>
      </w:r>
      <w:r>
        <w:br/>
      </w:r>
      <w:r w:rsidRPr="00E458F4">
        <w:t>Note 2: The NSW Public Sector Aboriginal Employment Strategy 2014–17 introduced an aspirational target of 1.8% by 2021 for each of the sector’s salary bands. If the aspirational target of 1.8%</w:t>
      </w:r>
      <w:r>
        <w:t xml:space="preserve"> </w:t>
      </w:r>
      <w:r w:rsidRPr="00E458F4">
        <w:t>is achieved in salary bands not currently at or above 1.8%, the cumulative representation of Aboriginal employees in the sector is expected to reach 3.3%.</w:t>
      </w:r>
      <w:r>
        <w:br/>
      </w:r>
      <w:r w:rsidRPr="00E458F4">
        <w:t>Note 3: A benchmark from the Australian Bureau of Statistics (ABS) Census of Population and Housing has been included for people whose first language spoken as a child was not English.The ABS Census does not provide information about first language, but does provide information about country of birth. The benchmark of 23.2% is the percentage of the NSW general population</w:t>
      </w:r>
      <w:r>
        <w:t xml:space="preserve"> </w:t>
      </w:r>
      <w:r w:rsidRPr="00E458F4">
        <w:t>born in a country where English is not the predominant language.</w:t>
      </w:r>
      <w:r>
        <w:br/>
      </w:r>
      <w:r w:rsidRPr="00E458F4">
        <w:t>Note 4: In December 2017 the NSW Government announced the target of doubling the representation of people with disability in the NSW public sector from an estimated 2.7% to 5.6% by 2027.</w:t>
      </w:r>
      <w:r>
        <w:br/>
      </w:r>
      <w:r w:rsidRPr="00E458F4">
        <w:t>More information can be found at www.facs.nsw.gov.au/inclusion/disability/jobs. The benchmark for ‘People with Disability Requiring Work-Related Adjustment’ was not updated.</w:t>
      </w:r>
    </w:p>
    <w:p w14:paraId="1CF5940D" w14:textId="77777777" w:rsidR="009103CC" w:rsidRPr="00E458F4" w:rsidRDefault="009103CC" w:rsidP="009103CC">
      <w:pPr>
        <w:pStyle w:val="Tabletext"/>
      </w:pPr>
    </w:p>
    <w:p w14:paraId="143D69AD" w14:textId="77777777" w:rsidR="009103CC" w:rsidRPr="001814D2" w:rsidRDefault="009103CC" w:rsidP="009103CC">
      <w:pPr>
        <w:pStyle w:val="ARheading5"/>
        <w:rPr>
          <w:rFonts w:cs="Arial"/>
          <w:lang w:val="en-US"/>
        </w:rPr>
      </w:pPr>
      <w:r w:rsidRPr="001814D2">
        <w:rPr>
          <w:rFonts w:cs="Arial"/>
          <w:lang w:val="en-US"/>
        </w:rPr>
        <w:t>Trends in the distribution of workforce diversity groups</w:t>
      </w:r>
    </w:p>
    <w:tbl>
      <w:tblPr>
        <w:tblStyle w:val="TableGrid"/>
        <w:tblW w:w="0" w:type="auto"/>
        <w:tblLook w:val="0620" w:firstRow="1" w:lastRow="0" w:firstColumn="0" w:lastColumn="0" w:noHBand="1" w:noVBand="1"/>
        <w:tblCaption w:val="Trends in the distribution of workforce diversity groups"/>
        <w:tblDescription w:val="This table lists several types of workplace diversity group and provides a benchmark index for each as well as the index at the Gallery for the years 2019, 2020 and 2021 in terms of distribution."/>
      </w:tblPr>
      <w:tblGrid>
        <w:gridCol w:w="4077"/>
        <w:gridCol w:w="1276"/>
        <w:gridCol w:w="1190"/>
        <w:gridCol w:w="1190"/>
        <w:gridCol w:w="1190"/>
      </w:tblGrid>
      <w:tr w:rsidR="009103CC" w:rsidRPr="001814D2" w14:paraId="7F099624" w14:textId="77777777" w:rsidTr="002718DF">
        <w:trPr>
          <w:tblHeader/>
        </w:trPr>
        <w:tc>
          <w:tcPr>
            <w:tcW w:w="4077" w:type="dxa"/>
          </w:tcPr>
          <w:p w14:paraId="130BD91C" w14:textId="77777777" w:rsidR="009103CC" w:rsidRPr="001814D2" w:rsidRDefault="009103CC" w:rsidP="002718DF">
            <w:pPr>
              <w:pStyle w:val="Tabletext"/>
              <w:rPr>
                <w:rFonts w:cs="Arial"/>
                <w:b/>
              </w:rPr>
            </w:pPr>
            <w:r w:rsidRPr="001814D2">
              <w:rPr>
                <w:rStyle w:val="Bold"/>
                <w:rFonts w:cs="Arial"/>
              </w:rPr>
              <w:t>Workforce diversity group</w:t>
            </w:r>
          </w:p>
        </w:tc>
        <w:tc>
          <w:tcPr>
            <w:tcW w:w="1276" w:type="dxa"/>
          </w:tcPr>
          <w:p w14:paraId="4894B0AF" w14:textId="77777777" w:rsidR="009103CC" w:rsidRPr="001814D2" w:rsidRDefault="009103CC" w:rsidP="002718DF">
            <w:pPr>
              <w:pStyle w:val="Tabletext"/>
              <w:rPr>
                <w:rFonts w:cs="Arial"/>
                <w:b/>
              </w:rPr>
            </w:pPr>
            <w:r w:rsidRPr="001814D2">
              <w:rPr>
                <w:rFonts w:cs="Arial"/>
                <w:b/>
              </w:rPr>
              <w:t>Benchmark</w:t>
            </w:r>
          </w:p>
        </w:tc>
        <w:tc>
          <w:tcPr>
            <w:tcW w:w="1190" w:type="dxa"/>
          </w:tcPr>
          <w:p w14:paraId="0B4AF52E" w14:textId="77777777" w:rsidR="009103CC" w:rsidRPr="001814D2" w:rsidRDefault="009103CC" w:rsidP="002718DF">
            <w:pPr>
              <w:pStyle w:val="Tabletext"/>
              <w:rPr>
                <w:rFonts w:cs="Arial"/>
                <w:b/>
              </w:rPr>
            </w:pPr>
            <w:r w:rsidRPr="001814D2">
              <w:rPr>
                <w:rFonts w:cs="Arial"/>
                <w:b/>
              </w:rPr>
              <w:t>2019</w:t>
            </w:r>
          </w:p>
        </w:tc>
        <w:tc>
          <w:tcPr>
            <w:tcW w:w="1190" w:type="dxa"/>
          </w:tcPr>
          <w:p w14:paraId="55ACA3C0" w14:textId="77777777" w:rsidR="009103CC" w:rsidRPr="001814D2" w:rsidRDefault="009103CC" w:rsidP="002718DF">
            <w:pPr>
              <w:pStyle w:val="Tabletext"/>
              <w:rPr>
                <w:rFonts w:cs="Arial"/>
                <w:b/>
              </w:rPr>
            </w:pPr>
            <w:r w:rsidRPr="001814D2">
              <w:rPr>
                <w:rFonts w:cs="Arial"/>
                <w:b/>
              </w:rPr>
              <w:t>2020</w:t>
            </w:r>
          </w:p>
        </w:tc>
        <w:tc>
          <w:tcPr>
            <w:tcW w:w="1190" w:type="dxa"/>
          </w:tcPr>
          <w:p w14:paraId="5B12E5E0" w14:textId="77777777" w:rsidR="009103CC" w:rsidRPr="001814D2" w:rsidRDefault="009103CC" w:rsidP="002718DF">
            <w:pPr>
              <w:pStyle w:val="Tabletext"/>
              <w:rPr>
                <w:rFonts w:cs="Arial"/>
                <w:b/>
              </w:rPr>
            </w:pPr>
            <w:r w:rsidRPr="001814D2">
              <w:rPr>
                <w:rFonts w:cs="Arial"/>
                <w:b/>
              </w:rPr>
              <w:t>2021</w:t>
            </w:r>
          </w:p>
        </w:tc>
      </w:tr>
      <w:tr w:rsidR="009103CC" w:rsidRPr="001814D2" w14:paraId="74530479" w14:textId="77777777" w:rsidTr="002718DF">
        <w:tc>
          <w:tcPr>
            <w:tcW w:w="4077" w:type="dxa"/>
          </w:tcPr>
          <w:p w14:paraId="2DD1E621" w14:textId="77777777" w:rsidR="009103CC" w:rsidRPr="001814D2" w:rsidRDefault="009103CC" w:rsidP="002718DF">
            <w:pPr>
              <w:pStyle w:val="Tabletext"/>
              <w:rPr>
                <w:rFonts w:cs="Arial"/>
              </w:rPr>
            </w:pPr>
            <w:r w:rsidRPr="001814D2">
              <w:rPr>
                <w:rFonts w:cs="Arial"/>
              </w:rPr>
              <w:t>Women</w:t>
            </w:r>
          </w:p>
        </w:tc>
        <w:tc>
          <w:tcPr>
            <w:tcW w:w="1276" w:type="dxa"/>
          </w:tcPr>
          <w:p w14:paraId="68764DFD" w14:textId="77777777" w:rsidR="009103CC" w:rsidRPr="001814D2" w:rsidRDefault="009103CC" w:rsidP="002718DF">
            <w:pPr>
              <w:pStyle w:val="Tabletext"/>
              <w:rPr>
                <w:rFonts w:cs="Arial"/>
              </w:rPr>
            </w:pPr>
            <w:r w:rsidRPr="001814D2">
              <w:rPr>
                <w:rFonts w:cs="Arial"/>
              </w:rPr>
              <w:t>100</w:t>
            </w:r>
          </w:p>
        </w:tc>
        <w:tc>
          <w:tcPr>
            <w:tcW w:w="1190" w:type="dxa"/>
          </w:tcPr>
          <w:p w14:paraId="1D9AC020" w14:textId="77777777" w:rsidR="009103CC" w:rsidRPr="001814D2" w:rsidRDefault="009103CC" w:rsidP="002718DF">
            <w:pPr>
              <w:pStyle w:val="Tabletext"/>
              <w:rPr>
                <w:rFonts w:cs="Arial"/>
              </w:rPr>
            </w:pPr>
            <w:r w:rsidRPr="001814D2">
              <w:rPr>
                <w:rFonts w:cs="Arial"/>
              </w:rPr>
              <w:t>111</w:t>
            </w:r>
          </w:p>
        </w:tc>
        <w:tc>
          <w:tcPr>
            <w:tcW w:w="1190" w:type="dxa"/>
          </w:tcPr>
          <w:p w14:paraId="54C93D9A" w14:textId="77777777" w:rsidR="009103CC" w:rsidRPr="001814D2" w:rsidRDefault="009103CC" w:rsidP="002718DF">
            <w:pPr>
              <w:pStyle w:val="Tabletext"/>
              <w:rPr>
                <w:rFonts w:cs="Arial"/>
              </w:rPr>
            </w:pPr>
            <w:r w:rsidRPr="001814D2">
              <w:rPr>
                <w:rFonts w:cs="Arial"/>
              </w:rPr>
              <w:t>109</w:t>
            </w:r>
          </w:p>
        </w:tc>
        <w:tc>
          <w:tcPr>
            <w:tcW w:w="1190" w:type="dxa"/>
          </w:tcPr>
          <w:p w14:paraId="474D1CB4" w14:textId="77777777" w:rsidR="009103CC" w:rsidRPr="001814D2" w:rsidRDefault="009103CC" w:rsidP="002718DF">
            <w:pPr>
              <w:pStyle w:val="Tabletext"/>
              <w:rPr>
                <w:rFonts w:cs="Arial"/>
              </w:rPr>
            </w:pPr>
            <w:r w:rsidRPr="001814D2">
              <w:rPr>
                <w:rFonts w:cs="Arial"/>
              </w:rPr>
              <w:t>112</w:t>
            </w:r>
          </w:p>
        </w:tc>
      </w:tr>
      <w:tr w:rsidR="009103CC" w:rsidRPr="001814D2" w14:paraId="3CA44FB1" w14:textId="77777777" w:rsidTr="002718DF">
        <w:tc>
          <w:tcPr>
            <w:tcW w:w="4077" w:type="dxa"/>
          </w:tcPr>
          <w:p w14:paraId="2FDF830E" w14:textId="77777777" w:rsidR="009103CC" w:rsidRPr="001814D2" w:rsidRDefault="009103CC" w:rsidP="002718DF">
            <w:pPr>
              <w:pStyle w:val="Tabletext"/>
              <w:rPr>
                <w:rFonts w:cs="Arial"/>
              </w:rPr>
            </w:pPr>
            <w:r w:rsidRPr="001814D2">
              <w:rPr>
                <w:rFonts w:cs="Arial"/>
              </w:rPr>
              <w:t>Aboriginal and/or Torres Strait Islander people</w:t>
            </w:r>
          </w:p>
        </w:tc>
        <w:tc>
          <w:tcPr>
            <w:tcW w:w="1276" w:type="dxa"/>
          </w:tcPr>
          <w:p w14:paraId="2CB3758C" w14:textId="77777777" w:rsidR="009103CC" w:rsidRPr="001814D2" w:rsidRDefault="009103CC" w:rsidP="002718DF">
            <w:pPr>
              <w:pStyle w:val="Tabletext"/>
              <w:rPr>
                <w:rFonts w:cs="Arial"/>
              </w:rPr>
            </w:pPr>
            <w:r w:rsidRPr="001814D2">
              <w:rPr>
                <w:rFonts w:cs="Arial"/>
              </w:rPr>
              <w:t>100</w:t>
            </w:r>
          </w:p>
        </w:tc>
        <w:tc>
          <w:tcPr>
            <w:tcW w:w="1190" w:type="dxa"/>
          </w:tcPr>
          <w:p w14:paraId="7BB13DF1" w14:textId="77777777" w:rsidR="009103CC" w:rsidRPr="001814D2" w:rsidRDefault="009103CC" w:rsidP="002718DF">
            <w:pPr>
              <w:pStyle w:val="Tabletext"/>
              <w:rPr>
                <w:rFonts w:cs="Arial"/>
              </w:rPr>
            </w:pPr>
            <w:r w:rsidRPr="001814D2">
              <w:rPr>
                <w:rFonts w:cs="Arial"/>
              </w:rPr>
              <w:t>N/A</w:t>
            </w:r>
          </w:p>
        </w:tc>
        <w:tc>
          <w:tcPr>
            <w:tcW w:w="1190" w:type="dxa"/>
          </w:tcPr>
          <w:p w14:paraId="59A24EB2" w14:textId="77777777" w:rsidR="009103CC" w:rsidRPr="001814D2" w:rsidRDefault="009103CC" w:rsidP="002718DF">
            <w:pPr>
              <w:pStyle w:val="Tabletext"/>
              <w:rPr>
                <w:rFonts w:cs="Arial"/>
              </w:rPr>
            </w:pPr>
            <w:r w:rsidRPr="001814D2">
              <w:rPr>
                <w:rFonts w:cs="Arial"/>
              </w:rPr>
              <w:t>N/A</w:t>
            </w:r>
          </w:p>
        </w:tc>
        <w:tc>
          <w:tcPr>
            <w:tcW w:w="1190" w:type="dxa"/>
          </w:tcPr>
          <w:p w14:paraId="42B1DE27" w14:textId="77777777" w:rsidR="009103CC" w:rsidRPr="001814D2" w:rsidRDefault="009103CC" w:rsidP="002718DF">
            <w:pPr>
              <w:pStyle w:val="Tabletext"/>
              <w:rPr>
                <w:rFonts w:cs="Arial"/>
              </w:rPr>
            </w:pPr>
            <w:r w:rsidRPr="001814D2">
              <w:rPr>
                <w:rFonts w:cs="Arial"/>
              </w:rPr>
              <w:t>N/A</w:t>
            </w:r>
          </w:p>
        </w:tc>
      </w:tr>
      <w:tr w:rsidR="009103CC" w:rsidRPr="001814D2" w14:paraId="126BEF4D" w14:textId="77777777" w:rsidTr="002718DF">
        <w:tc>
          <w:tcPr>
            <w:tcW w:w="4077" w:type="dxa"/>
          </w:tcPr>
          <w:p w14:paraId="069204C2" w14:textId="77777777" w:rsidR="009103CC" w:rsidRPr="001814D2" w:rsidRDefault="009103CC" w:rsidP="002718DF">
            <w:pPr>
              <w:pStyle w:val="Tabletext"/>
              <w:rPr>
                <w:rFonts w:cs="Arial"/>
              </w:rPr>
            </w:pPr>
            <w:r w:rsidRPr="001814D2">
              <w:rPr>
                <w:rFonts w:cs="Arial"/>
              </w:rPr>
              <w:t>People whose first language spoken as a child was not English</w:t>
            </w:r>
          </w:p>
        </w:tc>
        <w:tc>
          <w:tcPr>
            <w:tcW w:w="1276" w:type="dxa"/>
          </w:tcPr>
          <w:p w14:paraId="2ACD3695" w14:textId="77777777" w:rsidR="009103CC" w:rsidRPr="001814D2" w:rsidRDefault="009103CC" w:rsidP="002718DF">
            <w:pPr>
              <w:pStyle w:val="Tabletext"/>
              <w:rPr>
                <w:rFonts w:cs="Arial"/>
              </w:rPr>
            </w:pPr>
            <w:r w:rsidRPr="001814D2">
              <w:rPr>
                <w:rFonts w:cs="Arial"/>
              </w:rPr>
              <w:t>100</w:t>
            </w:r>
          </w:p>
        </w:tc>
        <w:tc>
          <w:tcPr>
            <w:tcW w:w="1190" w:type="dxa"/>
          </w:tcPr>
          <w:p w14:paraId="1DB3BD22" w14:textId="77777777" w:rsidR="009103CC" w:rsidRPr="001814D2" w:rsidRDefault="009103CC" w:rsidP="002718DF">
            <w:pPr>
              <w:pStyle w:val="Tabletext"/>
              <w:rPr>
                <w:rFonts w:cs="Arial"/>
              </w:rPr>
            </w:pPr>
            <w:r w:rsidRPr="001814D2">
              <w:rPr>
                <w:rFonts w:cs="Arial"/>
              </w:rPr>
              <w:t>93</w:t>
            </w:r>
          </w:p>
        </w:tc>
        <w:tc>
          <w:tcPr>
            <w:tcW w:w="1190" w:type="dxa"/>
          </w:tcPr>
          <w:p w14:paraId="136B9460" w14:textId="77777777" w:rsidR="009103CC" w:rsidRPr="001814D2" w:rsidRDefault="009103CC" w:rsidP="002718DF">
            <w:pPr>
              <w:pStyle w:val="Tabletext"/>
              <w:rPr>
                <w:rFonts w:cs="Arial"/>
              </w:rPr>
            </w:pPr>
            <w:r w:rsidRPr="001814D2">
              <w:rPr>
                <w:rFonts w:cs="Arial"/>
              </w:rPr>
              <w:t>92</w:t>
            </w:r>
          </w:p>
        </w:tc>
        <w:tc>
          <w:tcPr>
            <w:tcW w:w="1190" w:type="dxa"/>
          </w:tcPr>
          <w:p w14:paraId="2127E43E" w14:textId="77777777" w:rsidR="009103CC" w:rsidRPr="001814D2" w:rsidRDefault="009103CC" w:rsidP="002718DF">
            <w:pPr>
              <w:pStyle w:val="Tabletext"/>
              <w:rPr>
                <w:rFonts w:cs="Arial"/>
              </w:rPr>
            </w:pPr>
            <w:r w:rsidRPr="001814D2">
              <w:rPr>
                <w:rFonts w:cs="Arial"/>
              </w:rPr>
              <w:t>93</w:t>
            </w:r>
          </w:p>
        </w:tc>
      </w:tr>
      <w:tr w:rsidR="009103CC" w:rsidRPr="001814D2" w14:paraId="2D1E7EF0" w14:textId="77777777" w:rsidTr="002718DF">
        <w:tc>
          <w:tcPr>
            <w:tcW w:w="4077" w:type="dxa"/>
          </w:tcPr>
          <w:p w14:paraId="51C8091B" w14:textId="77777777" w:rsidR="009103CC" w:rsidRPr="001814D2" w:rsidRDefault="009103CC" w:rsidP="002718DF">
            <w:pPr>
              <w:pStyle w:val="Tabletext"/>
              <w:rPr>
                <w:rFonts w:cs="Arial"/>
              </w:rPr>
            </w:pPr>
            <w:r w:rsidRPr="001814D2">
              <w:rPr>
                <w:rFonts w:cs="Arial"/>
              </w:rPr>
              <w:t>People with a disability</w:t>
            </w:r>
          </w:p>
        </w:tc>
        <w:tc>
          <w:tcPr>
            <w:tcW w:w="1276" w:type="dxa"/>
          </w:tcPr>
          <w:p w14:paraId="02122A21" w14:textId="77777777" w:rsidR="009103CC" w:rsidRPr="001814D2" w:rsidRDefault="009103CC" w:rsidP="002718DF">
            <w:pPr>
              <w:pStyle w:val="Tabletext"/>
              <w:rPr>
                <w:rFonts w:cs="Arial"/>
              </w:rPr>
            </w:pPr>
            <w:r w:rsidRPr="001814D2">
              <w:rPr>
                <w:rFonts w:cs="Arial"/>
              </w:rPr>
              <w:t>100</w:t>
            </w:r>
          </w:p>
        </w:tc>
        <w:tc>
          <w:tcPr>
            <w:tcW w:w="1190" w:type="dxa"/>
          </w:tcPr>
          <w:p w14:paraId="0DE6D4E3" w14:textId="77777777" w:rsidR="009103CC" w:rsidRPr="001814D2" w:rsidRDefault="009103CC" w:rsidP="002718DF">
            <w:pPr>
              <w:pStyle w:val="Tabletext"/>
              <w:rPr>
                <w:rFonts w:cs="Arial"/>
              </w:rPr>
            </w:pPr>
            <w:r w:rsidRPr="001814D2">
              <w:rPr>
                <w:rFonts w:cs="Arial"/>
              </w:rPr>
              <w:t>N/A</w:t>
            </w:r>
          </w:p>
        </w:tc>
        <w:tc>
          <w:tcPr>
            <w:tcW w:w="1190" w:type="dxa"/>
          </w:tcPr>
          <w:p w14:paraId="6B81B1FA" w14:textId="77777777" w:rsidR="009103CC" w:rsidRPr="001814D2" w:rsidRDefault="009103CC" w:rsidP="002718DF">
            <w:pPr>
              <w:pStyle w:val="Tabletext"/>
              <w:rPr>
                <w:rFonts w:cs="Arial"/>
              </w:rPr>
            </w:pPr>
            <w:r w:rsidRPr="001814D2">
              <w:rPr>
                <w:rFonts w:cs="Arial"/>
              </w:rPr>
              <w:t>N/A</w:t>
            </w:r>
          </w:p>
        </w:tc>
        <w:tc>
          <w:tcPr>
            <w:tcW w:w="1190" w:type="dxa"/>
          </w:tcPr>
          <w:p w14:paraId="6995A66C" w14:textId="77777777" w:rsidR="009103CC" w:rsidRPr="001814D2" w:rsidRDefault="009103CC" w:rsidP="002718DF">
            <w:pPr>
              <w:pStyle w:val="Tabletext"/>
              <w:rPr>
                <w:rFonts w:cs="Arial"/>
              </w:rPr>
            </w:pPr>
            <w:r w:rsidRPr="001814D2">
              <w:rPr>
                <w:rFonts w:cs="Arial"/>
              </w:rPr>
              <w:t>N/A</w:t>
            </w:r>
          </w:p>
        </w:tc>
      </w:tr>
      <w:tr w:rsidR="009103CC" w:rsidRPr="001814D2" w14:paraId="628A2B24" w14:textId="77777777" w:rsidTr="002718DF">
        <w:tc>
          <w:tcPr>
            <w:tcW w:w="4077" w:type="dxa"/>
          </w:tcPr>
          <w:p w14:paraId="05F880C7" w14:textId="77777777" w:rsidR="009103CC" w:rsidRPr="001814D2" w:rsidRDefault="009103CC" w:rsidP="002718DF">
            <w:pPr>
              <w:pStyle w:val="Tabletext"/>
              <w:rPr>
                <w:rFonts w:cs="Arial"/>
              </w:rPr>
            </w:pPr>
            <w:r w:rsidRPr="001814D2">
              <w:rPr>
                <w:rFonts w:cs="Arial"/>
              </w:rPr>
              <w:t>People with a disability requiring work-related adjustment</w:t>
            </w:r>
          </w:p>
        </w:tc>
        <w:tc>
          <w:tcPr>
            <w:tcW w:w="1276" w:type="dxa"/>
          </w:tcPr>
          <w:p w14:paraId="2970FFA0" w14:textId="77777777" w:rsidR="009103CC" w:rsidRPr="001814D2" w:rsidRDefault="009103CC" w:rsidP="002718DF">
            <w:pPr>
              <w:pStyle w:val="Tabletext"/>
              <w:rPr>
                <w:rFonts w:cs="Arial"/>
              </w:rPr>
            </w:pPr>
            <w:r w:rsidRPr="001814D2">
              <w:rPr>
                <w:rFonts w:cs="Arial"/>
              </w:rPr>
              <w:t>100</w:t>
            </w:r>
          </w:p>
        </w:tc>
        <w:tc>
          <w:tcPr>
            <w:tcW w:w="1190" w:type="dxa"/>
          </w:tcPr>
          <w:p w14:paraId="6F0B72D7" w14:textId="77777777" w:rsidR="009103CC" w:rsidRPr="001814D2" w:rsidRDefault="009103CC" w:rsidP="002718DF">
            <w:pPr>
              <w:pStyle w:val="Tabletext"/>
              <w:rPr>
                <w:rFonts w:cs="Arial"/>
              </w:rPr>
            </w:pPr>
            <w:r w:rsidRPr="001814D2">
              <w:rPr>
                <w:rFonts w:cs="Arial"/>
              </w:rPr>
              <w:t>N/A</w:t>
            </w:r>
          </w:p>
        </w:tc>
        <w:tc>
          <w:tcPr>
            <w:tcW w:w="1190" w:type="dxa"/>
          </w:tcPr>
          <w:p w14:paraId="25419A84" w14:textId="77777777" w:rsidR="009103CC" w:rsidRPr="001814D2" w:rsidRDefault="009103CC" w:rsidP="002718DF">
            <w:pPr>
              <w:pStyle w:val="Tabletext"/>
              <w:rPr>
                <w:rFonts w:cs="Arial"/>
              </w:rPr>
            </w:pPr>
            <w:r w:rsidRPr="001814D2">
              <w:rPr>
                <w:rFonts w:cs="Arial"/>
              </w:rPr>
              <w:t>N/A</w:t>
            </w:r>
          </w:p>
        </w:tc>
        <w:tc>
          <w:tcPr>
            <w:tcW w:w="1190" w:type="dxa"/>
          </w:tcPr>
          <w:p w14:paraId="60D18FE5" w14:textId="77777777" w:rsidR="009103CC" w:rsidRPr="001814D2" w:rsidRDefault="009103CC" w:rsidP="002718DF">
            <w:pPr>
              <w:pStyle w:val="Tabletext"/>
              <w:rPr>
                <w:rFonts w:cs="Arial"/>
              </w:rPr>
            </w:pPr>
            <w:r w:rsidRPr="001814D2">
              <w:rPr>
                <w:rFonts w:cs="Arial"/>
              </w:rPr>
              <w:t>N/A</w:t>
            </w:r>
          </w:p>
        </w:tc>
      </w:tr>
    </w:tbl>
    <w:p w14:paraId="69A5F3F2" w14:textId="77777777" w:rsidR="009103CC" w:rsidRDefault="009103CC" w:rsidP="009103CC">
      <w:pPr>
        <w:pStyle w:val="Tabletext"/>
      </w:pPr>
      <w:r w:rsidRPr="00E458F4">
        <w:t>Note 1: A Distribution Index score of 100 indicates that the distribution of members of the Workforce Diversity group across salary bands is equivalent to that of the rest of the workforce. A score less than 100 means that members of the Workforce Diversity group tend to be more concentrated at lower salary bands than is the case for other staff. The more pronounced this tendency is, the lower the score will be. In some cases, the index may be more than 100, indicating that members of the Workforce Diversity group tend to be more concentrated at higher salary bands than is the case for other staff.</w:t>
      </w:r>
      <w:r w:rsidRPr="00E458F4">
        <w:br/>
      </w:r>
      <w:r w:rsidRPr="00E458F4">
        <w:lastRenderedPageBreak/>
        <w:t>Note 2: The Distribution Index is not calculated when the number of employees in the Workforce Diversity group is less than 20 or when the number of other employees is less than 20.</w:t>
      </w:r>
    </w:p>
    <w:p w14:paraId="1E8C6C06" w14:textId="77777777" w:rsidR="009103CC" w:rsidRPr="00E458F4" w:rsidRDefault="009103CC" w:rsidP="009103CC">
      <w:pPr>
        <w:pStyle w:val="Tabletext"/>
      </w:pPr>
    </w:p>
    <w:p w14:paraId="0C18E53E" w14:textId="77777777" w:rsidR="009103CC" w:rsidRPr="001814D2" w:rsidRDefault="009103CC" w:rsidP="009103CC">
      <w:pPr>
        <w:pStyle w:val="ARheading4"/>
      </w:pPr>
      <w:r w:rsidRPr="001814D2">
        <w:t xml:space="preserve">Art Gallery employees </w:t>
      </w:r>
    </w:p>
    <w:p w14:paraId="321F44CE" w14:textId="77777777" w:rsidR="009103CC" w:rsidRPr="001814D2" w:rsidRDefault="009103CC" w:rsidP="009103CC">
      <w:pPr>
        <w:pStyle w:val="ARbody"/>
      </w:pPr>
      <w:r w:rsidRPr="001814D2">
        <w:t>Women represent 68% of Art Gallery employees and this percentage continues to surpass the NSW Public Sector benchmark of 50%. Women also represent 40% of the Art Gallery’s Executive team and 69% of the Leadership team.</w:t>
      </w:r>
    </w:p>
    <w:p w14:paraId="749F5F09" w14:textId="77777777" w:rsidR="009103CC" w:rsidRPr="001814D2" w:rsidRDefault="009103CC" w:rsidP="009103CC">
      <w:pPr>
        <w:pStyle w:val="ARheading4"/>
      </w:pPr>
      <w:r w:rsidRPr="001814D2">
        <w:t>Cultural diversity</w:t>
      </w:r>
    </w:p>
    <w:p w14:paraId="210DD20F" w14:textId="77777777" w:rsidR="009103CC" w:rsidRPr="001814D2" w:rsidRDefault="009103CC" w:rsidP="009103CC">
      <w:pPr>
        <w:pStyle w:val="ARbody"/>
      </w:pPr>
      <w:r w:rsidRPr="001814D2">
        <w:t xml:space="preserve">The Art Gallery recruited a diversity and inclusion manager in December 2020, to develop a Diversity, Equity, Inclusion and Belonging (DEIB) Strategy and support its gallery-wide implementation. In line with the Art Gallery’s Corporate Strategic Plan, the DEIB Strategy will encompass key diversity dimensions, promote intersectional inclusion, and ensure compliance with statutory obligations under Multicultural Programs and Services Planning (MPSP), and Disability Inclusion Action Planning (DIAP). Development of the DEIB Strategy is a focus in 2021–22. </w:t>
      </w:r>
    </w:p>
    <w:p w14:paraId="2A40519B" w14:textId="77777777" w:rsidR="009103CC" w:rsidRPr="001814D2" w:rsidRDefault="009103CC" w:rsidP="009103CC">
      <w:pPr>
        <w:pStyle w:val="ARheading4"/>
      </w:pPr>
      <w:r w:rsidRPr="001814D2">
        <w:t xml:space="preserve">Multicultural programs and services summary 2020–21 </w:t>
      </w:r>
    </w:p>
    <w:p w14:paraId="00877E14" w14:textId="77777777" w:rsidR="009103CC" w:rsidRPr="001814D2" w:rsidRDefault="009103CC" w:rsidP="009103CC">
      <w:pPr>
        <w:pStyle w:val="ARbody"/>
      </w:pPr>
      <w:r w:rsidRPr="001814D2">
        <w:t xml:space="preserve">Highlights delivered in line with Multicultural NSW principles and commitments in 2020–21 include: </w:t>
      </w:r>
    </w:p>
    <w:p w14:paraId="68FC85C7" w14:textId="77777777" w:rsidR="009103CC" w:rsidRPr="001814D2" w:rsidRDefault="009103CC" w:rsidP="009103CC">
      <w:pPr>
        <w:pStyle w:val="ARlistparagraph"/>
      </w:pPr>
      <w:r w:rsidRPr="001814D2">
        <w:t>Participation in the Diversity Council Australia’s 2021 Inclusion@Work Index to gather detailed diversity demographics of Art Gallery staff and volunteers, including cultural and linguistic diversity, to inform policies, programs and service delivery.</w:t>
      </w:r>
    </w:p>
    <w:p w14:paraId="3AA50C32" w14:textId="77777777" w:rsidR="009103CC" w:rsidRPr="001814D2" w:rsidRDefault="009103CC" w:rsidP="009103CC">
      <w:pPr>
        <w:pStyle w:val="ARlistparagraph"/>
      </w:pPr>
      <w:r w:rsidRPr="001814D2">
        <w:t>Expansion of recruitment activities for front-of-house staff and volunteers to increase age, gender, cultural and linguistic diversity. The front-of-house team includes staff who speak Chinese, French, Japanese, Serbian, Spanish and Portuguese.</w:t>
      </w:r>
    </w:p>
    <w:p w14:paraId="68D1A47E" w14:textId="77777777" w:rsidR="009103CC" w:rsidRPr="001814D2" w:rsidRDefault="009103CC" w:rsidP="009103CC">
      <w:pPr>
        <w:pStyle w:val="ARlistparagraph"/>
      </w:pPr>
      <w:r w:rsidRPr="001814D2">
        <w:t>Art Gallery leaders leading the implementation of diversity and inclusion (D&amp;I) awareness-raising, skills development, advisory and support activities to help embed D&amp;I principles and culturally inclusive practices into decision-making, internal workplace culture and public programming.</w:t>
      </w:r>
    </w:p>
    <w:p w14:paraId="4DA056CE" w14:textId="77777777" w:rsidR="009103CC" w:rsidRPr="001814D2" w:rsidRDefault="009103CC" w:rsidP="009103CC">
      <w:pPr>
        <w:pStyle w:val="ARbody"/>
      </w:pPr>
      <w:r w:rsidRPr="001814D2">
        <w:t>Please see ‘Learning and participation’ and ‘Art’ sections regarding additional specific multicultural services.</w:t>
      </w:r>
    </w:p>
    <w:p w14:paraId="1B2EFF4B" w14:textId="77777777" w:rsidR="009103CC" w:rsidRPr="001814D2" w:rsidRDefault="009103CC" w:rsidP="009103CC">
      <w:pPr>
        <w:pStyle w:val="ARbody"/>
      </w:pPr>
      <w:r w:rsidRPr="001814D2">
        <w:t xml:space="preserve">This year, 20% of Art Gallery employees identified as coming from a racial, ethnic or ethnic-religious minority group. People identifying as Aboriginal or Torres Strait Islander represented 2% of all staff, representing significant progress toward targets. Many employees who speak community languages assist other staff and visitors as well as earning </w:t>
      </w:r>
      <w:r w:rsidRPr="001814D2">
        <w:lastRenderedPageBreak/>
        <w:t xml:space="preserve">a Community Language Allowance. As at 30 June 2021, the Art Gallery had staff officially able to offer assistance in community languages such as Hindi, Polish, Italian, French, Mandarin and Indonesian. </w:t>
      </w:r>
    </w:p>
    <w:p w14:paraId="7504ADA5" w14:textId="77777777" w:rsidR="009103CC" w:rsidRPr="001814D2" w:rsidRDefault="009103CC" w:rsidP="009103CC">
      <w:pPr>
        <w:pStyle w:val="ARheading4"/>
      </w:pPr>
      <w:r w:rsidRPr="001814D2">
        <w:t>Indigenous employees</w:t>
      </w:r>
    </w:p>
    <w:p w14:paraId="4F868522" w14:textId="77777777" w:rsidR="009103CC" w:rsidRPr="001814D2" w:rsidRDefault="009103CC" w:rsidP="009103CC">
      <w:pPr>
        <w:pStyle w:val="ARbody"/>
      </w:pPr>
      <w:r w:rsidRPr="001814D2">
        <w:t>People identifying as Aboriginal and Torres Strait Islander represent 2% of the Art Gallery’s workforce. The Art Gallery is below the NSW public sector employment target of 2.6%, but continues to work on strategies to increase representation.</w:t>
      </w:r>
    </w:p>
    <w:p w14:paraId="76AE3C4B" w14:textId="77777777" w:rsidR="009103CC" w:rsidRPr="001814D2" w:rsidRDefault="009103CC" w:rsidP="009103CC">
      <w:pPr>
        <w:pStyle w:val="ARheading4"/>
      </w:pPr>
      <w:r w:rsidRPr="001814D2">
        <w:t>Employee remuneration and staff benefits</w:t>
      </w:r>
    </w:p>
    <w:p w14:paraId="154C0C60" w14:textId="77777777" w:rsidR="009103CC" w:rsidRPr="001814D2" w:rsidRDefault="009103CC" w:rsidP="009103CC">
      <w:pPr>
        <w:pStyle w:val="ARbody"/>
      </w:pPr>
      <w:r w:rsidRPr="001814D2">
        <w:t xml:space="preserve">The Crown Employees (Public Sector Salaries) Award July 2020 provided a 2.04% pay increase to Art Gallery staff with effect from 9 July 2021. The Art Gallery continues to provide a range of staff benefits to employees. These include salary sacrifice for personal contributions to superannuation and salary packaging for purchase of motor vehicles. </w:t>
      </w:r>
    </w:p>
    <w:p w14:paraId="21836D8F" w14:textId="77777777" w:rsidR="009103CC" w:rsidRPr="001814D2" w:rsidRDefault="009103CC" w:rsidP="009103CC">
      <w:pPr>
        <w:pStyle w:val="ARbody"/>
      </w:pPr>
      <w:r w:rsidRPr="001814D2">
        <w:t>Other staff benefits include staff discounts at the Gallery Shop, restaurant and cafe, and discounts on Art Gallery Society membership. The Art Gallery has also re-negotiated arrangements for staff to access discounted parking at the Domain Car Park. Staff are also offered before- and after-hours onsite classes in pilates and yoga through a pay-per-use system.</w:t>
      </w:r>
    </w:p>
    <w:p w14:paraId="4A0EC0A5" w14:textId="77777777" w:rsidR="009103CC" w:rsidRPr="001814D2" w:rsidRDefault="009103CC" w:rsidP="009103CC">
      <w:pPr>
        <w:pStyle w:val="ARheading4"/>
      </w:pPr>
      <w:r w:rsidRPr="001814D2">
        <w:t>Conditions of employment</w:t>
      </w:r>
    </w:p>
    <w:p w14:paraId="33014E89" w14:textId="77777777" w:rsidR="009103CC" w:rsidRPr="001814D2" w:rsidRDefault="009103CC" w:rsidP="009103CC">
      <w:pPr>
        <w:pStyle w:val="ARbody"/>
      </w:pPr>
      <w:r w:rsidRPr="001814D2">
        <w:t xml:space="preserve">The Art Gallery continues to review recruitment and employment practices ensuring that legislation and guidelines are met, and practices are monitored on a regular basis. </w:t>
      </w:r>
    </w:p>
    <w:p w14:paraId="542EBA61" w14:textId="77777777" w:rsidR="009103CC" w:rsidRPr="001814D2" w:rsidRDefault="009103CC" w:rsidP="009103CC">
      <w:pPr>
        <w:pStyle w:val="ARheading4"/>
      </w:pPr>
      <w:r w:rsidRPr="001814D2">
        <w:t>Training and scholarships</w:t>
      </w:r>
    </w:p>
    <w:p w14:paraId="1FB10890" w14:textId="77777777" w:rsidR="009103CC" w:rsidRPr="001814D2" w:rsidRDefault="009103CC" w:rsidP="009103CC">
      <w:pPr>
        <w:pStyle w:val="ARbody"/>
      </w:pPr>
      <w:r w:rsidRPr="001814D2">
        <w:t>The Art Gallery is an active supporter of professional development. Staff are supported through the provision of study leave and flexible working hours and work arrangements to enhance their academic qualifications. Scholarships, however, were not offered this financial year due to the impact of COVID-19 on workplace attendance and travel restrictions.</w:t>
      </w:r>
    </w:p>
    <w:p w14:paraId="65A23050" w14:textId="77777777" w:rsidR="009103CC" w:rsidRPr="001814D2" w:rsidRDefault="009103CC" w:rsidP="009103CC">
      <w:pPr>
        <w:pStyle w:val="ARbody"/>
      </w:pPr>
      <w:r w:rsidRPr="001814D2">
        <w:t>Eleven staff completed the Department of Premier and Cabinet Leadership Program and twenty staff enrolled in the Public Service Commission’s People Management Fundamentals online course.</w:t>
      </w:r>
    </w:p>
    <w:p w14:paraId="1A244927" w14:textId="77777777" w:rsidR="009103CC" w:rsidRPr="001814D2" w:rsidRDefault="009103CC" w:rsidP="009103CC">
      <w:pPr>
        <w:pStyle w:val="ARbody"/>
      </w:pPr>
      <w:r w:rsidRPr="001814D2">
        <w:t>A further twenty-three staff participated in various other leadership and professional skills training, including project management, leading remote teams, and time management. Four curators attended a provenance webinar.</w:t>
      </w:r>
    </w:p>
    <w:p w14:paraId="7D1719B5" w14:textId="77777777" w:rsidR="009103CC" w:rsidRPr="001814D2" w:rsidRDefault="009103CC" w:rsidP="009103CC">
      <w:pPr>
        <w:pStyle w:val="ARbody"/>
      </w:pPr>
      <w:r w:rsidRPr="001814D2">
        <w:t xml:space="preserve">Seven staff participated in systems-related training, including Microsoft Excel, online </w:t>
      </w:r>
      <w:r w:rsidRPr="001814D2">
        <w:lastRenderedPageBreak/>
        <w:t>presenting and content design and thirteen staff took back-safety training, including ergonomic desk setup and safe lifting and handling procedures.</w:t>
      </w:r>
    </w:p>
    <w:p w14:paraId="7A422BF6" w14:textId="77777777" w:rsidR="009103CC" w:rsidRPr="001814D2" w:rsidRDefault="009103CC" w:rsidP="009103CC">
      <w:pPr>
        <w:pStyle w:val="ARbody"/>
      </w:pPr>
      <w:r w:rsidRPr="001814D2">
        <w:t>Online courses for managers and employees about bullying and harassment were taken up by a total 126 staff, and eighty-one staff attended workplace conversations training for employees or managers.</w:t>
      </w:r>
    </w:p>
    <w:p w14:paraId="579D7C45" w14:textId="77777777" w:rsidR="009103CC" w:rsidRPr="001814D2" w:rsidRDefault="009103CC" w:rsidP="009103CC">
      <w:pPr>
        <w:pStyle w:val="ARbody"/>
      </w:pPr>
      <w:r w:rsidRPr="001814D2">
        <w:t>Required safety and machinery licence training was delivered to thirty-four staff, including Working at Heights, Construction Induction, Dogging and Rigging, and two WHS committee members completed targeted WHS training.</w:t>
      </w:r>
    </w:p>
    <w:p w14:paraId="4FB53F4D" w14:textId="77777777" w:rsidR="009103CC" w:rsidRPr="001814D2" w:rsidRDefault="009103CC" w:rsidP="009103CC">
      <w:pPr>
        <w:pStyle w:val="ARheading4"/>
      </w:pPr>
      <w:r w:rsidRPr="001814D2">
        <w:t>Employee Assistance Program</w:t>
      </w:r>
    </w:p>
    <w:p w14:paraId="774A5DD0" w14:textId="77777777" w:rsidR="009103CC" w:rsidRPr="001814D2" w:rsidRDefault="009103CC" w:rsidP="009103CC">
      <w:pPr>
        <w:pStyle w:val="ARbody"/>
      </w:pPr>
      <w:r w:rsidRPr="001814D2">
        <w:t>For many years, the Art Gallery has offered employees a confidential counselling service, external to the Art Gallery. The counselling service is available to all staff and their immediate family and provides counselling on a range of issues including interpersonal relationships, financial planning, stress and critical incident debriefing. The current provider of counselling services to the Art Gallery is LifeWorks.</w:t>
      </w:r>
    </w:p>
    <w:p w14:paraId="7AFDE387" w14:textId="77777777" w:rsidR="009103CC" w:rsidRPr="001814D2" w:rsidRDefault="009103CC" w:rsidP="009103CC">
      <w:pPr>
        <w:pStyle w:val="ARheading4"/>
      </w:pPr>
      <w:r w:rsidRPr="001814D2">
        <w:t>Work, health and safety</w:t>
      </w:r>
    </w:p>
    <w:p w14:paraId="790EB2B1" w14:textId="77777777" w:rsidR="009103CC" w:rsidRPr="001814D2" w:rsidRDefault="009103CC" w:rsidP="009103CC">
      <w:pPr>
        <w:pStyle w:val="ARbody"/>
      </w:pPr>
      <w:r w:rsidRPr="001814D2">
        <w:t>Number of work-related injuries resulting in workers compensation:</w:t>
      </w:r>
    </w:p>
    <w:p w14:paraId="43EA2BDC" w14:textId="77777777" w:rsidR="009103CC" w:rsidRPr="001814D2" w:rsidRDefault="009103CC" w:rsidP="009103CC">
      <w:pPr>
        <w:pStyle w:val="ARlistparagraph"/>
      </w:pPr>
      <w:r w:rsidRPr="001814D2">
        <w:t>Claims: 8</w:t>
      </w:r>
    </w:p>
    <w:p w14:paraId="09A15EA2" w14:textId="77777777" w:rsidR="009103CC" w:rsidRPr="001814D2" w:rsidRDefault="009103CC" w:rsidP="009103CC">
      <w:pPr>
        <w:pStyle w:val="ARlistparagraph"/>
      </w:pPr>
      <w:r w:rsidRPr="001814D2">
        <w:t>Number of lost-time injuries: 3</w:t>
      </w:r>
    </w:p>
    <w:p w14:paraId="0EB819D0" w14:textId="77777777" w:rsidR="009103CC" w:rsidRPr="001814D2" w:rsidRDefault="009103CC" w:rsidP="009103CC">
      <w:pPr>
        <w:pStyle w:val="ARlistparagraph"/>
      </w:pPr>
      <w:r w:rsidRPr="001814D2">
        <w:t>Number of work-related illnesses: 0</w:t>
      </w:r>
    </w:p>
    <w:p w14:paraId="47C2F370" w14:textId="77777777" w:rsidR="009103CC" w:rsidRPr="001814D2" w:rsidRDefault="009103CC" w:rsidP="009103CC">
      <w:pPr>
        <w:pStyle w:val="ARlistparagraph"/>
      </w:pPr>
      <w:r w:rsidRPr="001814D2">
        <w:t>Prosecution under the OH&amp;S Act: 0</w:t>
      </w:r>
    </w:p>
    <w:p w14:paraId="1D01F657" w14:textId="77777777" w:rsidR="009103CC" w:rsidRPr="001814D2" w:rsidRDefault="009103CC" w:rsidP="009103CC">
      <w:pPr>
        <w:pStyle w:val="ARbody"/>
      </w:pPr>
      <w:r w:rsidRPr="001814D2">
        <w:t>The Art Gallery’s injury management process is effective in returning workers to pre-injury duties as quickly as possible. This is reflected in reduced time lost and the capacity of the Art Gallery to provide suitable duties and gradual return-to-work programs, minimising time lost. The Art Gallery actively implements injury management by maintaining contact with injured workers, treating doctors and insurers. Preventative measures such as flu injections, pilates and yoga classes are made available to all staff.</w:t>
      </w:r>
    </w:p>
    <w:p w14:paraId="6F543B99" w14:textId="77777777" w:rsidR="009103CC" w:rsidRPr="001814D2" w:rsidRDefault="009103CC" w:rsidP="009103CC">
      <w:pPr>
        <w:pStyle w:val="ARbody"/>
      </w:pPr>
      <w:r w:rsidRPr="001814D2">
        <w:t>The Art Gallery’s Work Health and Safety (WH&amp;S) Committee is an internal advisory body meeting on a quarterly basis. It undertakes workplace inspections and reviews procedures and practices and, where appropriate, makes recommendations to management for improvements to minimise WH&amp;S workplace risks. Quarterly reports on WH&amp;S – including initiatives, the incidence of accidents, and worker’s compensation claims – are reviewed by the Committee, the Trust’s Audit and Risk Committee and the Board of Trustees.</w:t>
      </w:r>
    </w:p>
    <w:p w14:paraId="0D7F4E2D" w14:textId="77777777" w:rsidR="009103CC" w:rsidRPr="001814D2" w:rsidRDefault="009103CC" w:rsidP="009103CC">
      <w:pPr>
        <w:pStyle w:val="ARheading4"/>
      </w:pPr>
      <w:r w:rsidRPr="001814D2">
        <w:lastRenderedPageBreak/>
        <w:t>Industrial relations</w:t>
      </w:r>
    </w:p>
    <w:p w14:paraId="67E6D5E8" w14:textId="77777777" w:rsidR="009103CC" w:rsidRDefault="009103CC" w:rsidP="009103CC">
      <w:pPr>
        <w:pStyle w:val="ARbody"/>
      </w:pPr>
      <w:r w:rsidRPr="001814D2">
        <w:t>There were no industrial disputes during 2020–21.</w:t>
      </w:r>
    </w:p>
    <w:p w14:paraId="1DA92303" w14:textId="77777777" w:rsidR="009103CC" w:rsidRDefault="009103CC" w:rsidP="009103CC">
      <w:pPr>
        <w:pStyle w:val="ARheading3"/>
      </w:pPr>
      <w:r>
        <w:t>Risk management</w:t>
      </w:r>
    </w:p>
    <w:p w14:paraId="7CB0FBFC" w14:textId="77777777" w:rsidR="009103CC" w:rsidRDefault="009103CC" w:rsidP="009103CC">
      <w:pPr>
        <w:pStyle w:val="ARbody"/>
      </w:pPr>
      <w:r>
        <w:t>Risk management is essential to good corporate governance. The Art Gallery is committed to a risk-management approach when implementing activities under our corporate plan’s five key strategic areas. External risks, their indicators and the management strategies that control them are part of the Art Gallery’s strategic management processes. Internal risks are addressed through policies, procedures and internal controls.</w:t>
      </w:r>
    </w:p>
    <w:p w14:paraId="2CBFE0D8" w14:textId="77777777" w:rsidR="009103CC" w:rsidRDefault="009103CC" w:rsidP="009103CC">
      <w:pPr>
        <w:pStyle w:val="ARbody"/>
      </w:pPr>
      <w:r>
        <w:t>The Art Gallery’s strategic risks include sustainable funding; remaining relevant and accessible; new building design and functionality; Sydney Modern Project; and government relationships and stakeholder management.</w:t>
      </w:r>
    </w:p>
    <w:p w14:paraId="58218054" w14:textId="77777777" w:rsidR="009103CC" w:rsidRDefault="009103CC" w:rsidP="009103CC">
      <w:pPr>
        <w:pStyle w:val="ARbody"/>
      </w:pPr>
      <w:r>
        <w:t>The operational risks are governance and legislative compliance; collection management; security management; business continuity and disaster management; information system and cyber security; contract and procurement management; workforce management; digitisation of collection; intellectual property and copyright; work, health and safety; records management; digital infrastructure and engagement; brand and marketing; change management building and maintenance; fraud and corruption; uptake of new technology; and learning and participation programs.</w:t>
      </w:r>
    </w:p>
    <w:p w14:paraId="184509C2" w14:textId="77777777" w:rsidR="009103CC" w:rsidRDefault="009103CC" w:rsidP="009103CC">
      <w:pPr>
        <w:pStyle w:val="ARbody"/>
      </w:pPr>
      <w:r>
        <w:t>The Art Gallery’s risk-management framework is managed in accordance with the NSW Government’s Internal Audit and Risk Management policy (Treasury Policy Paper: TPP 20-08). The mandatory annual attestation certification is included below.</w:t>
      </w:r>
    </w:p>
    <w:p w14:paraId="2B9418E4" w14:textId="77777777" w:rsidR="009103CC" w:rsidRDefault="009103CC" w:rsidP="009103CC">
      <w:pPr>
        <w:pStyle w:val="ARbody"/>
      </w:pPr>
      <w:r>
        <w:t>The Finance, Audit and Risk Sub-committee confirmed the setting of the Art Gallery’s internal audit program and risk profile for 2020–21 and regularly reviewed people and culture reports as well as work health and safety quarterly reports.</w:t>
      </w:r>
    </w:p>
    <w:p w14:paraId="6B8BAC41" w14:textId="77777777" w:rsidR="009103CC" w:rsidRDefault="009103CC" w:rsidP="009103CC">
      <w:pPr>
        <w:pStyle w:val="ARbody"/>
      </w:pPr>
      <w:r>
        <w:t>Work undertaken in policy and procedure areas included reviews of financial, administrative and personnel delegations, insurance arrangements, and the Code of Ethics and Conduct. The committee meets each year with the senior managers of the external and internal audit team to discuss findings from their review of statutory accounts and other audited areas.</w:t>
      </w:r>
    </w:p>
    <w:p w14:paraId="685C3A1D" w14:textId="77777777" w:rsidR="009103CC" w:rsidRDefault="009103CC" w:rsidP="009103CC">
      <w:pPr>
        <w:pStyle w:val="ARheading4"/>
      </w:pPr>
      <w:r>
        <w:t>Internal audits 2020–21</w:t>
      </w:r>
    </w:p>
    <w:p w14:paraId="352E5828" w14:textId="77777777" w:rsidR="009103CC" w:rsidRDefault="009103CC" w:rsidP="009103CC">
      <w:pPr>
        <w:pStyle w:val="ARbody"/>
      </w:pPr>
      <w:r>
        <w:t>One internal audit was conducted by Deloitte during the year:</w:t>
      </w:r>
    </w:p>
    <w:p w14:paraId="4DF8C667" w14:textId="77777777" w:rsidR="009103CC" w:rsidRDefault="009103CC" w:rsidP="009103CC">
      <w:pPr>
        <w:pStyle w:val="ARlistparagraph"/>
      </w:pPr>
      <w:r w:rsidRPr="001B0C42">
        <w:rPr>
          <w:b/>
          <w:bCs/>
        </w:rPr>
        <w:t>Digitisation of the collection audit.</w:t>
      </w:r>
      <w:r>
        <w:t xml:space="preserve"> This internal audit focused on the collection digitisation processes of the Art Gallery.</w:t>
      </w:r>
    </w:p>
    <w:p w14:paraId="5BE04F62" w14:textId="77777777" w:rsidR="009103CC" w:rsidRDefault="009103CC" w:rsidP="009103CC">
      <w:pPr>
        <w:pStyle w:val="ARbody"/>
      </w:pPr>
      <w:r>
        <w:lastRenderedPageBreak/>
        <w:t>Two further audits – a review of Publishing and a review of Work, Health and Safety – were scheduled for the 2020–21 year, but delayed by COVID-19. They were completed in the first quarter of the 2021–22 financial year.</w:t>
      </w:r>
    </w:p>
    <w:p w14:paraId="47524701" w14:textId="77777777" w:rsidR="009103CC" w:rsidRDefault="009103CC" w:rsidP="009103CC">
      <w:pPr>
        <w:pStyle w:val="ARbody"/>
      </w:pPr>
      <w:r>
        <w:t>Recommendations from the audits are implemented by management on an agreed timeframe, as resources allow. The Finance, Audit and Risk Sub-committee reviews and monitors implementation of internal audit review findings.</w:t>
      </w:r>
    </w:p>
    <w:p w14:paraId="3A7ADA7D" w14:textId="77777777" w:rsidR="009103CC" w:rsidRDefault="009103CC" w:rsidP="009103CC">
      <w:pPr>
        <w:pStyle w:val="ARheading4"/>
      </w:pPr>
      <w:r>
        <w:t>Insurance</w:t>
      </w:r>
    </w:p>
    <w:p w14:paraId="161CC12F" w14:textId="77777777" w:rsidR="009103CC" w:rsidRDefault="009103CC" w:rsidP="009103CC">
      <w:pPr>
        <w:pStyle w:val="ARbody"/>
      </w:pPr>
      <w:r>
        <w:t>As a NSW statutory authority, the Art Gallery’s insurable risks are covered under the Treasury Managed Fund (TMF), the government self-insurance scheme.</w:t>
      </w:r>
    </w:p>
    <w:p w14:paraId="682BDE65" w14:textId="77777777" w:rsidR="009103CC" w:rsidRDefault="009103CC" w:rsidP="009103CC">
      <w:pPr>
        <w:pStyle w:val="ARheading4"/>
      </w:pPr>
      <w:r>
        <w:t>Policy development</w:t>
      </w:r>
    </w:p>
    <w:p w14:paraId="75FFBCFA" w14:textId="77777777" w:rsidR="009103CC" w:rsidRDefault="009103CC" w:rsidP="009103CC">
      <w:pPr>
        <w:pStyle w:val="ARbody"/>
      </w:pPr>
      <w:r>
        <w:t>During 2020–21, the Art Gallery continued to revise and refresh key policies including the Financial, Administrative and Personnel Delegations Authority; the Code of Ethics and Conduct for Gallery Workers; Code of Ethics and Conduct for Board and Committee Members; the Business Continuity Plan; Gallery Investment Strategy; Corruption Prevention Strategy; Internal Audit and Risk Management Policy; and ICT Disaster and Recovery Strategy.</w:t>
      </w:r>
    </w:p>
    <w:p w14:paraId="6F01BF6C" w14:textId="77777777" w:rsidR="009103CC" w:rsidRDefault="009103CC" w:rsidP="009103CC">
      <w:pPr>
        <w:pStyle w:val="ARheading4"/>
      </w:pPr>
      <w:r>
        <w:t>Other Art Gallery entities</w:t>
      </w:r>
    </w:p>
    <w:p w14:paraId="31199523" w14:textId="77777777" w:rsidR="009103CC" w:rsidRDefault="009103CC" w:rsidP="009103CC">
      <w:pPr>
        <w:pStyle w:val="ARbody"/>
      </w:pPr>
      <w:r>
        <w:t>The Art Gallery is responsible for providing administrative support to three other entities, namely the Art Gallery of New South Wales Foundation, the Brett Whiteley Foundation and VisAsia. Each of these entities has a separate legal structure established by a trust deed or incorporated with a memorandum and articles of association. Each has a board of trustees/directors, as determined by its legislation. Board meetings are generally held quarterly. The Art Gallery provides support including management, finance, corporate secretariat and general administrative services.</w:t>
      </w:r>
    </w:p>
    <w:p w14:paraId="3D7B1FC7" w14:textId="77777777" w:rsidR="009103CC" w:rsidRDefault="009103CC" w:rsidP="009103CC">
      <w:pPr>
        <w:pStyle w:val="ARheading3"/>
      </w:pPr>
      <w:r>
        <w:t>Customer service delivery</w:t>
      </w:r>
    </w:p>
    <w:p w14:paraId="377EFABF" w14:textId="77777777" w:rsidR="009103CC" w:rsidRDefault="009103CC" w:rsidP="009103CC">
      <w:pPr>
        <w:pStyle w:val="ARbody"/>
      </w:pPr>
      <w:r>
        <w:t>In accordance with our pledge of service, visitors to the Art Gallery are invited to leave feedback using the hard copy Feedback Forms available at the information desk, via email or the ‘contact us’ form on the Art Gallery’s website. In 2020–21, 328 comments were received. Overall, there were ninety-one positive comments and 237 constructive comments. Comments are responded to by reception desk officers and referred to the relevant senior staff member for their reference or action, as appropriate. The introduction of a new telephone system this year also allowed customer enquiries and feedback to be more efficiently directed.</w:t>
      </w:r>
    </w:p>
    <w:p w14:paraId="1D6648FB" w14:textId="77777777" w:rsidR="009103CC" w:rsidRDefault="009103CC" w:rsidP="009103CC">
      <w:pPr>
        <w:pStyle w:val="ARbody"/>
      </w:pPr>
      <w:r>
        <w:lastRenderedPageBreak/>
        <w:t xml:space="preserve">The majority of positive comments received in 2020–21 related to the exhibitions </w:t>
      </w:r>
      <w:r w:rsidRPr="00201967">
        <w:rPr>
          <w:i/>
          <w:iCs/>
        </w:rPr>
        <w:t>Streeton</w:t>
      </w:r>
      <w:r>
        <w:t xml:space="preserve"> and the </w:t>
      </w:r>
      <w:r w:rsidRPr="00201967">
        <w:rPr>
          <w:i/>
          <w:iCs/>
        </w:rPr>
        <w:t>Archibald, Wynne and Sulman Prizes 2020</w:t>
      </w:r>
      <w:r>
        <w:t>. Free guided tours continue to be a source of delight for visitors, and corporate and private events also received high praise throughout the year.</w:t>
      </w:r>
    </w:p>
    <w:p w14:paraId="780A859E" w14:textId="77777777" w:rsidR="009103CC" w:rsidRDefault="009103CC" w:rsidP="009103CC">
      <w:pPr>
        <w:pStyle w:val="ARbody"/>
      </w:pPr>
      <w:r w:rsidRPr="005A1CDE">
        <w:rPr>
          <w:i/>
          <w:iCs/>
        </w:rPr>
        <w:t>Streeton</w:t>
      </w:r>
      <w:r>
        <w:t xml:space="preserve"> provided a chance for visitors to see an exhibition that featured more than 150 paintings, drawings and watercolours from forty-two public and private collections, with some not exhibited for more than a hundred years and curated exclusively for the Art Gallery. One visitor stated: ‘A wonderfully curated exhibition of Streeton’s work drawn from so many sources and all so beautiful whether in Sydney, London, Cairo or at Templestowe, Sandringham, Coogee Beach, along the Hawkesbury, in the Blue Mountains, the Grampians or Mt Buller. He captured the essence of it all.’</w:t>
      </w:r>
    </w:p>
    <w:p w14:paraId="46B506B1" w14:textId="77777777" w:rsidR="009103CC" w:rsidRDefault="009103CC" w:rsidP="009103CC">
      <w:pPr>
        <w:pStyle w:val="ARbody"/>
      </w:pPr>
      <w:r>
        <w:t xml:space="preserve">Visitors also appreciated the chance to see the </w:t>
      </w:r>
      <w:r w:rsidRPr="00201967">
        <w:rPr>
          <w:i/>
          <w:iCs/>
        </w:rPr>
        <w:t>Archibald, Wynne and Sulman Prizes 2020</w:t>
      </w:r>
      <w:r>
        <w:t xml:space="preserve"> in a COVID-safe environment: ‘I love the Archibald and make sure I see it every year. This year’s was most enjoyable, and it was difficult to choose a favourite among the many that could have received my vote. I had to backtrack three times before I finally made my decision. This is a must-see and I have told family and friends not to miss out. Thank you all for the excellent way you handled the restrictions placed on the organisers because of COVID – it all worked very well. Congratulations!’</w:t>
      </w:r>
    </w:p>
    <w:p w14:paraId="29CE9DBA" w14:textId="77777777" w:rsidR="009103CC" w:rsidRDefault="009103CC" w:rsidP="009103CC">
      <w:pPr>
        <w:pStyle w:val="ARbody"/>
      </w:pPr>
      <w:r>
        <w:t>Visitors also enjoyed new specialty tours delivered by Aboriginal Australian staff: ‘I hadn’t been to the Art Gallery for about eighteen years but I’m very happy to say that I have now been twice in three weeks … because the free tour of Aboriginal and Torres Strait Islander art was so captivating. The tour guide Kirra [Weingarth] was knowledgeable in her ability to speak to the works of art. Kirra’s professionalism, very knowledgeable comments, explanations and historical links, together with her ability to easily answer questions, inspired [me] to become a member of the Art Gallery and I look forward to becoming a regular.’</w:t>
      </w:r>
    </w:p>
    <w:p w14:paraId="7685B1D9" w14:textId="77777777" w:rsidR="009103CC" w:rsidRDefault="009103CC" w:rsidP="009103CC">
      <w:pPr>
        <w:pStyle w:val="ARbody"/>
      </w:pPr>
      <w:r>
        <w:t xml:space="preserve">The film program, curated by Ruby Arrowsmith-Todd, also continued to receive praise: ‘My wife and I went to the last two movies in the wonderful film program the Art Gallery runs. We saw </w:t>
      </w:r>
      <w:r w:rsidRPr="00201967">
        <w:rPr>
          <w:i/>
          <w:iCs/>
        </w:rPr>
        <w:t>Modern times</w:t>
      </w:r>
      <w:r>
        <w:t xml:space="preserve"> and </w:t>
      </w:r>
      <w:r w:rsidRPr="00201967">
        <w:rPr>
          <w:i/>
          <w:iCs/>
        </w:rPr>
        <w:t>Bringing up baby</w:t>
      </w:r>
      <w:r>
        <w:t xml:space="preserve"> … I just wanted to say thank you to the Gallery and to the staff who run this film program. It is wonderful and these two movies were a great joy! It’s a terrific initiative of the Gallery and we are most grateful.’</w:t>
      </w:r>
    </w:p>
    <w:p w14:paraId="0204C467" w14:textId="77777777" w:rsidR="009103CC" w:rsidRPr="001814D2" w:rsidRDefault="009103CC" w:rsidP="009103CC">
      <w:pPr>
        <w:pStyle w:val="ARbody"/>
      </w:pPr>
      <w:r>
        <w:t>Constructive comments suggested improvements to signage in the Art Gallery and requested more seating in gallery spaces. All constructive comments are reviewed and actioned as appropriate.</w:t>
      </w:r>
    </w:p>
    <w:p w14:paraId="0BEF4C8F" w14:textId="77777777" w:rsidR="009103CC" w:rsidRPr="001814D2" w:rsidRDefault="009103CC" w:rsidP="009103CC">
      <w:pPr>
        <w:pStyle w:val="ARheading3"/>
      </w:pPr>
      <w:r w:rsidRPr="001814D2">
        <w:t>Compliance</w:t>
      </w:r>
    </w:p>
    <w:p w14:paraId="7658B2B6" w14:textId="77777777" w:rsidR="009103CC" w:rsidRPr="001814D2" w:rsidRDefault="009103CC" w:rsidP="009103CC">
      <w:pPr>
        <w:pStyle w:val="ARbody"/>
      </w:pPr>
      <w:r w:rsidRPr="001814D2">
        <w:t>The Art Gallery incurred approximately $6500 in external costs for the production of its 2020–</w:t>
      </w:r>
      <w:r w:rsidRPr="001814D2">
        <w:lastRenderedPageBreak/>
        <w:t>21 Annual Report. The copies for submission were printed in-house with comb binding. The report is available online at artgallery.nsw.gov.au/about-us/corporate-information/annual-reports/agnsw</w:t>
      </w:r>
    </w:p>
    <w:p w14:paraId="43CCD9C2" w14:textId="77777777" w:rsidR="009103CC" w:rsidRPr="001814D2" w:rsidRDefault="009103CC" w:rsidP="009103CC">
      <w:pPr>
        <w:pStyle w:val="ARheading4"/>
      </w:pPr>
      <w:r w:rsidRPr="001814D2">
        <w:t>Consultants</w:t>
      </w:r>
    </w:p>
    <w:p w14:paraId="24CAB687" w14:textId="77777777" w:rsidR="009103CC" w:rsidRPr="001814D2" w:rsidRDefault="009103CC" w:rsidP="009103CC">
      <w:pPr>
        <w:pStyle w:val="ARbody"/>
      </w:pPr>
      <w:r w:rsidRPr="001814D2">
        <w:t>The Art Gallery engaged 36 consultancies costing a total of $2,184,477 during the reporting period. Of these consultancies, eight were valued at greater than $50,000 as set out below:</w:t>
      </w:r>
    </w:p>
    <w:p w14:paraId="0FC924B9" w14:textId="77777777" w:rsidR="009103CC" w:rsidRPr="001814D2" w:rsidRDefault="009103CC" w:rsidP="009103CC">
      <w:pPr>
        <w:pStyle w:val="ARlistparagraph"/>
      </w:pPr>
      <w:r w:rsidRPr="001814D2">
        <w:t>Mash One Pty Ltd provided food and beverage advice. Total cost: $75,000</w:t>
      </w:r>
    </w:p>
    <w:p w14:paraId="32929238" w14:textId="77777777" w:rsidR="009103CC" w:rsidRPr="001814D2" w:rsidRDefault="009103CC" w:rsidP="009103CC">
      <w:pPr>
        <w:pStyle w:val="ARlistparagraph"/>
      </w:pPr>
      <w:r w:rsidRPr="001814D2">
        <w:t>Brain &amp; Poulter provided catering advice. Total cost: $79,772</w:t>
      </w:r>
    </w:p>
    <w:p w14:paraId="3C002CFC" w14:textId="77777777" w:rsidR="009103CC" w:rsidRPr="001814D2" w:rsidRDefault="009103CC" w:rsidP="009103CC">
      <w:pPr>
        <w:pStyle w:val="ARlistparagraph"/>
      </w:pPr>
      <w:r w:rsidRPr="001814D2">
        <w:t>Architectus Group Pty Ltd provided architectural advice for the Sydney Modern Project. Total cost: $88,996</w:t>
      </w:r>
    </w:p>
    <w:p w14:paraId="6DCA93B0" w14:textId="77777777" w:rsidR="009103CC" w:rsidRPr="001814D2" w:rsidRDefault="009103CC" w:rsidP="009103CC">
      <w:pPr>
        <w:pStyle w:val="ARlistparagraph"/>
      </w:pPr>
      <w:r w:rsidRPr="001814D2">
        <w:t>Herbert Smith Freehills provided legal advice for the Sydney Modern Project. Total cost: $89,699</w:t>
      </w:r>
    </w:p>
    <w:p w14:paraId="0F90C678" w14:textId="77777777" w:rsidR="009103CC" w:rsidRPr="001814D2" w:rsidRDefault="009103CC" w:rsidP="009103CC">
      <w:pPr>
        <w:pStyle w:val="ARlistparagraph"/>
      </w:pPr>
      <w:r w:rsidRPr="001814D2">
        <w:t>ARUP Pty Ltd provided advice regarding fire engineering and acoustic design. Total cost: $125,903</w:t>
      </w:r>
    </w:p>
    <w:p w14:paraId="401AA310" w14:textId="77777777" w:rsidR="009103CC" w:rsidRPr="001814D2" w:rsidRDefault="009103CC" w:rsidP="009103CC">
      <w:pPr>
        <w:pStyle w:val="ARlistparagraph"/>
      </w:pPr>
      <w:r w:rsidRPr="001814D2">
        <w:t>Timenho Pty Ltd provided design and feasibility advice for the Gallery Shop. Total cost: $145,000</w:t>
      </w:r>
    </w:p>
    <w:p w14:paraId="58EE82DD" w14:textId="77777777" w:rsidR="009103CC" w:rsidRPr="001814D2" w:rsidRDefault="009103CC" w:rsidP="009103CC">
      <w:pPr>
        <w:pStyle w:val="ARlistparagraph"/>
      </w:pPr>
      <w:r w:rsidRPr="001814D2">
        <w:t>SANAA provided architectural advice for the Sydney Modern Project. Total cost: $407,832</w:t>
      </w:r>
    </w:p>
    <w:p w14:paraId="511F4142" w14:textId="77777777" w:rsidR="009103CC" w:rsidRPr="001814D2" w:rsidRDefault="009103CC" w:rsidP="009103CC">
      <w:pPr>
        <w:pStyle w:val="ARlistparagraph"/>
      </w:pPr>
      <w:r w:rsidRPr="001814D2">
        <w:t>Gustafson Guthrie Nichol Ltd provided landscaping and designing services to the Sydney Modern Project gardens. Total cost: $734,344</w:t>
      </w:r>
    </w:p>
    <w:p w14:paraId="37176D2D" w14:textId="77777777" w:rsidR="009103CC" w:rsidRPr="001814D2" w:rsidRDefault="009103CC" w:rsidP="009103CC">
      <w:pPr>
        <w:pStyle w:val="ARbody"/>
      </w:pPr>
      <w:r w:rsidRPr="001814D2">
        <w:t>The remaining 28 consultancies cost $437,931.</w:t>
      </w:r>
    </w:p>
    <w:p w14:paraId="18C415EA" w14:textId="77777777" w:rsidR="009103CC" w:rsidRPr="001814D2" w:rsidRDefault="009103CC" w:rsidP="009103CC">
      <w:pPr>
        <w:pStyle w:val="ARheading4"/>
      </w:pPr>
      <w:r w:rsidRPr="001814D2">
        <w:t>Heritage management</w:t>
      </w:r>
    </w:p>
    <w:p w14:paraId="35897F2F" w14:textId="77777777" w:rsidR="009103CC" w:rsidRPr="001814D2" w:rsidRDefault="009103CC" w:rsidP="009103CC">
      <w:pPr>
        <w:pStyle w:val="ARbody"/>
      </w:pPr>
      <w:r w:rsidRPr="001814D2">
        <w:t xml:space="preserve">The Art Gallery’s museum building located in The Domain parklands of Sydney’s CBD is listed on the state government’s heritage register. A conservation plan has been developed to assist in the management and maintenance of the building. The collection assets and works of art on loan to the Art Gallery are maintained to international museum standards. </w:t>
      </w:r>
    </w:p>
    <w:p w14:paraId="76E10B5B" w14:textId="77777777" w:rsidR="009103CC" w:rsidRPr="001814D2" w:rsidRDefault="009103CC" w:rsidP="009103CC">
      <w:pPr>
        <w:pStyle w:val="ARheading4"/>
      </w:pPr>
      <w:r w:rsidRPr="001814D2">
        <w:t>Land holdings and disposals</w:t>
      </w:r>
    </w:p>
    <w:p w14:paraId="327DA7BB" w14:textId="77777777" w:rsidR="009103CC" w:rsidRPr="001814D2" w:rsidRDefault="009103CC" w:rsidP="009103CC">
      <w:pPr>
        <w:pStyle w:val="ARbody"/>
      </w:pPr>
      <w:r w:rsidRPr="001814D2">
        <w:t xml:space="preserve">Land owned by the Art Gallery as at 30 June 2021 includes: Art Gallery of New South Wales site, Art Gallery Road, The Domain, Sydney NSW 2000; and Brett Whiteley Studio, 2 Raper Street, Surry Hills NSW 2010. The Art Gallery did not dispose of any land during the </w:t>
      </w:r>
      <w:r w:rsidRPr="001814D2">
        <w:lastRenderedPageBreak/>
        <w:t>reporting period.</w:t>
      </w:r>
    </w:p>
    <w:p w14:paraId="19988C93" w14:textId="77777777" w:rsidR="009103CC" w:rsidRPr="001814D2" w:rsidRDefault="009103CC" w:rsidP="009103CC">
      <w:pPr>
        <w:pStyle w:val="ARheading4"/>
      </w:pPr>
      <w:r w:rsidRPr="001814D2">
        <w:t>Legal change</w:t>
      </w:r>
    </w:p>
    <w:p w14:paraId="0C559C80" w14:textId="77777777" w:rsidR="009103CC" w:rsidRPr="001814D2" w:rsidRDefault="009103CC" w:rsidP="009103CC">
      <w:pPr>
        <w:pStyle w:val="ARbody"/>
      </w:pPr>
      <w:r w:rsidRPr="001814D2">
        <w:t xml:space="preserve">No changes were made to the </w:t>
      </w:r>
      <w:r w:rsidRPr="001814D2">
        <w:rPr>
          <w:i/>
          <w:iCs/>
        </w:rPr>
        <w:t xml:space="preserve">Art Gallery of New South Wales Act 1980 </w:t>
      </w:r>
      <w:r w:rsidRPr="001814D2">
        <w:t xml:space="preserve">during the reporting period and there were no significant judicial decisions affecting the Art Gallery. </w:t>
      </w:r>
    </w:p>
    <w:p w14:paraId="4B619DB6" w14:textId="77777777" w:rsidR="009103CC" w:rsidRPr="001814D2" w:rsidRDefault="009103CC" w:rsidP="009103CC">
      <w:pPr>
        <w:pStyle w:val="ARheading4"/>
      </w:pPr>
      <w:r w:rsidRPr="001814D2">
        <w:t>Major assets</w:t>
      </w:r>
    </w:p>
    <w:p w14:paraId="7AEC2655" w14:textId="77777777" w:rsidR="009103CC" w:rsidRPr="001814D2" w:rsidRDefault="009103CC" w:rsidP="009103CC">
      <w:pPr>
        <w:pStyle w:val="ARbody"/>
      </w:pPr>
      <w:r w:rsidRPr="001814D2">
        <w:t>The Art Gallery’s two major asset categories, as at 30 June 2021, are its artwork collection valued at $1.804 billion; and the perimeter land and building in The Domain, Sydney, the Brett Whiteley Studio at Surry Hills, and the Art Gallery’s storage facility, valued at a total $399.7 million.</w:t>
      </w:r>
    </w:p>
    <w:p w14:paraId="50877534" w14:textId="77777777" w:rsidR="009103CC" w:rsidRPr="001814D2" w:rsidRDefault="009103CC" w:rsidP="009103CC">
      <w:pPr>
        <w:pStyle w:val="ARheading4"/>
      </w:pPr>
      <w:r w:rsidRPr="001814D2">
        <w:t>Principal legislation</w:t>
      </w:r>
    </w:p>
    <w:p w14:paraId="77A81C23" w14:textId="77777777" w:rsidR="009103CC" w:rsidRPr="001814D2" w:rsidRDefault="009103CC" w:rsidP="009103CC">
      <w:pPr>
        <w:pStyle w:val="ARbody"/>
      </w:pPr>
      <w:r w:rsidRPr="001814D2">
        <w:t xml:space="preserve">The Art Gallery of New South Wales is a statutory body established under the </w:t>
      </w:r>
      <w:r w:rsidRPr="001814D2">
        <w:rPr>
          <w:i/>
          <w:iCs/>
        </w:rPr>
        <w:t>Art Gallery of New South Wales Act 1980</w:t>
      </w:r>
      <w:r w:rsidRPr="001814D2">
        <w:t xml:space="preserve"> and as at 30 June 2021 was an executive agency under the Department of Premier and Cabinet. </w:t>
      </w:r>
    </w:p>
    <w:p w14:paraId="074C592A" w14:textId="77777777" w:rsidR="009103CC" w:rsidRPr="001814D2" w:rsidRDefault="009103CC" w:rsidP="009103CC">
      <w:pPr>
        <w:pStyle w:val="ARbody"/>
      </w:pPr>
      <w:r w:rsidRPr="001814D2">
        <w:t xml:space="preserve">Our purpose, as defined by the </w:t>
      </w:r>
      <w:r w:rsidRPr="001814D2">
        <w:rPr>
          <w:i/>
          <w:iCs/>
        </w:rPr>
        <w:t>Art Gallery of New South Wales Act 1980</w:t>
      </w:r>
      <w:r w:rsidRPr="001814D2">
        <w:t>, is to develop and maintain a collection of works of art, and to increase knowledge and appreciation of art, which we do through a range of exhibitions, programs and activities.</w:t>
      </w:r>
    </w:p>
    <w:p w14:paraId="170549D9" w14:textId="77777777" w:rsidR="009103CC" w:rsidRPr="001814D2" w:rsidRDefault="009103CC" w:rsidP="009103CC">
      <w:pPr>
        <w:pStyle w:val="ARheading4"/>
      </w:pPr>
      <w:r w:rsidRPr="001814D2">
        <w:t>International travel</w:t>
      </w:r>
    </w:p>
    <w:p w14:paraId="40EEB60A" w14:textId="77777777" w:rsidR="009103CC" w:rsidRPr="001814D2" w:rsidRDefault="009103CC" w:rsidP="009103CC">
      <w:pPr>
        <w:pStyle w:val="ARbody"/>
      </w:pPr>
      <w:r w:rsidRPr="001814D2">
        <w:t>No Art Gallery of New South Wales employees undertook work-related international travel during 2020–21.</w:t>
      </w:r>
    </w:p>
    <w:p w14:paraId="20CA7DEB" w14:textId="77777777" w:rsidR="009103CC" w:rsidRPr="001814D2" w:rsidRDefault="009103CC" w:rsidP="009103CC">
      <w:pPr>
        <w:pStyle w:val="ARheading4"/>
      </w:pPr>
      <w:r w:rsidRPr="001814D2">
        <w:t>Privacy management</w:t>
      </w:r>
    </w:p>
    <w:p w14:paraId="134D6383" w14:textId="77777777" w:rsidR="009103CC" w:rsidRPr="001814D2" w:rsidRDefault="009103CC" w:rsidP="009103CC">
      <w:pPr>
        <w:pStyle w:val="ARbody"/>
      </w:pPr>
      <w:r w:rsidRPr="001814D2">
        <w:t xml:space="preserve">During 2020–21, there were no internal reviews conducted by or on behalf of the Art Gallery under Part 5 of the </w:t>
      </w:r>
      <w:r w:rsidRPr="001814D2">
        <w:rPr>
          <w:i/>
          <w:iCs/>
        </w:rPr>
        <w:t>Privacy and Personal Information Protection Act 1988</w:t>
      </w:r>
      <w:r w:rsidRPr="001814D2">
        <w:t xml:space="preserve"> (PPIP Act).</w:t>
      </w:r>
    </w:p>
    <w:p w14:paraId="1AEF427A" w14:textId="77777777" w:rsidR="009103CC" w:rsidRPr="001814D2" w:rsidRDefault="009103CC" w:rsidP="009103CC">
      <w:pPr>
        <w:pStyle w:val="ARbody"/>
      </w:pPr>
      <w:r w:rsidRPr="001814D2">
        <w:t>The Art Gallery’s designated privacy officer, in accordance with the provision of the PPIP Act, can be contacted at: Administration, Art Gallery of New South Wales, Art Gallery Road, The Domain, Sydney, NSW 2000. Telephone: 02 9225 1655; fax: 02 9225 1701; email: administration@ag.nsw.gov.au</w:t>
      </w:r>
    </w:p>
    <w:p w14:paraId="67D60A66" w14:textId="77777777" w:rsidR="009103CC" w:rsidRPr="001814D2" w:rsidRDefault="009103CC" w:rsidP="009103CC">
      <w:pPr>
        <w:pStyle w:val="ARheading4"/>
      </w:pPr>
      <w:r w:rsidRPr="001814D2">
        <w:t>Public Interest Disclosures</w:t>
      </w:r>
    </w:p>
    <w:p w14:paraId="1959E138" w14:textId="77777777" w:rsidR="009103CC" w:rsidRPr="001814D2" w:rsidRDefault="009103CC" w:rsidP="009103CC">
      <w:pPr>
        <w:pStyle w:val="ARbody"/>
      </w:pPr>
      <w:r w:rsidRPr="001814D2">
        <w:t>During 2020–21, no public officials made a Public Interest Disclosure to the Art Gallery, no Public Interest Disclosures were received, and no Public Interest Disclosures were finalised during the reporting period.</w:t>
      </w:r>
    </w:p>
    <w:p w14:paraId="2821E5FB" w14:textId="77777777" w:rsidR="009103CC" w:rsidRPr="001814D2" w:rsidRDefault="009103CC" w:rsidP="009103CC">
      <w:pPr>
        <w:pStyle w:val="ARheading4"/>
      </w:pPr>
      <w:r w:rsidRPr="001814D2">
        <w:lastRenderedPageBreak/>
        <w:t xml:space="preserve">Government Information (Public Access) Act 2009 </w:t>
      </w:r>
    </w:p>
    <w:p w14:paraId="37809059" w14:textId="77777777" w:rsidR="009103CC" w:rsidRDefault="009103CC" w:rsidP="009103CC">
      <w:pPr>
        <w:pStyle w:val="ARbody"/>
      </w:pPr>
      <w:r w:rsidRPr="001814D2">
        <w:t xml:space="preserve">The Art Gallery has reviewed information available to the public under Section 7(3) of the </w:t>
      </w:r>
      <w:r w:rsidRPr="001814D2">
        <w:rPr>
          <w:i/>
          <w:iCs/>
        </w:rPr>
        <w:t>Government Information (Public Access) Act 2009</w:t>
      </w:r>
      <w:r w:rsidRPr="001814D2">
        <w:t xml:space="preserve"> (the Act). No new information has been identified as appropriate for public access.</w:t>
      </w:r>
    </w:p>
    <w:p w14:paraId="5A2E68B8" w14:textId="77777777" w:rsidR="009103CC" w:rsidRPr="001814D2" w:rsidRDefault="009103CC" w:rsidP="009103CC">
      <w:pPr>
        <w:pStyle w:val="ARbody"/>
      </w:pPr>
      <w:r w:rsidRPr="001814D2">
        <w:t>The Art Gallery received three access applications for information that was held by the Art Gallery. One applicant was advised that the information was already available and provided with advice about how to access the information; one was provided with part access to information; and the other applicant was denied access to information, because the application concerned personal information.</w:t>
      </w:r>
    </w:p>
    <w:p w14:paraId="41743223" w14:textId="77777777" w:rsidR="009103CC" w:rsidRPr="00F61169" w:rsidRDefault="009103CC" w:rsidP="009103CC">
      <w:pPr>
        <w:pStyle w:val="ARheading5"/>
      </w:pPr>
      <w:r w:rsidRPr="00F61169">
        <w:t>Table A: Number of applications by type of applicant and outcome*</w:t>
      </w:r>
    </w:p>
    <w:tbl>
      <w:tblPr>
        <w:tblStyle w:val="TableGrid"/>
        <w:tblW w:w="0" w:type="auto"/>
        <w:tblLook w:val="0620" w:firstRow="1" w:lastRow="0" w:firstColumn="0" w:lastColumn="0" w:noHBand="1" w:noVBand="1"/>
        <w:tblCaption w:val="Table A: Number of applications by type of applicant and outcome"/>
        <w:tblDescription w:val="This table indicates the number of applications for accessing government information from six types of applicant across eight types of outcome, from access granted in full to application withdrawn"/>
      </w:tblPr>
      <w:tblGrid>
        <w:gridCol w:w="1238"/>
        <w:gridCol w:w="781"/>
        <w:gridCol w:w="782"/>
        <w:gridCol w:w="849"/>
        <w:gridCol w:w="1058"/>
        <w:gridCol w:w="1062"/>
        <w:gridCol w:w="1062"/>
        <w:gridCol w:w="1178"/>
        <w:gridCol w:w="1050"/>
      </w:tblGrid>
      <w:tr w:rsidR="009103CC" w:rsidRPr="001814D2" w14:paraId="20FACB5F" w14:textId="77777777" w:rsidTr="002718DF">
        <w:trPr>
          <w:tblHeader/>
        </w:trPr>
        <w:tc>
          <w:tcPr>
            <w:tcW w:w="1238" w:type="dxa"/>
          </w:tcPr>
          <w:p w14:paraId="21B433A5" w14:textId="77777777" w:rsidR="009103CC" w:rsidRPr="001B0C42" w:rsidRDefault="009103CC" w:rsidP="002718DF">
            <w:pPr>
              <w:pStyle w:val="Tabletext"/>
              <w:rPr>
                <w:rStyle w:val="Bold"/>
                <w:rFonts w:cs="Arial"/>
                <w:sz w:val="15"/>
              </w:rPr>
            </w:pPr>
            <w:r w:rsidRPr="001B0C42">
              <w:rPr>
                <w:rStyle w:val="Bold"/>
                <w:rFonts w:cs="Arial"/>
                <w:sz w:val="15"/>
              </w:rPr>
              <w:t>Type of applicant</w:t>
            </w:r>
          </w:p>
        </w:tc>
        <w:tc>
          <w:tcPr>
            <w:tcW w:w="781" w:type="dxa"/>
          </w:tcPr>
          <w:p w14:paraId="192E0CFF" w14:textId="77777777" w:rsidR="009103CC" w:rsidRPr="001B0C42" w:rsidRDefault="009103CC" w:rsidP="002718DF">
            <w:pPr>
              <w:pStyle w:val="Tabletext"/>
              <w:rPr>
                <w:rStyle w:val="Bold"/>
                <w:rFonts w:cs="Arial"/>
                <w:sz w:val="15"/>
              </w:rPr>
            </w:pPr>
            <w:r w:rsidRPr="001B0C42">
              <w:rPr>
                <w:rStyle w:val="Bold"/>
                <w:rFonts w:cs="Arial"/>
                <w:sz w:val="15"/>
              </w:rPr>
              <w:t>Access granted in full</w:t>
            </w:r>
          </w:p>
        </w:tc>
        <w:tc>
          <w:tcPr>
            <w:tcW w:w="782" w:type="dxa"/>
          </w:tcPr>
          <w:p w14:paraId="16B55420" w14:textId="77777777" w:rsidR="009103CC" w:rsidRPr="001B0C42" w:rsidRDefault="009103CC" w:rsidP="002718DF">
            <w:pPr>
              <w:pStyle w:val="Tabletext"/>
              <w:rPr>
                <w:rStyle w:val="Bold"/>
                <w:rFonts w:cs="Arial"/>
                <w:sz w:val="15"/>
              </w:rPr>
            </w:pPr>
            <w:r w:rsidRPr="001B0C42">
              <w:rPr>
                <w:rStyle w:val="Bold"/>
                <w:rFonts w:cs="Arial"/>
                <w:sz w:val="15"/>
              </w:rPr>
              <w:t>Access granted in part</w:t>
            </w:r>
          </w:p>
        </w:tc>
        <w:tc>
          <w:tcPr>
            <w:tcW w:w="849" w:type="dxa"/>
          </w:tcPr>
          <w:p w14:paraId="45692006" w14:textId="77777777" w:rsidR="009103CC" w:rsidRPr="001B0C42" w:rsidRDefault="009103CC" w:rsidP="002718DF">
            <w:pPr>
              <w:pStyle w:val="Tabletext"/>
              <w:rPr>
                <w:rStyle w:val="Bold"/>
                <w:rFonts w:cs="Arial"/>
                <w:sz w:val="15"/>
              </w:rPr>
            </w:pPr>
            <w:r w:rsidRPr="001B0C42">
              <w:rPr>
                <w:rStyle w:val="Bold"/>
                <w:rFonts w:cs="Arial"/>
                <w:sz w:val="15"/>
              </w:rPr>
              <w:t>Access refused in full</w:t>
            </w:r>
          </w:p>
        </w:tc>
        <w:tc>
          <w:tcPr>
            <w:tcW w:w="1058" w:type="dxa"/>
          </w:tcPr>
          <w:p w14:paraId="6CFE5C32" w14:textId="77777777" w:rsidR="009103CC" w:rsidRPr="001B0C42" w:rsidRDefault="009103CC" w:rsidP="002718DF">
            <w:pPr>
              <w:pStyle w:val="Tabletext"/>
              <w:rPr>
                <w:rStyle w:val="Bold"/>
                <w:rFonts w:cs="Arial"/>
                <w:sz w:val="15"/>
              </w:rPr>
            </w:pPr>
            <w:r w:rsidRPr="001B0C42">
              <w:rPr>
                <w:rStyle w:val="Bold"/>
                <w:rFonts w:cs="Arial"/>
                <w:sz w:val="15"/>
              </w:rPr>
              <w:t>Information not held</w:t>
            </w:r>
          </w:p>
        </w:tc>
        <w:tc>
          <w:tcPr>
            <w:tcW w:w="1062" w:type="dxa"/>
          </w:tcPr>
          <w:p w14:paraId="7523D815" w14:textId="77777777" w:rsidR="009103CC" w:rsidRPr="001B0C42" w:rsidRDefault="009103CC" w:rsidP="002718DF">
            <w:pPr>
              <w:pStyle w:val="Tabletext"/>
              <w:rPr>
                <w:rStyle w:val="Bold"/>
                <w:rFonts w:cs="Arial"/>
                <w:sz w:val="15"/>
              </w:rPr>
            </w:pPr>
            <w:r w:rsidRPr="001B0C42">
              <w:rPr>
                <w:rStyle w:val="Bold"/>
                <w:rFonts w:cs="Arial"/>
                <w:sz w:val="15"/>
              </w:rPr>
              <w:t>Information already available</w:t>
            </w:r>
          </w:p>
        </w:tc>
        <w:tc>
          <w:tcPr>
            <w:tcW w:w="1062" w:type="dxa"/>
          </w:tcPr>
          <w:p w14:paraId="7B258973" w14:textId="77777777" w:rsidR="009103CC" w:rsidRPr="001B0C42" w:rsidRDefault="009103CC" w:rsidP="002718DF">
            <w:pPr>
              <w:pStyle w:val="Tabletext"/>
              <w:rPr>
                <w:rStyle w:val="Bold"/>
                <w:rFonts w:cs="Arial"/>
                <w:sz w:val="15"/>
              </w:rPr>
            </w:pPr>
            <w:r w:rsidRPr="001B0C42">
              <w:rPr>
                <w:rStyle w:val="Bold"/>
                <w:rFonts w:cs="Arial"/>
                <w:sz w:val="15"/>
              </w:rPr>
              <w:t>Refuse to deal with information</w:t>
            </w:r>
          </w:p>
        </w:tc>
        <w:tc>
          <w:tcPr>
            <w:tcW w:w="1178" w:type="dxa"/>
          </w:tcPr>
          <w:p w14:paraId="6A16E94D" w14:textId="77777777" w:rsidR="009103CC" w:rsidRPr="001B0C42" w:rsidRDefault="009103CC" w:rsidP="002718DF">
            <w:pPr>
              <w:pStyle w:val="Tabletext"/>
              <w:rPr>
                <w:rStyle w:val="Bold"/>
                <w:rFonts w:cs="Arial"/>
                <w:sz w:val="15"/>
              </w:rPr>
            </w:pPr>
            <w:r w:rsidRPr="001B0C42">
              <w:rPr>
                <w:rStyle w:val="Bold"/>
                <w:rFonts w:cs="Arial"/>
                <w:sz w:val="15"/>
              </w:rPr>
              <w:t>Refuse to confirm/deny whether information is held</w:t>
            </w:r>
          </w:p>
        </w:tc>
        <w:tc>
          <w:tcPr>
            <w:tcW w:w="1050" w:type="dxa"/>
          </w:tcPr>
          <w:p w14:paraId="0C0117CD" w14:textId="77777777" w:rsidR="009103CC" w:rsidRPr="001B0C42" w:rsidRDefault="009103CC" w:rsidP="002718DF">
            <w:pPr>
              <w:pStyle w:val="Tabletext"/>
              <w:rPr>
                <w:rStyle w:val="Bold"/>
                <w:rFonts w:cs="Arial"/>
                <w:sz w:val="15"/>
              </w:rPr>
            </w:pPr>
            <w:r w:rsidRPr="001B0C42">
              <w:rPr>
                <w:rStyle w:val="Bold"/>
                <w:rFonts w:cs="Arial"/>
                <w:sz w:val="15"/>
              </w:rPr>
              <w:t>Application withdrawn</w:t>
            </w:r>
          </w:p>
        </w:tc>
      </w:tr>
      <w:tr w:rsidR="009103CC" w:rsidRPr="001814D2" w14:paraId="4789D12C" w14:textId="77777777" w:rsidTr="002718DF">
        <w:tc>
          <w:tcPr>
            <w:tcW w:w="1238" w:type="dxa"/>
          </w:tcPr>
          <w:p w14:paraId="5058C251" w14:textId="77777777" w:rsidR="009103CC" w:rsidRPr="001B0C42" w:rsidRDefault="009103CC" w:rsidP="002718DF">
            <w:pPr>
              <w:pStyle w:val="Tabletext"/>
              <w:rPr>
                <w:rStyle w:val="Bold"/>
                <w:rFonts w:cs="Arial"/>
                <w:sz w:val="15"/>
              </w:rPr>
            </w:pPr>
            <w:r w:rsidRPr="001B0C42">
              <w:rPr>
                <w:rFonts w:cs="Arial"/>
                <w:sz w:val="15"/>
              </w:rPr>
              <w:t>Media</w:t>
            </w:r>
          </w:p>
        </w:tc>
        <w:tc>
          <w:tcPr>
            <w:tcW w:w="781" w:type="dxa"/>
          </w:tcPr>
          <w:p w14:paraId="78239036"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782" w:type="dxa"/>
          </w:tcPr>
          <w:p w14:paraId="07607250"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849" w:type="dxa"/>
          </w:tcPr>
          <w:p w14:paraId="1A0E22EF"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58" w:type="dxa"/>
          </w:tcPr>
          <w:p w14:paraId="2B5EE352"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62" w:type="dxa"/>
          </w:tcPr>
          <w:p w14:paraId="724398FA" w14:textId="77777777" w:rsidR="009103CC" w:rsidRPr="001B0C42" w:rsidRDefault="009103CC" w:rsidP="002718DF">
            <w:pPr>
              <w:pStyle w:val="Tabletext"/>
              <w:rPr>
                <w:rStyle w:val="Bold"/>
                <w:rFonts w:cs="Arial"/>
                <w:sz w:val="15"/>
              </w:rPr>
            </w:pPr>
            <w:r w:rsidRPr="001B0C42">
              <w:rPr>
                <w:rStyle w:val="Bold"/>
                <w:rFonts w:cs="Arial"/>
                <w:sz w:val="15"/>
              </w:rPr>
              <w:t>1</w:t>
            </w:r>
          </w:p>
        </w:tc>
        <w:tc>
          <w:tcPr>
            <w:tcW w:w="1062" w:type="dxa"/>
          </w:tcPr>
          <w:p w14:paraId="2650A702"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178" w:type="dxa"/>
          </w:tcPr>
          <w:p w14:paraId="7F23B8B0"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50" w:type="dxa"/>
          </w:tcPr>
          <w:p w14:paraId="18712449" w14:textId="77777777" w:rsidR="009103CC" w:rsidRPr="001B0C42" w:rsidRDefault="009103CC" w:rsidP="002718DF">
            <w:pPr>
              <w:pStyle w:val="Tabletext"/>
              <w:rPr>
                <w:rStyle w:val="Bold"/>
                <w:rFonts w:cs="Arial"/>
                <w:sz w:val="15"/>
              </w:rPr>
            </w:pPr>
            <w:r w:rsidRPr="001B0C42">
              <w:rPr>
                <w:rStyle w:val="Bold"/>
                <w:rFonts w:cs="Arial"/>
                <w:sz w:val="15"/>
              </w:rPr>
              <w:t>0</w:t>
            </w:r>
          </w:p>
        </w:tc>
      </w:tr>
      <w:tr w:rsidR="009103CC" w:rsidRPr="001814D2" w14:paraId="6993A1A3" w14:textId="77777777" w:rsidTr="002718DF">
        <w:tc>
          <w:tcPr>
            <w:tcW w:w="1238" w:type="dxa"/>
          </w:tcPr>
          <w:p w14:paraId="0D2A57DC" w14:textId="77777777" w:rsidR="009103CC" w:rsidRPr="001B0C42" w:rsidRDefault="009103CC" w:rsidP="002718DF">
            <w:pPr>
              <w:pStyle w:val="Tabletext"/>
              <w:rPr>
                <w:rStyle w:val="Bold"/>
                <w:rFonts w:cs="Arial"/>
                <w:sz w:val="15"/>
              </w:rPr>
            </w:pPr>
            <w:r w:rsidRPr="001B0C42">
              <w:rPr>
                <w:rFonts w:cs="Arial"/>
                <w:sz w:val="15"/>
              </w:rPr>
              <w:t>Members of Parliament</w:t>
            </w:r>
          </w:p>
        </w:tc>
        <w:tc>
          <w:tcPr>
            <w:tcW w:w="781" w:type="dxa"/>
          </w:tcPr>
          <w:p w14:paraId="2C79425A"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782" w:type="dxa"/>
          </w:tcPr>
          <w:p w14:paraId="42F34FB6" w14:textId="77777777" w:rsidR="009103CC" w:rsidRPr="001B0C42" w:rsidRDefault="009103CC" w:rsidP="002718DF">
            <w:pPr>
              <w:pStyle w:val="Tabletext"/>
              <w:rPr>
                <w:rStyle w:val="Bold"/>
                <w:rFonts w:cs="Arial"/>
                <w:sz w:val="15"/>
              </w:rPr>
            </w:pPr>
            <w:r w:rsidRPr="001B0C42">
              <w:rPr>
                <w:rStyle w:val="Bold"/>
                <w:rFonts w:cs="Arial"/>
                <w:sz w:val="15"/>
              </w:rPr>
              <w:t>1</w:t>
            </w:r>
          </w:p>
        </w:tc>
        <w:tc>
          <w:tcPr>
            <w:tcW w:w="849" w:type="dxa"/>
          </w:tcPr>
          <w:p w14:paraId="0B45CADE"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58" w:type="dxa"/>
          </w:tcPr>
          <w:p w14:paraId="0F8460A5"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62" w:type="dxa"/>
          </w:tcPr>
          <w:p w14:paraId="647C640B"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62" w:type="dxa"/>
          </w:tcPr>
          <w:p w14:paraId="1316EC7D"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178" w:type="dxa"/>
          </w:tcPr>
          <w:p w14:paraId="717B3FDD"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50" w:type="dxa"/>
          </w:tcPr>
          <w:p w14:paraId="204DF3ED" w14:textId="77777777" w:rsidR="009103CC" w:rsidRPr="001B0C42" w:rsidRDefault="009103CC" w:rsidP="002718DF">
            <w:pPr>
              <w:pStyle w:val="Tabletext"/>
              <w:rPr>
                <w:rStyle w:val="Bold"/>
                <w:rFonts w:cs="Arial"/>
                <w:sz w:val="15"/>
              </w:rPr>
            </w:pPr>
            <w:r w:rsidRPr="001B0C42">
              <w:rPr>
                <w:rStyle w:val="Bold"/>
                <w:rFonts w:cs="Arial"/>
                <w:sz w:val="15"/>
              </w:rPr>
              <w:t>0</w:t>
            </w:r>
          </w:p>
        </w:tc>
      </w:tr>
      <w:tr w:rsidR="009103CC" w:rsidRPr="001814D2" w14:paraId="116E7502" w14:textId="77777777" w:rsidTr="002718DF">
        <w:tc>
          <w:tcPr>
            <w:tcW w:w="1238" w:type="dxa"/>
          </w:tcPr>
          <w:p w14:paraId="5FACE28C" w14:textId="77777777" w:rsidR="009103CC" w:rsidRPr="001B0C42" w:rsidRDefault="009103CC" w:rsidP="002718DF">
            <w:pPr>
              <w:pStyle w:val="Tabletext"/>
              <w:rPr>
                <w:rStyle w:val="Bold"/>
                <w:rFonts w:cs="Arial"/>
                <w:sz w:val="15"/>
              </w:rPr>
            </w:pPr>
            <w:r w:rsidRPr="001B0C42">
              <w:rPr>
                <w:rFonts w:cs="Arial"/>
                <w:sz w:val="15"/>
              </w:rPr>
              <w:t>Private-sector business</w:t>
            </w:r>
          </w:p>
        </w:tc>
        <w:tc>
          <w:tcPr>
            <w:tcW w:w="781" w:type="dxa"/>
          </w:tcPr>
          <w:p w14:paraId="067C0A20"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782" w:type="dxa"/>
          </w:tcPr>
          <w:p w14:paraId="5F9D2B5D"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849" w:type="dxa"/>
          </w:tcPr>
          <w:p w14:paraId="2B958267"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58" w:type="dxa"/>
          </w:tcPr>
          <w:p w14:paraId="21B86750"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62" w:type="dxa"/>
          </w:tcPr>
          <w:p w14:paraId="3A601CE3"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62" w:type="dxa"/>
          </w:tcPr>
          <w:p w14:paraId="14410C7B"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178" w:type="dxa"/>
          </w:tcPr>
          <w:p w14:paraId="1E888042"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50" w:type="dxa"/>
          </w:tcPr>
          <w:p w14:paraId="75AD38F1" w14:textId="77777777" w:rsidR="009103CC" w:rsidRPr="001B0C42" w:rsidRDefault="009103CC" w:rsidP="002718DF">
            <w:pPr>
              <w:pStyle w:val="Tabletext"/>
              <w:rPr>
                <w:rStyle w:val="Bold"/>
                <w:rFonts w:cs="Arial"/>
                <w:sz w:val="15"/>
              </w:rPr>
            </w:pPr>
            <w:r w:rsidRPr="001B0C42">
              <w:rPr>
                <w:rStyle w:val="Bold"/>
                <w:rFonts w:cs="Arial"/>
                <w:sz w:val="15"/>
              </w:rPr>
              <w:t>0</w:t>
            </w:r>
          </w:p>
        </w:tc>
      </w:tr>
      <w:tr w:rsidR="009103CC" w:rsidRPr="001814D2" w14:paraId="5A2A1C69" w14:textId="77777777" w:rsidTr="002718DF">
        <w:tc>
          <w:tcPr>
            <w:tcW w:w="1238" w:type="dxa"/>
          </w:tcPr>
          <w:p w14:paraId="558B8027" w14:textId="77777777" w:rsidR="009103CC" w:rsidRPr="001B0C42" w:rsidRDefault="009103CC" w:rsidP="002718DF">
            <w:pPr>
              <w:pStyle w:val="Tabletext"/>
              <w:rPr>
                <w:rStyle w:val="Bold"/>
                <w:rFonts w:cs="Arial"/>
                <w:sz w:val="15"/>
              </w:rPr>
            </w:pPr>
            <w:r w:rsidRPr="001B0C42">
              <w:rPr>
                <w:rFonts w:cs="Arial"/>
                <w:sz w:val="15"/>
              </w:rPr>
              <w:t xml:space="preserve">Not-for-profit organisations </w:t>
            </w:r>
            <w:r w:rsidRPr="001B0C42">
              <w:rPr>
                <w:rFonts w:cs="Arial"/>
                <w:sz w:val="15"/>
              </w:rPr>
              <w:br/>
              <w:t>or community groups</w:t>
            </w:r>
          </w:p>
        </w:tc>
        <w:tc>
          <w:tcPr>
            <w:tcW w:w="781" w:type="dxa"/>
          </w:tcPr>
          <w:p w14:paraId="63C03B5F"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782" w:type="dxa"/>
          </w:tcPr>
          <w:p w14:paraId="60B2983B"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849" w:type="dxa"/>
          </w:tcPr>
          <w:p w14:paraId="3E86FEC7"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58" w:type="dxa"/>
          </w:tcPr>
          <w:p w14:paraId="5BE8EEFC"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62" w:type="dxa"/>
          </w:tcPr>
          <w:p w14:paraId="12251975"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62" w:type="dxa"/>
          </w:tcPr>
          <w:p w14:paraId="344E642A"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178" w:type="dxa"/>
          </w:tcPr>
          <w:p w14:paraId="3E655DC0"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50" w:type="dxa"/>
          </w:tcPr>
          <w:p w14:paraId="51CA54F5" w14:textId="77777777" w:rsidR="009103CC" w:rsidRPr="001B0C42" w:rsidRDefault="009103CC" w:rsidP="002718DF">
            <w:pPr>
              <w:pStyle w:val="Tabletext"/>
              <w:rPr>
                <w:rStyle w:val="Bold"/>
                <w:rFonts w:cs="Arial"/>
                <w:sz w:val="15"/>
              </w:rPr>
            </w:pPr>
            <w:r w:rsidRPr="001B0C42">
              <w:rPr>
                <w:rStyle w:val="Bold"/>
                <w:rFonts w:cs="Arial"/>
                <w:sz w:val="15"/>
              </w:rPr>
              <w:t>0</w:t>
            </w:r>
          </w:p>
        </w:tc>
      </w:tr>
      <w:tr w:rsidR="009103CC" w:rsidRPr="001814D2" w14:paraId="0445BD36" w14:textId="77777777" w:rsidTr="002718DF">
        <w:tc>
          <w:tcPr>
            <w:tcW w:w="1238" w:type="dxa"/>
          </w:tcPr>
          <w:p w14:paraId="1C90C715" w14:textId="77777777" w:rsidR="009103CC" w:rsidRPr="001B0C42" w:rsidRDefault="009103CC" w:rsidP="002718DF">
            <w:pPr>
              <w:pStyle w:val="Tabletext"/>
              <w:rPr>
                <w:rStyle w:val="Bold"/>
                <w:rFonts w:cs="Arial"/>
                <w:sz w:val="15"/>
              </w:rPr>
            </w:pPr>
            <w:r w:rsidRPr="001B0C42">
              <w:rPr>
                <w:rFonts w:cs="Arial"/>
                <w:sz w:val="15"/>
              </w:rPr>
              <w:t xml:space="preserve">Members of the public </w:t>
            </w:r>
            <w:r w:rsidRPr="001B0C42">
              <w:rPr>
                <w:rFonts w:cs="Arial"/>
                <w:sz w:val="15"/>
              </w:rPr>
              <w:br/>
              <w:t>(application by legal representative)</w:t>
            </w:r>
          </w:p>
        </w:tc>
        <w:tc>
          <w:tcPr>
            <w:tcW w:w="781" w:type="dxa"/>
          </w:tcPr>
          <w:p w14:paraId="7932296C"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782" w:type="dxa"/>
          </w:tcPr>
          <w:p w14:paraId="146C084D"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849" w:type="dxa"/>
          </w:tcPr>
          <w:p w14:paraId="0F873363"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58" w:type="dxa"/>
          </w:tcPr>
          <w:p w14:paraId="50CB2665"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62" w:type="dxa"/>
          </w:tcPr>
          <w:p w14:paraId="1C8CCAD5"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62" w:type="dxa"/>
          </w:tcPr>
          <w:p w14:paraId="604E148F"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178" w:type="dxa"/>
          </w:tcPr>
          <w:p w14:paraId="2E77A138"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50" w:type="dxa"/>
          </w:tcPr>
          <w:p w14:paraId="3E70B111" w14:textId="77777777" w:rsidR="009103CC" w:rsidRPr="001B0C42" w:rsidRDefault="009103CC" w:rsidP="002718DF">
            <w:pPr>
              <w:pStyle w:val="Tabletext"/>
              <w:rPr>
                <w:rStyle w:val="Bold"/>
                <w:rFonts w:cs="Arial"/>
                <w:sz w:val="15"/>
              </w:rPr>
            </w:pPr>
            <w:r w:rsidRPr="001B0C42">
              <w:rPr>
                <w:rStyle w:val="Bold"/>
                <w:rFonts w:cs="Arial"/>
                <w:sz w:val="15"/>
              </w:rPr>
              <w:t>0</w:t>
            </w:r>
          </w:p>
        </w:tc>
      </w:tr>
      <w:tr w:rsidR="009103CC" w:rsidRPr="001814D2" w14:paraId="6051133F" w14:textId="77777777" w:rsidTr="002718DF">
        <w:tc>
          <w:tcPr>
            <w:tcW w:w="1238" w:type="dxa"/>
          </w:tcPr>
          <w:p w14:paraId="0278608A" w14:textId="77777777" w:rsidR="009103CC" w:rsidRPr="001B0C42" w:rsidRDefault="009103CC" w:rsidP="002718DF">
            <w:pPr>
              <w:pStyle w:val="Tabletext"/>
              <w:rPr>
                <w:rStyle w:val="Bold"/>
                <w:rFonts w:cs="Arial"/>
                <w:sz w:val="15"/>
              </w:rPr>
            </w:pPr>
            <w:r w:rsidRPr="001B0C42">
              <w:rPr>
                <w:rFonts w:cs="Arial"/>
                <w:sz w:val="15"/>
              </w:rPr>
              <w:t>Members of the public (other)</w:t>
            </w:r>
          </w:p>
        </w:tc>
        <w:tc>
          <w:tcPr>
            <w:tcW w:w="781" w:type="dxa"/>
          </w:tcPr>
          <w:p w14:paraId="5F1C5025"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782" w:type="dxa"/>
          </w:tcPr>
          <w:p w14:paraId="5C3B7641"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849" w:type="dxa"/>
          </w:tcPr>
          <w:p w14:paraId="70349226" w14:textId="77777777" w:rsidR="009103CC" w:rsidRPr="001B0C42" w:rsidRDefault="009103CC" w:rsidP="002718DF">
            <w:pPr>
              <w:pStyle w:val="Tabletext"/>
              <w:rPr>
                <w:rStyle w:val="Bold"/>
                <w:rFonts w:cs="Arial"/>
                <w:sz w:val="15"/>
              </w:rPr>
            </w:pPr>
            <w:r w:rsidRPr="001B0C42">
              <w:rPr>
                <w:rStyle w:val="Bold"/>
                <w:rFonts w:cs="Arial"/>
                <w:sz w:val="15"/>
              </w:rPr>
              <w:t>1</w:t>
            </w:r>
          </w:p>
        </w:tc>
        <w:tc>
          <w:tcPr>
            <w:tcW w:w="1058" w:type="dxa"/>
          </w:tcPr>
          <w:p w14:paraId="2BD7A348"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62" w:type="dxa"/>
          </w:tcPr>
          <w:p w14:paraId="0A9FD528"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62" w:type="dxa"/>
          </w:tcPr>
          <w:p w14:paraId="30C10466"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178" w:type="dxa"/>
          </w:tcPr>
          <w:p w14:paraId="77D27E9D" w14:textId="77777777" w:rsidR="009103CC" w:rsidRPr="001B0C42" w:rsidRDefault="009103CC" w:rsidP="002718DF">
            <w:pPr>
              <w:pStyle w:val="Tabletext"/>
              <w:rPr>
                <w:rStyle w:val="Bold"/>
                <w:rFonts w:cs="Arial"/>
                <w:sz w:val="15"/>
              </w:rPr>
            </w:pPr>
            <w:r w:rsidRPr="001B0C42">
              <w:rPr>
                <w:rStyle w:val="Bold"/>
                <w:rFonts w:cs="Arial"/>
                <w:sz w:val="15"/>
              </w:rPr>
              <w:t>0</w:t>
            </w:r>
          </w:p>
        </w:tc>
        <w:tc>
          <w:tcPr>
            <w:tcW w:w="1050" w:type="dxa"/>
          </w:tcPr>
          <w:p w14:paraId="61504AC3" w14:textId="77777777" w:rsidR="009103CC" w:rsidRPr="001B0C42" w:rsidRDefault="009103CC" w:rsidP="002718DF">
            <w:pPr>
              <w:pStyle w:val="Tabletext"/>
              <w:rPr>
                <w:rStyle w:val="Bold"/>
                <w:rFonts w:cs="Arial"/>
                <w:sz w:val="15"/>
              </w:rPr>
            </w:pPr>
            <w:r w:rsidRPr="001B0C42">
              <w:rPr>
                <w:rStyle w:val="Bold"/>
                <w:rFonts w:cs="Arial"/>
                <w:sz w:val="15"/>
              </w:rPr>
              <w:t>0</w:t>
            </w:r>
          </w:p>
        </w:tc>
      </w:tr>
    </w:tbl>
    <w:p w14:paraId="215C541F" w14:textId="77777777" w:rsidR="009103CC" w:rsidRDefault="009103CC" w:rsidP="009103CC">
      <w:pPr>
        <w:pStyle w:val="Tabletext"/>
        <w:rPr>
          <w:rFonts w:cs="Arial"/>
        </w:rPr>
      </w:pPr>
      <w:r w:rsidRPr="00201967">
        <w:rPr>
          <w:rFonts w:cs="Arial"/>
        </w:rPr>
        <w:t>*A ‘personal information application’ is an access application for personal information (as defined in clause 4 of Schedule 4 to the Act) about the applicant (the applicant being an individual).</w:t>
      </w:r>
    </w:p>
    <w:p w14:paraId="6E13E2E1" w14:textId="77777777" w:rsidR="009103CC" w:rsidRPr="001814D2" w:rsidRDefault="009103CC" w:rsidP="009103CC">
      <w:pPr>
        <w:pStyle w:val="Tabletext"/>
        <w:rPr>
          <w:rFonts w:cs="Arial"/>
        </w:rPr>
      </w:pPr>
    </w:p>
    <w:p w14:paraId="0BF3C5BB" w14:textId="77777777" w:rsidR="009103CC" w:rsidRPr="00F61169" w:rsidRDefault="009103CC" w:rsidP="009103CC">
      <w:pPr>
        <w:pStyle w:val="ARheading5"/>
      </w:pPr>
      <w:r w:rsidRPr="00F61169">
        <w:t>Table B: Number of applications by type of application and outcome*</w:t>
      </w:r>
    </w:p>
    <w:tbl>
      <w:tblPr>
        <w:tblStyle w:val="TableGrid"/>
        <w:tblW w:w="0" w:type="auto"/>
        <w:tblLook w:val="0620" w:firstRow="1" w:lastRow="0" w:firstColumn="0" w:lastColumn="0" w:noHBand="1" w:noVBand="1"/>
        <w:tblCaption w:val="Table B: Number of applications by type of application and outcome"/>
        <w:tblDescription w:val="This table indicates the number of applications for accessing government information from three types of applicantions across eight types of outcome, from access granted in full to application withdrawn"/>
      </w:tblPr>
      <w:tblGrid>
        <w:gridCol w:w="1195"/>
        <w:gridCol w:w="784"/>
        <w:gridCol w:w="785"/>
        <w:gridCol w:w="867"/>
        <w:gridCol w:w="1062"/>
        <w:gridCol w:w="1066"/>
        <w:gridCol w:w="1066"/>
        <w:gridCol w:w="1181"/>
        <w:gridCol w:w="1054"/>
      </w:tblGrid>
      <w:tr w:rsidR="009103CC" w:rsidRPr="001814D2" w14:paraId="2C527DAF" w14:textId="77777777" w:rsidTr="002718DF">
        <w:trPr>
          <w:tblHeader/>
        </w:trPr>
        <w:tc>
          <w:tcPr>
            <w:tcW w:w="1253" w:type="dxa"/>
          </w:tcPr>
          <w:p w14:paraId="21F5514E" w14:textId="77777777" w:rsidR="009103CC" w:rsidRPr="001814D2" w:rsidRDefault="009103CC" w:rsidP="002718DF">
            <w:pPr>
              <w:pStyle w:val="Tabletext"/>
              <w:rPr>
                <w:rStyle w:val="Bold"/>
                <w:rFonts w:cs="Arial"/>
                <w:sz w:val="15"/>
              </w:rPr>
            </w:pPr>
            <w:r w:rsidRPr="001814D2">
              <w:rPr>
                <w:rStyle w:val="Bold"/>
                <w:rFonts w:cs="Arial"/>
                <w:sz w:val="15"/>
              </w:rPr>
              <w:t>Type of applicant</w:t>
            </w:r>
          </w:p>
        </w:tc>
        <w:tc>
          <w:tcPr>
            <w:tcW w:w="792" w:type="dxa"/>
          </w:tcPr>
          <w:p w14:paraId="5B3CE3EB" w14:textId="77777777" w:rsidR="009103CC" w:rsidRPr="001814D2" w:rsidRDefault="009103CC" w:rsidP="002718DF">
            <w:pPr>
              <w:pStyle w:val="Tabletext"/>
              <w:rPr>
                <w:rStyle w:val="Bold"/>
                <w:rFonts w:cs="Arial"/>
                <w:sz w:val="15"/>
              </w:rPr>
            </w:pPr>
            <w:r w:rsidRPr="001814D2">
              <w:rPr>
                <w:rStyle w:val="Bold"/>
                <w:rFonts w:cs="Arial"/>
                <w:sz w:val="15"/>
              </w:rPr>
              <w:t>Access granted in full</w:t>
            </w:r>
          </w:p>
        </w:tc>
        <w:tc>
          <w:tcPr>
            <w:tcW w:w="793" w:type="dxa"/>
          </w:tcPr>
          <w:p w14:paraId="4A008C42" w14:textId="77777777" w:rsidR="009103CC" w:rsidRPr="001814D2" w:rsidRDefault="009103CC" w:rsidP="002718DF">
            <w:pPr>
              <w:pStyle w:val="Tabletext"/>
              <w:rPr>
                <w:rStyle w:val="Bold"/>
                <w:rFonts w:cs="Arial"/>
                <w:sz w:val="15"/>
              </w:rPr>
            </w:pPr>
            <w:r w:rsidRPr="001814D2">
              <w:rPr>
                <w:rStyle w:val="Bold"/>
                <w:rFonts w:cs="Arial"/>
                <w:sz w:val="15"/>
              </w:rPr>
              <w:t>Access granted in part</w:t>
            </w:r>
          </w:p>
        </w:tc>
        <w:tc>
          <w:tcPr>
            <w:tcW w:w="917" w:type="dxa"/>
          </w:tcPr>
          <w:p w14:paraId="12118A4F" w14:textId="77777777" w:rsidR="009103CC" w:rsidRPr="001814D2" w:rsidRDefault="009103CC" w:rsidP="002718DF">
            <w:pPr>
              <w:pStyle w:val="Tabletext"/>
              <w:rPr>
                <w:rStyle w:val="Bold"/>
                <w:rFonts w:cs="Arial"/>
                <w:sz w:val="15"/>
              </w:rPr>
            </w:pPr>
            <w:r w:rsidRPr="001814D2">
              <w:rPr>
                <w:rStyle w:val="Bold"/>
                <w:rFonts w:cs="Arial"/>
                <w:sz w:val="15"/>
              </w:rPr>
              <w:t>Access refused in full</w:t>
            </w:r>
          </w:p>
        </w:tc>
        <w:tc>
          <w:tcPr>
            <w:tcW w:w="1071" w:type="dxa"/>
          </w:tcPr>
          <w:p w14:paraId="45F3B35E" w14:textId="77777777" w:rsidR="009103CC" w:rsidRPr="001814D2" w:rsidRDefault="009103CC" w:rsidP="002718DF">
            <w:pPr>
              <w:pStyle w:val="Tabletext"/>
              <w:rPr>
                <w:rStyle w:val="Bold"/>
                <w:rFonts w:cs="Arial"/>
                <w:sz w:val="15"/>
              </w:rPr>
            </w:pPr>
            <w:r w:rsidRPr="001814D2">
              <w:rPr>
                <w:rStyle w:val="Bold"/>
                <w:rFonts w:cs="Arial"/>
                <w:sz w:val="15"/>
              </w:rPr>
              <w:t>Information not held</w:t>
            </w:r>
          </w:p>
        </w:tc>
        <w:tc>
          <w:tcPr>
            <w:tcW w:w="1077" w:type="dxa"/>
          </w:tcPr>
          <w:p w14:paraId="3134FF9B" w14:textId="77777777" w:rsidR="009103CC" w:rsidRPr="001814D2" w:rsidRDefault="009103CC" w:rsidP="002718DF">
            <w:pPr>
              <w:pStyle w:val="Tabletext"/>
              <w:rPr>
                <w:rStyle w:val="Bold"/>
                <w:rFonts w:cs="Arial"/>
                <w:sz w:val="15"/>
              </w:rPr>
            </w:pPr>
            <w:r w:rsidRPr="001814D2">
              <w:rPr>
                <w:rStyle w:val="Bold"/>
                <w:rFonts w:cs="Arial"/>
                <w:sz w:val="15"/>
              </w:rPr>
              <w:t>Information already available</w:t>
            </w:r>
          </w:p>
        </w:tc>
        <w:tc>
          <w:tcPr>
            <w:tcW w:w="1078" w:type="dxa"/>
          </w:tcPr>
          <w:p w14:paraId="593EAAB5" w14:textId="77777777" w:rsidR="009103CC" w:rsidRPr="001814D2" w:rsidRDefault="009103CC" w:rsidP="002718DF">
            <w:pPr>
              <w:pStyle w:val="Tabletext"/>
              <w:rPr>
                <w:rStyle w:val="Bold"/>
                <w:rFonts w:cs="Arial"/>
                <w:sz w:val="15"/>
              </w:rPr>
            </w:pPr>
            <w:r w:rsidRPr="001814D2">
              <w:rPr>
                <w:rStyle w:val="Bold"/>
                <w:rFonts w:cs="Arial"/>
                <w:sz w:val="15"/>
              </w:rPr>
              <w:t>Refuse to deal with information</w:t>
            </w:r>
          </w:p>
        </w:tc>
        <w:tc>
          <w:tcPr>
            <w:tcW w:w="1192" w:type="dxa"/>
          </w:tcPr>
          <w:p w14:paraId="5427D3F2" w14:textId="77777777" w:rsidR="009103CC" w:rsidRPr="001814D2" w:rsidRDefault="009103CC" w:rsidP="002718DF">
            <w:pPr>
              <w:pStyle w:val="Tabletext"/>
              <w:rPr>
                <w:rStyle w:val="Bold"/>
                <w:rFonts w:cs="Arial"/>
                <w:sz w:val="15"/>
              </w:rPr>
            </w:pPr>
            <w:r w:rsidRPr="001814D2">
              <w:rPr>
                <w:rStyle w:val="Bold"/>
                <w:rFonts w:cs="Arial"/>
                <w:sz w:val="15"/>
              </w:rPr>
              <w:t>Refuse to confirm/deny whether information is held</w:t>
            </w:r>
          </w:p>
        </w:tc>
        <w:tc>
          <w:tcPr>
            <w:tcW w:w="1063" w:type="dxa"/>
          </w:tcPr>
          <w:p w14:paraId="16FABDDD" w14:textId="77777777" w:rsidR="009103CC" w:rsidRPr="001814D2" w:rsidRDefault="009103CC" w:rsidP="002718DF">
            <w:pPr>
              <w:pStyle w:val="Tabletext"/>
              <w:rPr>
                <w:rStyle w:val="Bold"/>
                <w:rFonts w:cs="Arial"/>
                <w:sz w:val="15"/>
              </w:rPr>
            </w:pPr>
            <w:r w:rsidRPr="001814D2">
              <w:rPr>
                <w:rStyle w:val="Bold"/>
                <w:rFonts w:cs="Arial"/>
                <w:sz w:val="15"/>
              </w:rPr>
              <w:t>Application withdrawn</w:t>
            </w:r>
          </w:p>
        </w:tc>
      </w:tr>
      <w:tr w:rsidR="009103CC" w:rsidRPr="001814D2" w14:paraId="1C44DD51" w14:textId="77777777" w:rsidTr="002718DF">
        <w:tc>
          <w:tcPr>
            <w:tcW w:w="1253" w:type="dxa"/>
          </w:tcPr>
          <w:p w14:paraId="73AC7777" w14:textId="77777777" w:rsidR="009103CC" w:rsidRPr="001814D2" w:rsidRDefault="009103CC" w:rsidP="002718DF">
            <w:pPr>
              <w:pStyle w:val="Tabletext"/>
              <w:rPr>
                <w:rStyle w:val="Bold"/>
                <w:rFonts w:cs="Arial"/>
                <w:sz w:val="15"/>
              </w:rPr>
            </w:pPr>
            <w:r w:rsidRPr="001814D2">
              <w:rPr>
                <w:rFonts w:cs="Arial"/>
                <w:sz w:val="15"/>
              </w:rPr>
              <w:t>Personal information applications*</w:t>
            </w:r>
          </w:p>
        </w:tc>
        <w:tc>
          <w:tcPr>
            <w:tcW w:w="792" w:type="dxa"/>
          </w:tcPr>
          <w:p w14:paraId="3A7008B7"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793" w:type="dxa"/>
          </w:tcPr>
          <w:p w14:paraId="770B3150"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917" w:type="dxa"/>
          </w:tcPr>
          <w:p w14:paraId="036FCC4B" w14:textId="77777777" w:rsidR="009103CC" w:rsidRPr="001814D2" w:rsidRDefault="009103CC" w:rsidP="002718DF">
            <w:pPr>
              <w:pStyle w:val="Tabletext"/>
              <w:rPr>
                <w:rStyle w:val="Bold"/>
                <w:rFonts w:cs="Arial"/>
                <w:sz w:val="15"/>
              </w:rPr>
            </w:pPr>
            <w:r w:rsidRPr="001814D2">
              <w:rPr>
                <w:rStyle w:val="Bold"/>
                <w:rFonts w:cs="Arial"/>
                <w:sz w:val="15"/>
              </w:rPr>
              <w:t>1</w:t>
            </w:r>
          </w:p>
        </w:tc>
        <w:tc>
          <w:tcPr>
            <w:tcW w:w="1071" w:type="dxa"/>
          </w:tcPr>
          <w:p w14:paraId="72FD0108"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1077" w:type="dxa"/>
          </w:tcPr>
          <w:p w14:paraId="6F1D7B0D"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1078" w:type="dxa"/>
          </w:tcPr>
          <w:p w14:paraId="59069855"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1192" w:type="dxa"/>
          </w:tcPr>
          <w:p w14:paraId="6D0EE365"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1063" w:type="dxa"/>
          </w:tcPr>
          <w:p w14:paraId="6F3696D2" w14:textId="77777777" w:rsidR="009103CC" w:rsidRPr="001814D2" w:rsidRDefault="009103CC" w:rsidP="002718DF">
            <w:pPr>
              <w:pStyle w:val="Tabletext"/>
              <w:rPr>
                <w:rStyle w:val="Bold"/>
                <w:rFonts w:cs="Arial"/>
                <w:sz w:val="15"/>
              </w:rPr>
            </w:pPr>
            <w:r w:rsidRPr="001814D2">
              <w:rPr>
                <w:rStyle w:val="Bold"/>
                <w:rFonts w:cs="Arial"/>
                <w:sz w:val="15"/>
              </w:rPr>
              <w:t>0</w:t>
            </w:r>
          </w:p>
        </w:tc>
      </w:tr>
      <w:tr w:rsidR="009103CC" w:rsidRPr="001814D2" w14:paraId="082CF8EF" w14:textId="77777777" w:rsidTr="002718DF">
        <w:tc>
          <w:tcPr>
            <w:tcW w:w="1253" w:type="dxa"/>
          </w:tcPr>
          <w:p w14:paraId="18EB3CFA" w14:textId="77777777" w:rsidR="009103CC" w:rsidRPr="001814D2" w:rsidRDefault="009103CC" w:rsidP="002718DF">
            <w:pPr>
              <w:pStyle w:val="Tabletext"/>
              <w:rPr>
                <w:rStyle w:val="Bold"/>
                <w:rFonts w:cs="Arial"/>
                <w:sz w:val="15"/>
              </w:rPr>
            </w:pPr>
            <w:r w:rsidRPr="001814D2">
              <w:rPr>
                <w:rFonts w:cs="Arial"/>
                <w:sz w:val="15"/>
              </w:rPr>
              <w:t>Access applications (other than personal information applications)</w:t>
            </w:r>
          </w:p>
        </w:tc>
        <w:tc>
          <w:tcPr>
            <w:tcW w:w="792" w:type="dxa"/>
          </w:tcPr>
          <w:p w14:paraId="138F006A"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793" w:type="dxa"/>
          </w:tcPr>
          <w:p w14:paraId="700FA1D2" w14:textId="77777777" w:rsidR="009103CC" w:rsidRPr="001814D2" w:rsidRDefault="009103CC" w:rsidP="002718DF">
            <w:pPr>
              <w:pStyle w:val="Tabletext"/>
              <w:rPr>
                <w:rStyle w:val="Bold"/>
                <w:rFonts w:cs="Arial"/>
                <w:sz w:val="15"/>
              </w:rPr>
            </w:pPr>
            <w:r w:rsidRPr="001814D2">
              <w:rPr>
                <w:rStyle w:val="Bold"/>
                <w:rFonts w:cs="Arial"/>
                <w:sz w:val="15"/>
              </w:rPr>
              <w:t>1</w:t>
            </w:r>
          </w:p>
        </w:tc>
        <w:tc>
          <w:tcPr>
            <w:tcW w:w="917" w:type="dxa"/>
          </w:tcPr>
          <w:p w14:paraId="22BFE1CA"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1071" w:type="dxa"/>
          </w:tcPr>
          <w:p w14:paraId="3645B675"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1077" w:type="dxa"/>
          </w:tcPr>
          <w:p w14:paraId="2B758990" w14:textId="77777777" w:rsidR="009103CC" w:rsidRPr="001814D2" w:rsidRDefault="009103CC" w:rsidP="002718DF">
            <w:pPr>
              <w:pStyle w:val="Tabletext"/>
              <w:rPr>
                <w:rStyle w:val="Bold"/>
                <w:rFonts w:cs="Arial"/>
                <w:sz w:val="15"/>
              </w:rPr>
            </w:pPr>
            <w:r w:rsidRPr="001814D2">
              <w:rPr>
                <w:rStyle w:val="Bold"/>
                <w:rFonts w:cs="Arial"/>
                <w:sz w:val="15"/>
              </w:rPr>
              <w:t>1</w:t>
            </w:r>
          </w:p>
        </w:tc>
        <w:tc>
          <w:tcPr>
            <w:tcW w:w="1078" w:type="dxa"/>
          </w:tcPr>
          <w:p w14:paraId="572B11BB"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1192" w:type="dxa"/>
          </w:tcPr>
          <w:p w14:paraId="2A542A85"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1063" w:type="dxa"/>
          </w:tcPr>
          <w:p w14:paraId="79F00642" w14:textId="77777777" w:rsidR="009103CC" w:rsidRPr="001814D2" w:rsidRDefault="009103CC" w:rsidP="002718DF">
            <w:pPr>
              <w:pStyle w:val="Tabletext"/>
              <w:rPr>
                <w:rStyle w:val="Bold"/>
                <w:rFonts w:cs="Arial"/>
                <w:sz w:val="15"/>
              </w:rPr>
            </w:pPr>
            <w:r w:rsidRPr="001814D2">
              <w:rPr>
                <w:rStyle w:val="Bold"/>
                <w:rFonts w:cs="Arial"/>
                <w:sz w:val="15"/>
              </w:rPr>
              <w:t>0</w:t>
            </w:r>
          </w:p>
        </w:tc>
      </w:tr>
      <w:tr w:rsidR="009103CC" w:rsidRPr="001814D2" w14:paraId="59D0D796" w14:textId="77777777" w:rsidTr="002718DF">
        <w:tc>
          <w:tcPr>
            <w:tcW w:w="1253" w:type="dxa"/>
          </w:tcPr>
          <w:p w14:paraId="40568C1E" w14:textId="77777777" w:rsidR="009103CC" w:rsidRPr="001814D2" w:rsidRDefault="009103CC" w:rsidP="002718DF">
            <w:pPr>
              <w:pStyle w:val="Tabletext"/>
              <w:rPr>
                <w:rStyle w:val="Bold"/>
                <w:rFonts w:cs="Arial"/>
                <w:sz w:val="15"/>
              </w:rPr>
            </w:pPr>
            <w:r w:rsidRPr="001814D2">
              <w:rPr>
                <w:rFonts w:cs="Arial"/>
                <w:sz w:val="15"/>
              </w:rPr>
              <w:lastRenderedPageBreak/>
              <w:t>Access applications that are partly personal information applications and partly other</w:t>
            </w:r>
          </w:p>
        </w:tc>
        <w:tc>
          <w:tcPr>
            <w:tcW w:w="792" w:type="dxa"/>
          </w:tcPr>
          <w:p w14:paraId="534A2394"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793" w:type="dxa"/>
          </w:tcPr>
          <w:p w14:paraId="5E43C5F2"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917" w:type="dxa"/>
          </w:tcPr>
          <w:p w14:paraId="690DC54E"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1071" w:type="dxa"/>
          </w:tcPr>
          <w:p w14:paraId="50572CDB"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1077" w:type="dxa"/>
          </w:tcPr>
          <w:p w14:paraId="3B60C080"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1078" w:type="dxa"/>
          </w:tcPr>
          <w:p w14:paraId="09C5BA68"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1192" w:type="dxa"/>
          </w:tcPr>
          <w:p w14:paraId="018CDB56" w14:textId="77777777" w:rsidR="009103CC" w:rsidRPr="001814D2" w:rsidRDefault="009103CC" w:rsidP="002718DF">
            <w:pPr>
              <w:pStyle w:val="Tabletext"/>
              <w:rPr>
                <w:rStyle w:val="Bold"/>
                <w:rFonts w:cs="Arial"/>
                <w:sz w:val="15"/>
              </w:rPr>
            </w:pPr>
            <w:r w:rsidRPr="001814D2">
              <w:rPr>
                <w:rStyle w:val="Bold"/>
                <w:rFonts w:cs="Arial"/>
                <w:sz w:val="15"/>
              </w:rPr>
              <w:t>0</w:t>
            </w:r>
          </w:p>
        </w:tc>
        <w:tc>
          <w:tcPr>
            <w:tcW w:w="1063" w:type="dxa"/>
          </w:tcPr>
          <w:p w14:paraId="13C72486" w14:textId="77777777" w:rsidR="009103CC" w:rsidRPr="001814D2" w:rsidRDefault="009103CC" w:rsidP="002718DF">
            <w:pPr>
              <w:pStyle w:val="Tabletext"/>
              <w:rPr>
                <w:rStyle w:val="Bold"/>
                <w:rFonts w:cs="Arial"/>
                <w:sz w:val="15"/>
              </w:rPr>
            </w:pPr>
            <w:r w:rsidRPr="001814D2">
              <w:rPr>
                <w:rStyle w:val="Bold"/>
                <w:rFonts w:cs="Arial"/>
                <w:sz w:val="15"/>
              </w:rPr>
              <w:t>0</w:t>
            </w:r>
          </w:p>
        </w:tc>
      </w:tr>
    </w:tbl>
    <w:p w14:paraId="3BEB6F98" w14:textId="77777777" w:rsidR="009103CC" w:rsidRPr="001814D2" w:rsidRDefault="009103CC" w:rsidP="009103CC">
      <w:pPr>
        <w:pStyle w:val="Tabletext"/>
        <w:rPr>
          <w:rFonts w:cs="Arial"/>
        </w:rPr>
      </w:pPr>
      <w:r w:rsidRPr="001814D2">
        <w:rPr>
          <w:rFonts w:cs="Arial"/>
        </w:rPr>
        <w:t>*A ‘personal information application’ is an access application for personal information (as defined in clause 4 of Schedule 4 to the Act) about the applicant (the applicant being an individual).</w:t>
      </w:r>
    </w:p>
    <w:p w14:paraId="5224F123" w14:textId="77777777" w:rsidR="009103CC" w:rsidRPr="001814D2" w:rsidRDefault="009103CC" w:rsidP="009103CC">
      <w:pPr>
        <w:pStyle w:val="Tabletext"/>
      </w:pPr>
    </w:p>
    <w:p w14:paraId="6E439A2A" w14:textId="77777777" w:rsidR="009103CC" w:rsidRPr="00F61169" w:rsidRDefault="009103CC" w:rsidP="009103CC">
      <w:pPr>
        <w:pStyle w:val="ARheading5"/>
      </w:pPr>
      <w:r w:rsidRPr="00F61169">
        <w:t>Table C: Invalid applications</w:t>
      </w:r>
    </w:p>
    <w:tbl>
      <w:tblPr>
        <w:tblStyle w:val="TableGrid"/>
        <w:tblW w:w="0" w:type="auto"/>
        <w:tblLook w:val="0620" w:firstRow="1" w:lastRow="0" w:firstColumn="0" w:lastColumn="0" w:noHBand="1" w:noVBand="1"/>
        <w:tblCaption w:val="Table C: Invalid applications"/>
        <w:tblDescription w:val="This table indicates the number of invalid applications for accessing government information across different reasons for invalidity as well as the total number of invalid applications and how many of these became valid"/>
      </w:tblPr>
      <w:tblGrid>
        <w:gridCol w:w="4532"/>
        <w:gridCol w:w="4528"/>
      </w:tblGrid>
      <w:tr w:rsidR="009103CC" w:rsidRPr="001814D2" w14:paraId="7D96884A" w14:textId="77777777" w:rsidTr="002718DF">
        <w:trPr>
          <w:tblHeader/>
        </w:trPr>
        <w:tc>
          <w:tcPr>
            <w:tcW w:w="4618" w:type="dxa"/>
          </w:tcPr>
          <w:p w14:paraId="327E1DEB" w14:textId="77777777" w:rsidR="009103CC" w:rsidRPr="001814D2" w:rsidRDefault="009103CC" w:rsidP="002718DF">
            <w:pPr>
              <w:pStyle w:val="Tabletext"/>
              <w:rPr>
                <w:rFonts w:cs="Arial"/>
              </w:rPr>
            </w:pPr>
            <w:r w:rsidRPr="001814D2">
              <w:rPr>
                <w:rStyle w:val="Bold"/>
                <w:rFonts w:cs="Arial"/>
              </w:rPr>
              <w:t>Reason for invalidity</w:t>
            </w:r>
          </w:p>
        </w:tc>
        <w:tc>
          <w:tcPr>
            <w:tcW w:w="4618" w:type="dxa"/>
          </w:tcPr>
          <w:p w14:paraId="2B4E8023" w14:textId="77777777" w:rsidR="009103CC" w:rsidRPr="001814D2" w:rsidRDefault="009103CC" w:rsidP="002718DF">
            <w:pPr>
              <w:pStyle w:val="Tabletext"/>
              <w:rPr>
                <w:rFonts w:cs="Arial"/>
              </w:rPr>
            </w:pPr>
            <w:r w:rsidRPr="001814D2">
              <w:rPr>
                <w:rStyle w:val="Bold"/>
                <w:rFonts w:cs="Arial"/>
              </w:rPr>
              <w:t>Number of applicants</w:t>
            </w:r>
          </w:p>
        </w:tc>
      </w:tr>
      <w:tr w:rsidR="009103CC" w:rsidRPr="001814D2" w14:paraId="0AAA0A3F" w14:textId="77777777" w:rsidTr="002718DF">
        <w:tc>
          <w:tcPr>
            <w:tcW w:w="4618" w:type="dxa"/>
          </w:tcPr>
          <w:p w14:paraId="12F78D53" w14:textId="77777777" w:rsidR="009103CC" w:rsidRPr="001814D2" w:rsidRDefault="009103CC" w:rsidP="002718DF">
            <w:pPr>
              <w:pStyle w:val="Tabletext"/>
              <w:rPr>
                <w:rFonts w:cs="Arial"/>
              </w:rPr>
            </w:pPr>
            <w:r w:rsidRPr="001814D2">
              <w:rPr>
                <w:rFonts w:cs="Arial"/>
              </w:rPr>
              <w:t>Application does not comply with formal requirements (Section 41 of the Act)</w:t>
            </w:r>
          </w:p>
        </w:tc>
        <w:tc>
          <w:tcPr>
            <w:tcW w:w="4618" w:type="dxa"/>
          </w:tcPr>
          <w:p w14:paraId="3DF5682B" w14:textId="77777777" w:rsidR="009103CC" w:rsidRPr="001814D2" w:rsidRDefault="009103CC" w:rsidP="002718DF">
            <w:pPr>
              <w:pStyle w:val="Tabletext"/>
              <w:rPr>
                <w:rFonts w:cs="Arial"/>
              </w:rPr>
            </w:pPr>
            <w:r w:rsidRPr="001814D2">
              <w:rPr>
                <w:rFonts w:cs="Arial"/>
              </w:rPr>
              <w:t>0</w:t>
            </w:r>
          </w:p>
        </w:tc>
      </w:tr>
      <w:tr w:rsidR="009103CC" w:rsidRPr="001814D2" w14:paraId="674B43F6" w14:textId="77777777" w:rsidTr="002718DF">
        <w:tc>
          <w:tcPr>
            <w:tcW w:w="4618" w:type="dxa"/>
          </w:tcPr>
          <w:p w14:paraId="3857D772" w14:textId="77777777" w:rsidR="009103CC" w:rsidRPr="001814D2" w:rsidRDefault="009103CC" w:rsidP="002718DF">
            <w:pPr>
              <w:pStyle w:val="Tabletext"/>
              <w:rPr>
                <w:rFonts w:cs="Arial"/>
              </w:rPr>
            </w:pPr>
            <w:r w:rsidRPr="001814D2">
              <w:rPr>
                <w:rFonts w:cs="Arial"/>
              </w:rPr>
              <w:t>Application is for excluded information of the agency (Section 43 of the Act)</w:t>
            </w:r>
          </w:p>
        </w:tc>
        <w:tc>
          <w:tcPr>
            <w:tcW w:w="4618" w:type="dxa"/>
          </w:tcPr>
          <w:p w14:paraId="1CF111F9" w14:textId="77777777" w:rsidR="009103CC" w:rsidRPr="001814D2" w:rsidRDefault="009103CC" w:rsidP="002718DF">
            <w:pPr>
              <w:pStyle w:val="Tabletext"/>
              <w:rPr>
                <w:rFonts w:cs="Arial"/>
              </w:rPr>
            </w:pPr>
            <w:r w:rsidRPr="001814D2">
              <w:rPr>
                <w:rFonts w:cs="Arial"/>
              </w:rPr>
              <w:t>0</w:t>
            </w:r>
          </w:p>
        </w:tc>
      </w:tr>
      <w:tr w:rsidR="009103CC" w:rsidRPr="001814D2" w14:paraId="67947BC5" w14:textId="77777777" w:rsidTr="002718DF">
        <w:tc>
          <w:tcPr>
            <w:tcW w:w="4618" w:type="dxa"/>
          </w:tcPr>
          <w:p w14:paraId="4D7B31A6" w14:textId="77777777" w:rsidR="009103CC" w:rsidRPr="001814D2" w:rsidRDefault="009103CC" w:rsidP="002718DF">
            <w:pPr>
              <w:pStyle w:val="Tabletext"/>
              <w:rPr>
                <w:rFonts w:cs="Arial"/>
              </w:rPr>
            </w:pPr>
            <w:r w:rsidRPr="001814D2">
              <w:rPr>
                <w:rFonts w:cs="Arial"/>
              </w:rPr>
              <w:t>Application contravenes restraint order (Section 100 of the Act)</w:t>
            </w:r>
          </w:p>
        </w:tc>
        <w:tc>
          <w:tcPr>
            <w:tcW w:w="4618" w:type="dxa"/>
          </w:tcPr>
          <w:p w14:paraId="0A2C7BC2" w14:textId="77777777" w:rsidR="009103CC" w:rsidRPr="001814D2" w:rsidRDefault="009103CC" w:rsidP="002718DF">
            <w:pPr>
              <w:pStyle w:val="Tabletext"/>
              <w:rPr>
                <w:rFonts w:cs="Arial"/>
              </w:rPr>
            </w:pPr>
            <w:r w:rsidRPr="001814D2">
              <w:rPr>
                <w:rFonts w:cs="Arial"/>
              </w:rPr>
              <w:t>0</w:t>
            </w:r>
          </w:p>
        </w:tc>
      </w:tr>
      <w:tr w:rsidR="009103CC" w:rsidRPr="001814D2" w14:paraId="58AEA6D1" w14:textId="77777777" w:rsidTr="002718DF">
        <w:tc>
          <w:tcPr>
            <w:tcW w:w="4618" w:type="dxa"/>
          </w:tcPr>
          <w:p w14:paraId="465D1A8B" w14:textId="77777777" w:rsidR="009103CC" w:rsidRPr="001814D2" w:rsidRDefault="009103CC" w:rsidP="002718DF">
            <w:pPr>
              <w:pStyle w:val="Tabletext"/>
              <w:rPr>
                <w:rFonts w:cs="Arial"/>
              </w:rPr>
            </w:pPr>
            <w:r w:rsidRPr="001814D2">
              <w:rPr>
                <w:rFonts w:cs="Arial"/>
              </w:rPr>
              <w:t>Total number of invalid applications received</w:t>
            </w:r>
          </w:p>
        </w:tc>
        <w:tc>
          <w:tcPr>
            <w:tcW w:w="4618" w:type="dxa"/>
          </w:tcPr>
          <w:p w14:paraId="7CD02880" w14:textId="77777777" w:rsidR="009103CC" w:rsidRPr="001814D2" w:rsidRDefault="009103CC" w:rsidP="002718DF">
            <w:pPr>
              <w:pStyle w:val="Tabletext"/>
              <w:rPr>
                <w:rFonts w:cs="Arial"/>
              </w:rPr>
            </w:pPr>
            <w:r w:rsidRPr="001814D2">
              <w:rPr>
                <w:rFonts w:cs="Arial"/>
              </w:rPr>
              <w:t>0</w:t>
            </w:r>
          </w:p>
        </w:tc>
      </w:tr>
      <w:tr w:rsidR="009103CC" w:rsidRPr="001814D2" w14:paraId="49C36C05" w14:textId="77777777" w:rsidTr="002718DF">
        <w:tc>
          <w:tcPr>
            <w:tcW w:w="4618" w:type="dxa"/>
          </w:tcPr>
          <w:p w14:paraId="3F42848E" w14:textId="77777777" w:rsidR="009103CC" w:rsidRPr="001814D2" w:rsidRDefault="009103CC" w:rsidP="002718DF">
            <w:pPr>
              <w:pStyle w:val="Tabletext"/>
              <w:rPr>
                <w:rFonts w:cs="Arial"/>
              </w:rPr>
            </w:pPr>
            <w:r w:rsidRPr="001814D2">
              <w:rPr>
                <w:rFonts w:cs="Arial"/>
              </w:rPr>
              <w:t>Invalid applications that subsequently became valid applications</w:t>
            </w:r>
          </w:p>
        </w:tc>
        <w:tc>
          <w:tcPr>
            <w:tcW w:w="4618" w:type="dxa"/>
          </w:tcPr>
          <w:p w14:paraId="75E41340" w14:textId="77777777" w:rsidR="009103CC" w:rsidRPr="001814D2" w:rsidRDefault="009103CC" w:rsidP="002718DF">
            <w:pPr>
              <w:pStyle w:val="Tabletext"/>
              <w:rPr>
                <w:rFonts w:cs="Arial"/>
              </w:rPr>
            </w:pPr>
            <w:r w:rsidRPr="001814D2">
              <w:rPr>
                <w:rFonts w:cs="Arial"/>
              </w:rPr>
              <w:t>0</w:t>
            </w:r>
          </w:p>
        </w:tc>
      </w:tr>
    </w:tbl>
    <w:p w14:paraId="6913D9B3" w14:textId="77777777" w:rsidR="009103CC" w:rsidRPr="001814D2" w:rsidRDefault="009103CC" w:rsidP="009103CC">
      <w:pPr>
        <w:pStyle w:val="Tabletext"/>
        <w:rPr>
          <w:rFonts w:cs="Arial"/>
        </w:rPr>
      </w:pPr>
    </w:p>
    <w:p w14:paraId="399398B8" w14:textId="77777777" w:rsidR="009103CC" w:rsidRPr="00F61169" w:rsidRDefault="009103CC" w:rsidP="009103CC">
      <w:pPr>
        <w:pStyle w:val="ARheading5"/>
      </w:pPr>
      <w:r w:rsidRPr="00F61169">
        <w:t>Table D: Conclusive presumption of overriding public interest against disclosure – matters listed in schedule 1 to the Act</w:t>
      </w:r>
    </w:p>
    <w:tbl>
      <w:tblPr>
        <w:tblStyle w:val="TableGrid"/>
        <w:tblW w:w="0" w:type="auto"/>
        <w:tblLook w:val="0620" w:firstRow="1" w:lastRow="0" w:firstColumn="0" w:lastColumn="0" w:noHBand="1" w:noVBand="1"/>
        <w:tblCaption w:val="Table D: Conclusive presumption of overriding public interest against disclosure – matters listed in schedule 1 to the Act"/>
        <w:tblDescription w:val="This table indicates 12 different types of considerations and the number of times each was used."/>
      </w:tblPr>
      <w:tblGrid>
        <w:gridCol w:w="4530"/>
        <w:gridCol w:w="4530"/>
      </w:tblGrid>
      <w:tr w:rsidR="009103CC" w:rsidRPr="001814D2" w14:paraId="1369C2EF" w14:textId="77777777" w:rsidTr="002718DF">
        <w:trPr>
          <w:tblHeader/>
        </w:trPr>
        <w:tc>
          <w:tcPr>
            <w:tcW w:w="4618" w:type="dxa"/>
          </w:tcPr>
          <w:p w14:paraId="6E56ABE0" w14:textId="77777777" w:rsidR="009103CC" w:rsidRPr="001814D2" w:rsidRDefault="009103CC" w:rsidP="002718DF">
            <w:pPr>
              <w:pStyle w:val="Tabletext"/>
              <w:rPr>
                <w:rFonts w:cs="Arial"/>
                <w:b/>
              </w:rPr>
            </w:pPr>
            <w:r w:rsidRPr="001814D2">
              <w:rPr>
                <w:rFonts w:cs="Arial"/>
                <w:b/>
              </w:rPr>
              <w:t>Consideration</w:t>
            </w:r>
          </w:p>
        </w:tc>
        <w:tc>
          <w:tcPr>
            <w:tcW w:w="4618" w:type="dxa"/>
          </w:tcPr>
          <w:p w14:paraId="0E0C92D6" w14:textId="77777777" w:rsidR="009103CC" w:rsidRPr="001814D2" w:rsidRDefault="009103CC" w:rsidP="002718DF">
            <w:pPr>
              <w:pStyle w:val="Tabletext"/>
              <w:rPr>
                <w:rFonts w:cs="Arial"/>
              </w:rPr>
            </w:pPr>
            <w:r w:rsidRPr="001814D2">
              <w:rPr>
                <w:rStyle w:val="Bold"/>
                <w:rFonts w:cs="Arial"/>
              </w:rPr>
              <w:t>Number of times consideration used</w:t>
            </w:r>
          </w:p>
        </w:tc>
      </w:tr>
      <w:tr w:rsidR="009103CC" w:rsidRPr="001814D2" w14:paraId="2F66A671" w14:textId="77777777" w:rsidTr="002718DF">
        <w:tc>
          <w:tcPr>
            <w:tcW w:w="4618" w:type="dxa"/>
          </w:tcPr>
          <w:p w14:paraId="5B67FE39" w14:textId="77777777" w:rsidR="009103CC" w:rsidRPr="001814D2" w:rsidRDefault="009103CC" w:rsidP="002718DF">
            <w:pPr>
              <w:pStyle w:val="Tabletext"/>
              <w:rPr>
                <w:rFonts w:cs="Arial"/>
              </w:rPr>
            </w:pPr>
            <w:r w:rsidRPr="001814D2">
              <w:rPr>
                <w:rFonts w:cs="Arial"/>
              </w:rPr>
              <w:t>Overriding secrecy laws</w:t>
            </w:r>
          </w:p>
        </w:tc>
        <w:tc>
          <w:tcPr>
            <w:tcW w:w="4618" w:type="dxa"/>
          </w:tcPr>
          <w:p w14:paraId="3F90C1C6" w14:textId="77777777" w:rsidR="009103CC" w:rsidRPr="001814D2" w:rsidRDefault="009103CC" w:rsidP="002718DF">
            <w:pPr>
              <w:pStyle w:val="Tabletext"/>
              <w:rPr>
                <w:rFonts w:cs="Arial"/>
              </w:rPr>
            </w:pPr>
            <w:r w:rsidRPr="001814D2">
              <w:rPr>
                <w:rFonts w:cs="Arial"/>
              </w:rPr>
              <w:t>0</w:t>
            </w:r>
          </w:p>
        </w:tc>
      </w:tr>
      <w:tr w:rsidR="009103CC" w:rsidRPr="001814D2" w14:paraId="7852AB61" w14:textId="77777777" w:rsidTr="002718DF">
        <w:tc>
          <w:tcPr>
            <w:tcW w:w="4618" w:type="dxa"/>
          </w:tcPr>
          <w:p w14:paraId="100C0AE8" w14:textId="77777777" w:rsidR="009103CC" w:rsidRPr="001814D2" w:rsidRDefault="009103CC" w:rsidP="002718DF">
            <w:pPr>
              <w:pStyle w:val="Tabletext"/>
              <w:rPr>
                <w:rFonts w:cs="Arial"/>
              </w:rPr>
            </w:pPr>
            <w:r w:rsidRPr="001814D2">
              <w:rPr>
                <w:rFonts w:cs="Arial"/>
              </w:rPr>
              <w:t xml:space="preserve">Cabinet information </w:t>
            </w:r>
          </w:p>
        </w:tc>
        <w:tc>
          <w:tcPr>
            <w:tcW w:w="4618" w:type="dxa"/>
          </w:tcPr>
          <w:p w14:paraId="390B0F31" w14:textId="77777777" w:rsidR="009103CC" w:rsidRPr="001814D2" w:rsidRDefault="009103CC" w:rsidP="002718DF">
            <w:pPr>
              <w:pStyle w:val="Tabletext"/>
              <w:rPr>
                <w:rFonts w:cs="Arial"/>
              </w:rPr>
            </w:pPr>
            <w:r w:rsidRPr="001814D2">
              <w:rPr>
                <w:rFonts w:cs="Arial"/>
              </w:rPr>
              <w:t>0</w:t>
            </w:r>
          </w:p>
        </w:tc>
      </w:tr>
      <w:tr w:rsidR="009103CC" w:rsidRPr="001814D2" w14:paraId="4C6AC50D" w14:textId="77777777" w:rsidTr="002718DF">
        <w:tc>
          <w:tcPr>
            <w:tcW w:w="4618" w:type="dxa"/>
          </w:tcPr>
          <w:p w14:paraId="1685AD9D" w14:textId="77777777" w:rsidR="009103CC" w:rsidRPr="001814D2" w:rsidRDefault="009103CC" w:rsidP="002718DF">
            <w:pPr>
              <w:pStyle w:val="Tabletext"/>
              <w:rPr>
                <w:rFonts w:cs="Arial"/>
              </w:rPr>
            </w:pPr>
            <w:r w:rsidRPr="001814D2">
              <w:rPr>
                <w:rFonts w:cs="Arial"/>
              </w:rPr>
              <w:t xml:space="preserve">Executive Council information </w:t>
            </w:r>
          </w:p>
        </w:tc>
        <w:tc>
          <w:tcPr>
            <w:tcW w:w="4618" w:type="dxa"/>
          </w:tcPr>
          <w:p w14:paraId="21621FCD" w14:textId="77777777" w:rsidR="009103CC" w:rsidRPr="001814D2" w:rsidRDefault="009103CC" w:rsidP="002718DF">
            <w:pPr>
              <w:pStyle w:val="Tabletext"/>
              <w:rPr>
                <w:rFonts w:cs="Arial"/>
              </w:rPr>
            </w:pPr>
            <w:r w:rsidRPr="001814D2">
              <w:rPr>
                <w:rFonts w:cs="Arial"/>
              </w:rPr>
              <w:t>0</w:t>
            </w:r>
          </w:p>
        </w:tc>
      </w:tr>
      <w:tr w:rsidR="009103CC" w:rsidRPr="001814D2" w14:paraId="1029EA2A" w14:textId="77777777" w:rsidTr="002718DF">
        <w:tc>
          <w:tcPr>
            <w:tcW w:w="4618" w:type="dxa"/>
          </w:tcPr>
          <w:p w14:paraId="37166BCD" w14:textId="77777777" w:rsidR="009103CC" w:rsidRPr="001814D2" w:rsidRDefault="009103CC" w:rsidP="002718DF">
            <w:pPr>
              <w:pStyle w:val="Tabletext"/>
              <w:rPr>
                <w:rFonts w:cs="Arial"/>
              </w:rPr>
            </w:pPr>
            <w:r w:rsidRPr="001814D2">
              <w:rPr>
                <w:rFonts w:cs="Arial"/>
              </w:rPr>
              <w:t xml:space="preserve">Contempt </w:t>
            </w:r>
          </w:p>
        </w:tc>
        <w:tc>
          <w:tcPr>
            <w:tcW w:w="4618" w:type="dxa"/>
          </w:tcPr>
          <w:p w14:paraId="72325669" w14:textId="77777777" w:rsidR="009103CC" w:rsidRPr="001814D2" w:rsidRDefault="009103CC" w:rsidP="002718DF">
            <w:pPr>
              <w:pStyle w:val="Tabletext"/>
              <w:rPr>
                <w:rFonts w:cs="Arial"/>
              </w:rPr>
            </w:pPr>
            <w:r w:rsidRPr="001814D2">
              <w:rPr>
                <w:rFonts w:cs="Arial"/>
              </w:rPr>
              <w:t>0</w:t>
            </w:r>
          </w:p>
        </w:tc>
      </w:tr>
      <w:tr w:rsidR="009103CC" w:rsidRPr="001814D2" w14:paraId="1BD2656F" w14:textId="77777777" w:rsidTr="002718DF">
        <w:tc>
          <w:tcPr>
            <w:tcW w:w="4618" w:type="dxa"/>
          </w:tcPr>
          <w:p w14:paraId="33091604" w14:textId="77777777" w:rsidR="009103CC" w:rsidRPr="001814D2" w:rsidRDefault="009103CC" w:rsidP="002718DF">
            <w:pPr>
              <w:pStyle w:val="Tabletext"/>
              <w:rPr>
                <w:rFonts w:cs="Arial"/>
              </w:rPr>
            </w:pPr>
            <w:r w:rsidRPr="001814D2">
              <w:rPr>
                <w:rFonts w:cs="Arial"/>
              </w:rPr>
              <w:t>Legal professional privilege</w:t>
            </w:r>
          </w:p>
        </w:tc>
        <w:tc>
          <w:tcPr>
            <w:tcW w:w="4618" w:type="dxa"/>
          </w:tcPr>
          <w:p w14:paraId="7E9E593D" w14:textId="77777777" w:rsidR="009103CC" w:rsidRPr="001814D2" w:rsidRDefault="009103CC" w:rsidP="002718DF">
            <w:pPr>
              <w:pStyle w:val="Tabletext"/>
              <w:rPr>
                <w:rFonts w:cs="Arial"/>
              </w:rPr>
            </w:pPr>
            <w:r w:rsidRPr="001814D2">
              <w:rPr>
                <w:rFonts w:cs="Arial"/>
              </w:rPr>
              <w:t>0</w:t>
            </w:r>
          </w:p>
        </w:tc>
      </w:tr>
      <w:tr w:rsidR="009103CC" w:rsidRPr="001814D2" w14:paraId="34BC565F" w14:textId="77777777" w:rsidTr="002718DF">
        <w:tc>
          <w:tcPr>
            <w:tcW w:w="4618" w:type="dxa"/>
          </w:tcPr>
          <w:p w14:paraId="718A18EE" w14:textId="77777777" w:rsidR="009103CC" w:rsidRPr="001814D2" w:rsidRDefault="009103CC" w:rsidP="002718DF">
            <w:pPr>
              <w:pStyle w:val="Tabletext"/>
              <w:rPr>
                <w:rFonts w:cs="Arial"/>
              </w:rPr>
            </w:pPr>
            <w:r w:rsidRPr="001814D2">
              <w:rPr>
                <w:rFonts w:cs="Arial"/>
              </w:rPr>
              <w:t>Excluded information</w:t>
            </w:r>
          </w:p>
        </w:tc>
        <w:tc>
          <w:tcPr>
            <w:tcW w:w="4618" w:type="dxa"/>
          </w:tcPr>
          <w:p w14:paraId="59EB58D9" w14:textId="77777777" w:rsidR="009103CC" w:rsidRPr="001814D2" w:rsidRDefault="009103CC" w:rsidP="002718DF">
            <w:pPr>
              <w:pStyle w:val="Tabletext"/>
              <w:rPr>
                <w:rFonts w:cs="Arial"/>
              </w:rPr>
            </w:pPr>
            <w:r w:rsidRPr="001814D2">
              <w:rPr>
                <w:rFonts w:cs="Arial"/>
              </w:rPr>
              <w:t>0</w:t>
            </w:r>
          </w:p>
        </w:tc>
      </w:tr>
      <w:tr w:rsidR="009103CC" w:rsidRPr="001814D2" w14:paraId="74240C25" w14:textId="77777777" w:rsidTr="002718DF">
        <w:tc>
          <w:tcPr>
            <w:tcW w:w="4618" w:type="dxa"/>
          </w:tcPr>
          <w:p w14:paraId="384A56AD" w14:textId="77777777" w:rsidR="009103CC" w:rsidRPr="001814D2" w:rsidRDefault="009103CC" w:rsidP="002718DF">
            <w:pPr>
              <w:pStyle w:val="Tabletext"/>
              <w:rPr>
                <w:rFonts w:cs="Arial"/>
              </w:rPr>
            </w:pPr>
            <w:r w:rsidRPr="001814D2">
              <w:rPr>
                <w:rFonts w:cs="Arial"/>
              </w:rPr>
              <w:t>Documents affecting law enforcement and public safety</w:t>
            </w:r>
          </w:p>
        </w:tc>
        <w:tc>
          <w:tcPr>
            <w:tcW w:w="4618" w:type="dxa"/>
          </w:tcPr>
          <w:p w14:paraId="16EBEE5C" w14:textId="77777777" w:rsidR="009103CC" w:rsidRPr="001814D2" w:rsidRDefault="009103CC" w:rsidP="002718DF">
            <w:pPr>
              <w:pStyle w:val="Tabletext"/>
              <w:rPr>
                <w:rFonts w:cs="Arial"/>
              </w:rPr>
            </w:pPr>
            <w:r w:rsidRPr="001814D2">
              <w:rPr>
                <w:rFonts w:cs="Arial"/>
              </w:rPr>
              <w:t>0</w:t>
            </w:r>
          </w:p>
        </w:tc>
      </w:tr>
      <w:tr w:rsidR="009103CC" w:rsidRPr="001814D2" w14:paraId="03AF1E4D" w14:textId="77777777" w:rsidTr="002718DF">
        <w:tc>
          <w:tcPr>
            <w:tcW w:w="4618" w:type="dxa"/>
          </w:tcPr>
          <w:p w14:paraId="25F2E7A5" w14:textId="77777777" w:rsidR="009103CC" w:rsidRPr="001814D2" w:rsidRDefault="009103CC" w:rsidP="002718DF">
            <w:pPr>
              <w:pStyle w:val="Tabletext"/>
              <w:rPr>
                <w:rFonts w:cs="Arial"/>
              </w:rPr>
            </w:pPr>
            <w:r w:rsidRPr="001814D2">
              <w:rPr>
                <w:rFonts w:cs="Arial"/>
              </w:rPr>
              <w:t>Transport safety</w:t>
            </w:r>
          </w:p>
        </w:tc>
        <w:tc>
          <w:tcPr>
            <w:tcW w:w="4618" w:type="dxa"/>
          </w:tcPr>
          <w:p w14:paraId="72AD76AF" w14:textId="77777777" w:rsidR="009103CC" w:rsidRPr="001814D2" w:rsidRDefault="009103CC" w:rsidP="002718DF">
            <w:pPr>
              <w:pStyle w:val="Tabletext"/>
              <w:rPr>
                <w:rFonts w:cs="Arial"/>
              </w:rPr>
            </w:pPr>
            <w:r w:rsidRPr="001814D2">
              <w:rPr>
                <w:rFonts w:cs="Arial"/>
              </w:rPr>
              <w:t>0</w:t>
            </w:r>
          </w:p>
        </w:tc>
      </w:tr>
      <w:tr w:rsidR="009103CC" w:rsidRPr="001814D2" w14:paraId="1BAD4010" w14:textId="77777777" w:rsidTr="002718DF">
        <w:tc>
          <w:tcPr>
            <w:tcW w:w="4618" w:type="dxa"/>
          </w:tcPr>
          <w:p w14:paraId="702A13DC" w14:textId="77777777" w:rsidR="009103CC" w:rsidRPr="001814D2" w:rsidRDefault="009103CC" w:rsidP="002718DF">
            <w:pPr>
              <w:pStyle w:val="Tabletext"/>
              <w:rPr>
                <w:rFonts w:cs="Arial"/>
              </w:rPr>
            </w:pPr>
            <w:r w:rsidRPr="001814D2">
              <w:rPr>
                <w:rFonts w:cs="Arial"/>
              </w:rPr>
              <w:t>Adoption</w:t>
            </w:r>
          </w:p>
        </w:tc>
        <w:tc>
          <w:tcPr>
            <w:tcW w:w="4618" w:type="dxa"/>
          </w:tcPr>
          <w:p w14:paraId="1948DF5A" w14:textId="77777777" w:rsidR="009103CC" w:rsidRPr="001814D2" w:rsidRDefault="009103CC" w:rsidP="002718DF">
            <w:pPr>
              <w:pStyle w:val="Tabletext"/>
              <w:rPr>
                <w:rFonts w:cs="Arial"/>
              </w:rPr>
            </w:pPr>
            <w:r w:rsidRPr="001814D2">
              <w:rPr>
                <w:rFonts w:cs="Arial"/>
              </w:rPr>
              <w:t>0</w:t>
            </w:r>
          </w:p>
        </w:tc>
      </w:tr>
      <w:tr w:rsidR="009103CC" w:rsidRPr="001814D2" w14:paraId="25137E56" w14:textId="77777777" w:rsidTr="002718DF">
        <w:tc>
          <w:tcPr>
            <w:tcW w:w="4618" w:type="dxa"/>
          </w:tcPr>
          <w:p w14:paraId="607F5A69" w14:textId="77777777" w:rsidR="009103CC" w:rsidRPr="001814D2" w:rsidRDefault="009103CC" w:rsidP="002718DF">
            <w:pPr>
              <w:pStyle w:val="Tabletext"/>
              <w:rPr>
                <w:rFonts w:cs="Arial"/>
              </w:rPr>
            </w:pPr>
            <w:r w:rsidRPr="001814D2">
              <w:rPr>
                <w:rFonts w:cs="Arial"/>
              </w:rPr>
              <w:t>Care and protection of children</w:t>
            </w:r>
          </w:p>
        </w:tc>
        <w:tc>
          <w:tcPr>
            <w:tcW w:w="4618" w:type="dxa"/>
          </w:tcPr>
          <w:p w14:paraId="10BC5B9E" w14:textId="77777777" w:rsidR="009103CC" w:rsidRPr="001814D2" w:rsidRDefault="009103CC" w:rsidP="002718DF">
            <w:pPr>
              <w:pStyle w:val="Tabletext"/>
              <w:rPr>
                <w:rFonts w:cs="Arial"/>
              </w:rPr>
            </w:pPr>
            <w:r w:rsidRPr="001814D2">
              <w:rPr>
                <w:rFonts w:cs="Arial"/>
              </w:rPr>
              <w:t>0</w:t>
            </w:r>
          </w:p>
        </w:tc>
      </w:tr>
      <w:tr w:rsidR="009103CC" w:rsidRPr="001814D2" w14:paraId="711DE242" w14:textId="77777777" w:rsidTr="002718DF">
        <w:tc>
          <w:tcPr>
            <w:tcW w:w="4618" w:type="dxa"/>
          </w:tcPr>
          <w:p w14:paraId="77E27D15" w14:textId="77777777" w:rsidR="009103CC" w:rsidRPr="001814D2" w:rsidRDefault="009103CC" w:rsidP="002718DF">
            <w:pPr>
              <w:pStyle w:val="Tabletext"/>
              <w:rPr>
                <w:rFonts w:cs="Arial"/>
              </w:rPr>
            </w:pPr>
            <w:r w:rsidRPr="001814D2">
              <w:rPr>
                <w:rFonts w:cs="Arial"/>
              </w:rPr>
              <w:t>Ministerial code of conduct</w:t>
            </w:r>
          </w:p>
        </w:tc>
        <w:tc>
          <w:tcPr>
            <w:tcW w:w="4618" w:type="dxa"/>
          </w:tcPr>
          <w:p w14:paraId="46E598A6" w14:textId="77777777" w:rsidR="009103CC" w:rsidRPr="001814D2" w:rsidRDefault="009103CC" w:rsidP="002718DF">
            <w:pPr>
              <w:pStyle w:val="Tabletext"/>
              <w:rPr>
                <w:rFonts w:cs="Arial"/>
              </w:rPr>
            </w:pPr>
            <w:r w:rsidRPr="001814D2">
              <w:rPr>
                <w:rFonts w:cs="Arial"/>
              </w:rPr>
              <w:t>0</w:t>
            </w:r>
          </w:p>
        </w:tc>
      </w:tr>
      <w:tr w:rsidR="009103CC" w:rsidRPr="001814D2" w14:paraId="06423315" w14:textId="77777777" w:rsidTr="002718DF">
        <w:tc>
          <w:tcPr>
            <w:tcW w:w="4618" w:type="dxa"/>
          </w:tcPr>
          <w:p w14:paraId="227DE288" w14:textId="77777777" w:rsidR="009103CC" w:rsidRPr="001814D2" w:rsidRDefault="009103CC" w:rsidP="002718DF">
            <w:pPr>
              <w:pStyle w:val="Tabletext"/>
              <w:rPr>
                <w:rFonts w:cs="Arial"/>
              </w:rPr>
            </w:pPr>
            <w:r w:rsidRPr="001814D2">
              <w:rPr>
                <w:rFonts w:cs="Arial"/>
              </w:rPr>
              <w:t>Aboriginal and environmental heritage</w:t>
            </w:r>
          </w:p>
        </w:tc>
        <w:tc>
          <w:tcPr>
            <w:tcW w:w="4618" w:type="dxa"/>
          </w:tcPr>
          <w:p w14:paraId="52684C41" w14:textId="77777777" w:rsidR="009103CC" w:rsidRPr="001814D2" w:rsidRDefault="009103CC" w:rsidP="002718DF">
            <w:pPr>
              <w:pStyle w:val="Tabletext"/>
              <w:rPr>
                <w:rFonts w:cs="Arial"/>
              </w:rPr>
            </w:pPr>
            <w:r w:rsidRPr="001814D2">
              <w:rPr>
                <w:rFonts w:cs="Arial"/>
              </w:rPr>
              <w:t>0</w:t>
            </w:r>
          </w:p>
        </w:tc>
      </w:tr>
    </w:tbl>
    <w:p w14:paraId="34AE5B76" w14:textId="77777777" w:rsidR="009103CC" w:rsidRPr="001814D2" w:rsidRDefault="009103CC" w:rsidP="009103CC">
      <w:pPr>
        <w:pStyle w:val="Tabletext"/>
        <w:rPr>
          <w:rFonts w:cs="Arial"/>
        </w:rPr>
      </w:pPr>
      <w:r w:rsidRPr="001814D2">
        <w:rPr>
          <w:rFonts w:cs="Arial"/>
        </w:rPr>
        <w:t>*More than one public interest consideration may apply in relation to a particular access application and, if so, each such consideration is to be recorded (but only once per application). This also applies in relation to Table E.</w:t>
      </w:r>
    </w:p>
    <w:p w14:paraId="1FF78580" w14:textId="77777777" w:rsidR="009103CC" w:rsidRPr="00546E9D" w:rsidRDefault="009103CC" w:rsidP="009103CC">
      <w:pPr>
        <w:pStyle w:val="Tabletext"/>
      </w:pPr>
    </w:p>
    <w:p w14:paraId="75C94BD9" w14:textId="77777777" w:rsidR="009103CC" w:rsidRPr="00F61169" w:rsidRDefault="009103CC" w:rsidP="009103CC">
      <w:pPr>
        <w:pStyle w:val="ARheading5"/>
      </w:pPr>
      <w:r w:rsidRPr="00F61169">
        <w:t xml:space="preserve">Table E: Other public interest considerations against disclosure – matters </w:t>
      </w:r>
      <w:r w:rsidRPr="00F61169">
        <w:lastRenderedPageBreak/>
        <w:t>listed in Section 14 of the Act</w:t>
      </w:r>
    </w:p>
    <w:tbl>
      <w:tblPr>
        <w:tblStyle w:val="TableGrid"/>
        <w:tblW w:w="0" w:type="auto"/>
        <w:tblLook w:val="0620" w:firstRow="1" w:lastRow="0" w:firstColumn="0" w:lastColumn="0" w:noHBand="1" w:noVBand="1"/>
        <w:tblCaption w:val="Table E: Other public interest considerations against disclosure – matters listed in Section 14 of the Act"/>
        <w:tblDescription w:val="This table indicates 7 different types of considerations and the number of occasions when application was not successful"/>
      </w:tblPr>
      <w:tblGrid>
        <w:gridCol w:w="4533"/>
        <w:gridCol w:w="4527"/>
      </w:tblGrid>
      <w:tr w:rsidR="009103CC" w:rsidRPr="001814D2" w14:paraId="55FA4D8B" w14:textId="77777777" w:rsidTr="002718DF">
        <w:trPr>
          <w:tblHeader/>
        </w:trPr>
        <w:tc>
          <w:tcPr>
            <w:tcW w:w="4618" w:type="dxa"/>
          </w:tcPr>
          <w:p w14:paraId="466FC78E" w14:textId="77777777" w:rsidR="009103CC" w:rsidRPr="001814D2" w:rsidRDefault="009103CC" w:rsidP="002718DF">
            <w:pPr>
              <w:pStyle w:val="Tabletext"/>
              <w:rPr>
                <w:rFonts w:cs="Arial"/>
                <w:b/>
              </w:rPr>
            </w:pPr>
            <w:r w:rsidRPr="001814D2">
              <w:rPr>
                <w:rFonts w:cs="Arial"/>
                <w:b/>
              </w:rPr>
              <w:t>Consideration</w:t>
            </w:r>
          </w:p>
        </w:tc>
        <w:tc>
          <w:tcPr>
            <w:tcW w:w="4618" w:type="dxa"/>
          </w:tcPr>
          <w:p w14:paraId="49477903" w14:textId="77777777" w:rsidR="009103CC" w:rsidRPr="001814D2" w:rsidRDefault="009103CC" w:rsidP="002718DF">
            <w:pPr>
              <w:pStyle w:val="Tabletext"/>
              <w:rPr>
                <w:rFonts w:cs="Arial"/>
              </w:rPr>
            </w:pPr>
            <w:r w:rsidRPr="001814D2">
              <w:rPr>
                <w:rStyle w:val="Bold"/>
                <w:rFonts w:cs="Arial"/>
              </w:rPr>
              <w:t>Number of occasions when application not successful</w:t>
            </w:r>
          </w:p>
        </w:tc>
      </w:tr>
      <w:tr w:rsidR="009103CC" w:rsidRPr="001814D2" w14:paraId="05F104AE" w14:textId="77777777" w:rsidTr="002718DF">
        <w:tc>
          <w:tcPr>
            <w:tcW w:w="4618" w:type="dxa"/>
          </w:tcPr>
          <w:p w14:paraId="7E7DA515" w14:textId="77777777" w:rsidR="009103CC" w:rsidRPr="001814D2" w:rsidRDefault="009103CC" w:rsidP="002718DF">
            <w:pPr>
              <w:pStyle w:val="Tabletext"/>
              <w:rPr>
                <w:rFonts w:cs="Arial"/>
              </w:rPr>
            </w:pPr>
            <w:r w:rsidRPr="001814D2">
              <w:rPr>
                <w:rFonts w:cs="Arial"/>
              </w:rPr>
              <w:t>Responsible and effective government</w:t>
            </w:r>
          </w:p>
        </w:tc>
        <w:tc>
          <w:tcPr>
            <w:tcW w:w="4618" w:type="dxa"/>
          </w:tcPr>
          <w:p w14:paraId="353323CB" w14:textId="77777777" w:rsidR="009103CC" w:rsidRPr="001814D2" w:rsidRDefault="009103CC" w:rsidP="002718DF">
            <w:pPr>
              <w:pStyle w:val="Tabletext"/>
              <w:rPr>
                <w:rFonts w:cs="Arial"/>
              </w:rPr>
            </w:pPr>
            <w:r w:rsidRPr="001814D2">
              <w:rPr>
                <w:rFonts w:cs="Arial"/>
              </w:rPr>
              <w:t>0</w:t>
            </w:r>
          </w:p>
        </w:tc>
      </w:tr>
      <w:tr w:rsidR="009103CC" w:rsidRPr="001814D2" w14:paraId="550B306D" w14:textId="77777777" w:rsidTr="002718DF">
        <w:tc>
          <w:tcPr>
            <w:tcW w:w="4618" w:type="dxa"/>
          </w:tcPr>
          <w:p w14:paraId="0A4D4A33" w14:textId="77777777" w:rsidR="009103CC" w:rsidRPr="001814D2" w:rsidRDefault="009103CC" w:rsidP="002718DF">
            <w:pPr>
              <w:pStyle w:val="Tabletext"/>
              <w:rPr>
                <w:rFonts w:cs="Arial"/>
              </w:rPr>
            </w:pPr>
            <w:r w:rsidRPr="001814D2">
              <w:rPr>
                <w:rFonts w:cs="Arial"/>
              </w:rPr>
              <w:t>Law enforcement and security</w:t>
            </w:r>
          </w:p>
        </w:tc>
        <w:tc>
          <w:tcPr>
            <w:tcW w:w="4618" w:type="dxa"/>
          </w:tcPr>
          <w:p w14:paraId="522448D7" w14:textId="77777777" w:rsidR="009103CC" w:rsidRPr="001814D2" w:rsidRDefault="009103CC" w:rsidP="002718DF">
            <w:pPr>
              <w:pStyle w:val="Tabletext"/>
              <w:rPr>
                <w:rFonts w:cs="Arial"/>
              </w:rPr>
            </w:pPr>
            <w:r w:rsidRPr="001814D2">
              <w:rPr>
                <w:rFonts w:cs="Arial"/>
              </w:rPr>
              <w:t>0</w:t>
            </w:r>
          </w:p>
        </w:tc>
      </w:tr>
      <w:tr w:rsidR="009103CC" w:rsidRPr="001814D2" w14:paraId="3C44A393" w14:textId="77777777" w:rsidTr="002718DF">
        <w:tc>
          <w:tcPr>
            <w:tcW w:w="4618" w:type="dxa"/>
          </w:tcPr>
          <w:p w14:paraId="294DBB03" w14:textId="77777777" w:rsidR="009103CC" w:rsidRPr="001814D2" w:rsidRDefault="009103CC" w:rsidP="002718DF">
            <w:pPr>
              <w:pStyle w:val="Tabletext"/>
              <w:rPr>
                <w:rFonts w:cs="Arial"/>
              </w:rPr>
            </w:pPr>
            <w:r w:rsidRPr="001814D2">
              <w:rPr>
                <w:rFonts w:cs="Arial"/>
              </w:rPr>
              <w:t>Individual rights, judicial processes and natural justice</w:t>
            </w:r>
          </w:p>
        </w:tc>
        <w:tc>
          <w:tcPr>
            <w:tcW w:w="4618" w:type="dxa"/>
          </w:tcPr>
          <w:p w14:paraId="260C2DC5" w14:textId="77777777" w:rsidR="009103CC" w:rsidRPr="001814D2" w:rsidRDefault="009103CC" w:rsidP="002718DF">
            <w:pPr>
              <w:pStyle w:val="Tabletext"/>
              <w:rPr>
                <w:rFonts w:cs="Arial"/>
              </w:rPr>
            </w:pPr>
            <w:r w:rsidRPr="001814D2">
              <w:rPr>
                <w:rFonts w:cs="Arial"/>
              </w:rPr>
              <w:t>2</w:t>
            </w:r>
          </w:p>
        </w:tc>
      </w:tr>
      <w:tr w:rsidR="009103CC" w:rsidRPr="001814D2" w14:paraId="7C6EFD42" w14:textId="77777777" w:rsidTr="002718DF">
        <w:tc>
          <w:tcPr>
            <w:tcW w:w="4618" w:type="dxa"/>
          </w:tcPr>
          <w:p w14:paraId="30442368" w14:textId="77777777" w:rsidR="009103CC" w:rsidRPr="001814D2" w:rsidRDefault="009103CC" w:rsidP="002718DF">
            <w:pPr>
              <w:pStyle w:val="Tabletext"/>
              <w:rPr>
                <w:rFonts w:cs="Arial"/>
              </w:rPr>
            </w:pPr>
            <w:r w:rsidRPr="001814D2">
              <w:rPr>
                <w:rFonts w:cs="Arial"/>
              </w:rPr>
              <w:t>Business interests of agencies and other persons</w:t>
            </w:r>
          </w:p>
        </w:tc>
        <w:tc>
          <w:tcPr>
            <w:tcW w:w="4618" w:type="dxa"/>
          </w:tcPr>
          <w:p w14:paraId="410F20ED" w14:textId="77777777" w:rsidR="009103CC" w:rsidRPr="001814D2" w:rsidRDefault="009103CC" w:rsidP="002718DF">
            <w:pPr>
              <w:pStyle w:val="Tabletext"/>
              <w:rPr>
                <w:rFonts w:cs="Arial"/>
              </w:rPr>
            </w:pPr>
            <w:r w:rsidRPr="001814D2">
              <w:rPr>
                <w:rFonts w:cs="Arial"/>
              </w:rPr>
              <w:t>1</w:t>
            </w:r>
          </w:p>
        </w:tc>
      </w:tr>
      <w:tr w:rsidR="009103CC" w:rsidRPr="001814D2" w14:paraId="69DFBF55" w14:textId="77777777" w:rsidTr="002718DF">
        <w:tc>
          <w:tcPr>
            <w:tcW w:w="4618" w:type="dxa"/>
          </w:tcPr>
          <w:p w14:paraId="48F6D306" w14:textId="77777777" w:rsidR="009103CC" w:rsidRPr="001814D2" w:rsidRDefault="009103CC" w:rsidP="002718DF">
            <w:pPr>
              <w:pStyle w:val="Tabletext"/>
              <w:rPr>
                <w:rFonts w:cs="Arial"/>
              </w:rPr>
            </w:pPr>
            <w:r w:rsidRPr="001814D2">
              <w:rPr>
                <w:rFonts w:cs="Arial"/>
              </w:rPr>
              <w:t>Environment, culture, economy and general matters</w:t>
            </w:r>
          </w:p>
        </w:tc>
        <w:tc>
          <w:tcPr>
            <w:tcW w:w="4618" w:type="dxa"/>
          </w:tcPr>
          <w:p w14:paraId="400A655F" w14:textId="77777777" w:rsidR="009103CC" w:rsidRPr="001814D2" w:rsidRDefault="009103CC" w:rsidP="002718DF">
            <w:pPr>
              <w:pStyle w:val="Tabletext"/>
              <w:rPr>
                <w:rFonts w:cs="Arial"/>
              </w:rPr>
            </w:pPr>
            <w:r w:rsidRPr="001814D2">
              <w:rPr>
                <w:rFonts w:cs="Arial"/>
              </w:rPr>
              <w:t>0</w:t>
            </w:r>
          </w:p>
        </w:tc>
      </w:tr>
      <w:tr w:rsidR="009103CC" w:rsidRPr="001814D2" w14:paraId="6192EAA9" w14:textId="77777777" w:rsidTr="002718DF">
        <w:tc>
          <w:tcPr>
            <w:tcW w:w="4618" w:type="dxa"/>
          </w:tcPr>
          <w:p w14:paraId="47BC0734" w14:textId="77777777" w:rsidR="009103CC" w:rsidRPr="001814D2" w:rsidRDefault="009103CC" w:rsidP="002718DF">
            <w:pPr>
              <w:pStyle w:val="Tabletext"/>
              <w:rPr>
                <w:rFonts w:cs="Arial"/>
              </w:rPr>
            </w:pPr>
            <w:r w:rsidRPr="001814D2">
              <w:rPr>
                <w:rFonts w:cs="Arial"/>
              </w:rPr>
              <w:t>Secrecy provisions</w:t>
            </w:r>
          </w:p>
        </w:tc>
        <w:tc>
          <w:tcPr>
            <w:tcW w:w="4618" w:type="dxa"/>
          </w:tcPr>
          <w:p w14:paraId="136D423D" w14:textId="77777777" w:rsidR="009103CC" w:rsidRPr="001814D2" w:rsidRDefault="009103CC" w:rsidP="002718DF">
            <w:pPr>
              <w:pStyle w:val="Tabletext"/>
              <w:rPr>
                <w:rFonts w:cs="Arial"/>
              </w:rPr>
            </w:pPr>
            <w:r w:rsidRPr="001814D2">
              <w:rPr>
                <w:rFonts w:cs="Arial"/>
              </w:rPr>
              <w:t>0</w:t>
            </w:r>
          </w:p>
        </w:tc>
      </w:tr>
      <w:tr w:rsidR="009103CC" w:rsidRPr="001814D2" w14:paraId="2CBC4F82" w14:textId="77777777" w:rsidTr="002718DF">
        <w:tc>
          <w:tcPr>
            <w:tcW w:w="4618" w:type="dxa"/>
          </w:tcPr>
          <w:p w14:paraId="5C4140B1" w14:textId="77777777" w:rsidR="009103CC" w:rsidRPr="001814D2" w:rsidRDefault="009103CC" w:rsidP="002718DF">
            <w:pPr>
              <w:pStyle w:val="Tabletext"/>
              <w:rPr>
                <w:rFonts w:cs="Arial"/>
              </w:rPr>
            </w:pPr>
            <w:r w:rsidRPr="001814D2">
              <w:rPr>
                <w:rFonts w:cs="Arial"/>
              </w:rPr>
              <w:t>Exempt documents under interstate Freedom of Information legislation</w:t>
            </w:r>
          </w:p>
        </w:tc>
        <w:tc>
          <w:tcPr>
            <w:tcW w:w="4618" w:type="dxa"/>
          </w:tcPr>
          <w:p w14:paraId="4E5BA456" w14:textId="77777777" w:rsidR="009103CC" w:rsidRPr="001814D2" w:rsidRDefault="009103CC" w:rsidP="002718DF">
            <w:pPr>
              <w:pStyle w:val="Tabletext"/>
              <w:rPr>
                <w:rFonts w:cs="Arial"/>
              </w:rPr>
            </w:pPr>
            <w:r w:rsidRPr="001814D2">
              <w:rPr>
                <w:rFonts w:cs="Arial"/>
              </w:rPr>
              <w:t>0</w:t>
            </w:r>
          </w:p>
        </w:tc>
      </w:tr>
    </w:tbl>
    <w:p w14:paraId="4F430704" w14:textId="77777777" w:rsidR="009103CC" w:rsidRPr="001814D2" w:rsidRDefault="009103CC" w:rsidP="009103CC">
      <w:pPr>
        <w:pStyle w:val="Tabletext"/>
        <w:rPr>
          <w:rFonts w:cs="Arial"/>
        </w:rPr>
      </w:pPr>
    </w:p>
    <w:p w14:paraId="597107A8" w14:textId="77777777" w:rsidR="009103CC" w:rsidRPr="00F61169" w:rsidRDefault="009103CC" w:rsidP="009103CC">
      <w:pPr>
        <w:pStyle w:val="ARheading5"/>
      </w:pPr>
      <w:r w:rsidRPr="00F61169">
        <w:t>Table F: Timeliness</w:t>
      </w:r>
    </w:p>
    <w:tbl>
      <w:tblPr>
        <w:tblStyle w:val="TableGrid"/>
        <w:tblW w:w="0" w:type="auto"/>
        <w:tblLook w:val="0620" w:firstRow="1" w:lastRow="0" w:firstColumn="0" w:lastColumn="0" w:noHBand="1" w:noVBand="1"/>
        <w:tblCaption w:val="Table F: Timeliness"/>
        <w:tblDescription w:val="This table indicates the number of applications decided within different timeframes."/>
      </w:tblPr>
      <w:tblGrid>
        <w:gridCol w:w="4528"/>
        <w:gridCol w:w="4532"/>
      </w:tblGrid>
      <w:tr w:rsidR="009103CC" w:rsidRPr="001814D2" w14:paraId="1420F46A" w14:textId="77777777" w:rsidTr="002718DF">
        <w:trPr>
          <w:tblHeader/>
        </w:trPr>
        <w:tc>
          <w:tcPr>
            <w:tcW w:w="4618" w:type="dxa"/>
          </w:tcPr>
          <w:p w14:paraId="603FA4C0" w14:textId="77777777" w:rsidR="009103CC" w:rsidRPr="001814D2" w:rsidRDefault="009103CC" w:rsidP="002718DF">
            <w:pPr>
              <w:pStyle w:val="Tabletext"/>
              <w:rPr>
                <w:rFonts w:cs="Arial"/>
                <w:b/>
              </w:rPr>
            </w:pPr>
            <w:r w:rsidRPr="001814D2">
              <w:rPr>
                <w:rFonts w:cs="Arial"/>
                <w:b/>
              </w:rPr>
              <w:t>Timeframe</w:t>
            </w:r>
          </w:p>
        </w:tc>
        <w:tc>
          <w:tcPr>
            <w:tcW w:w="4618" w:type="dxa"/>
          </w:tcPr>
          <w:p w14:paraId="04A04919" w14:textId="77777777" w:rsidR="009103CC" w:rsidRPr="001814D2" w:rsidRDefault="009103CC" w:rsidP="002718DF">
            <w:pPr>
              <w:pStyle w:val="Tabletext"/>
              <w:rPr>
                <w:rFonts w:cs="Arial"/>
              </w:rPr>
            </w:pPr>
            <w:r w:rsidRPr="001814D2">
              <w:rPr>
                <w:rStyle w:val="Bold"/>
                <w:rFonts w:cs="Arial"/>
              </w:rPr>
              <w:t>Number of applications</w:t>
            </w:r>
          </w:p>
        </w:tc>
      </w:tr>
      <w:tr w:rsidR="009103CC" w:rsidRPr="001814D2" w14:paraId="3091A0E1" w14:textId="77777777" w:rsidTr="002718DF">
        <w:tc>
          <w:tcPr>
            <w:tcW w:w="4618" w:type="dxa"/>
          </w:tcPr>
          <w:p w14:paraId="4F4D400D" w14:textId="77777777" w:rsidR="009103CC" w:rsidRPr="001814D2" w:rsidRDefault="009103CC" w:rsidP="002718DF">
            <w:pPr>
              <w:pStyle w:val="Tabletext"/>
              <w:rPr>
                <w:rFonts w:cs="Arial"/>
              </w:rPr>
            </w:pPr>
            <w:r w:rsidRPr="001814D2">
              <w:rPr>
                <w:rFonts w:cs="Arial"/>
              </w:rPr>
              <w:t>Decided within the statutory timeframe (20 days plus any extension)</w:t>
            </w:r>
          </w:p>
        </w:tc>
        <w:tc>
          <w:tcPr>
            <w:tcW w:w="4618" w:type="dxa"/>
          </w:tcPr>
          <w:p w14:paraId="619F1FBE" w14:textId="77777777" w:rsidR="009103CC" w:rsidRPr="001814D2" w:rsidRDefault="009103CC" w:rsidP="002718DF">
            <w:pPr>
              <w:pStyle w:val="Tabletext"/>
              <w:rPr>
                <w:rFonts w:cs="Arial"/>
              </w:rPr>
            </w:pPr>
            <w:r w:rsidRPr="001814D2">
              <w:rPr>
                <w:rFonts w:cs="Arial"/>
              </w:rPr>
              <w:t>3</w:t>
            </w:r>
          </w:p>
        </w:tc>
      </w:tr>
      <w:tr w:rsidR="009103CC" w:rsidRPr="001814D2" w14:paraId="4C12DEB9" w14:textId="77777777" w:rsidTr="002718DF">
        <w:tc>
          <w:tcPr>
            <w:tcW w:w="4618" w:type="dxa"/>
          </w:tcPr>
          <w:p w14:paraId="5DD59DF2" w14:textId="77777777" w:rsidR="009103CC" w:rsidRPr="001814D2" w:rsidRDefault="009103CC" w:rsidP="002718DF">
            <w:pPr>
              <w:pStyle w:val="Tabletext"/>
              <w:rPr>
                <w:rFonts w:cs="Arial"/>
              </w:rPr>
            </w:pPr>
            <w:r w:rsidRPr="001814D2">
              <w:rPr>
                <w:rFonts w:cs="Arial"/>
              </w:rPr>
              <w:t>Decided after 35 days (by agreement with applicant)</w:t>
            </w:r>
          </w:p>
        </w:tc>
        <w:tc>
          <w:tcPr>
            <w:tcW w:w="4618" w:type="dxa"/>
          </w:tcPr>
          <w:p w14:paraId="67192E52" w14:textId="77777777" w:rsidR="009103CC" w:rsidRPr="001814D2" w:rsidRDefault="009103CC" w:rsidP="002718DF">
            <w:pPr>
              <w:pStyle w:val="Tabletext"/>
              <w:rPr>
                <w:rFonts w:cs="Arial"/>
              </w:rPr>
            </w:pPr>
            <w:r w:rsidRPr="001814D2">
              <w:rPr>
                <w:rFonts w:cs="Arial"/>
              </w:rPr>
              <w:t>0</w:t>
            </w:r>
          </w:p>
        </w:tc>
      </w:tr>
      <w:tr w:rsidR="009103CC" w:rsidRPr="001814D2" w14:paraId="58899188" w14:textId="77777777" w:rsidTr="002718DF">
        <w:tc>
          <w:tcPr>
            <w:tcW w:w="4618" w:type="dxa"/>
          </w:tcPr>
          <w:p w14:paraId="0AF73E5F" w14:textId="77777777" w:rsidR="009103CC" w:rsidRPr="001814D2" w:rsidRDefault="009103CC" w:rsidP="002718DF">
            <w:pPr>
              <w:pStyle w:val="Tabletext"/>
              <w:tabs>
                <w:tab w:val="clear" w:pos="2380"/>
                <w:tab w:val="clear" w:pos="3420"/>
                <w:tab w:val="clear" w:pos="4620"/>
                <w:tab w:val="clear" w:pos="5720"/>
                <w:tab w:val="right" w:pos="6460"/>
              </w:tabs>
              <w:rPr>
                <w:rFonts w:cs="Arial"/>
              </w:rPr>
            </w:pPr>
            <w:r w:rsidRPr="001814D2">
              <w:rPr>
                <w:rFonts w:cs="Arial"/>
              </w:rPr>
              <w:t>Not decided within time (deemed refusal)</w:t>
            </w:r>
          </w:p>
        </w:tc>
        <w:tc>
          <w:tcPr>
            <w:tcW w:w="4618" w:type="dxa"/>
          </w:tcPr>
          <w:p w14:paraId="4A2069D9" w14:textId="77777777" w:rsidR="009103CC" w:rsidRPr="001814D2" w:rsidRDefault="009103CC" w:rsidP="002718DF">
            <w:pPr>
              <w:pStyle w:val="Tabletext"/>
              <w:rPr>
                <w:rFonts w:cs="Arial"/>
              </w:rPr>
            </w:pPr>
            <w:r w:rsidRPr="001814D2">
              <w:rPr>
                <w:rFonts w:cs="Arial"/>
              </w:rPr>
              <w:t>0</w:t>
            </w:r>
          </w:p>
        </w:tc>
      </w:tr>
      <w:tr w:rsidR="009103CC" w:rsidRPr="001814D2" w14:paraId="78A52378" w14:textId="77777777" w:rsidTr="002718DF">
        <w:tc>
          <w:tcPr>
            <w:tcW w:w="4618" w:type="dxa"/>
          </w:tcPr>
          <w:p w14:paraId="30A0F73B" w14:textId="77777777" w:rsidR="009103CC" w:rsidRPr="001814D2" w:rsidRDefault="009103CC" w:rsidP="002718DF">
            <w:pPr>
              <w:pStyle w:val="Tabletext"/>
              <w:rPr>
                <w:rFonts w:cs="Arial"/>
              </w:rPr>
            </w:pPr>
            <w:r w:rsidRPr="001814D2">
              <w:rPr>
                <w:rFonts w:cs="Arial"/>
              </w:rPr>
              <w:t>Total</w:t>
            </w:r>
          </w:p>
        </w:tc>
        <w:tc>
          <w:tcPr>
            <w:tcW w:w="4618" w:type="dxa"/>
          </w:tcPr>
          <w:p w14:paraId="2A3970B2" w14:textId="77777777" w:rsidR="009103CC" w:rsidRPr="001814D2" w:rsidRDefault="009103CC" w:rsidP="002718DF">
            <w:pPr>
              <w:pStyle w:val="Tabletext"/>
              <w:rPr>
                <w:rFonts w:cs="Arial"/>
              </w:rPr>
            </w:pPr>
            <w:r w:rsidRPr="001814D2">
              <w:rPr>
                <w:rFonts w:cs="Arial"/>
              </w:rPr>
              <w:t>3</w:t>
            </w:r>
          </w:p>
        </w:tc>
      </w:tr>
    </w:tbl>
    <w:p w14:paraId="724EA562" w14:textId="77777777" w:rsidR="009103CC" w:rsidRPr="001814D2" w:rsidRDefault="009103CC" w:rsidP="009103CC">
      <w:pPr>
        <w:pStyle w:val="Tabletext"/>
        <w:rPr>
          <w:rFonts w:cs="Arial"/>
        </w:rPr>
      </w:pPr>
    </w:p>
    <w:p w14:paraId="4E2B84EE" w14:textId="77777777" w:rsidR="009103CC" w:rsidRPr="00F61169" w:rsidRDefault="009103CC" w:rsidP="009103CC">
      <w:pPr>
        <w:pStyle w:val="ARheading5"/>
      </w:pPr>
      <w:r w:rsidRPr="00F61169">
        <w:t>Table G: Number of applications reviewed under Part 5 of the Act (by type of review and outcome)</w:t>
      </w:r>
    </w:p>
    <w:tbl>
      <w:tblPr>
        <w:tblStyle w:val="TableGrid"/>
        <w:tblW w:w="0" w:type="auto"/>
        <w:tblLook w:val="0620" w:firstRow="1" w:lastRow="0" w:firstColumn="0" w:lastColumn="0" w:noHBand="1" w:noVBand="1"/>
        <w:tblCaption w:val="Table G: Number of applications reviewed under Part 5 of the Act (by type of review and outcome)"/>
        <w:tblDescription w:val="This table indicates the number of applications reviewed under Part 5 of the Act by type of review and whether the decision was varied or upheld."/>
      </w:tblPr>
      <w:tblGrid>
        <w:gridCol w:w="5099"/>
        <w:gridCol w:w="1954"/>
        <w:gridCol w:w="2007"/>
      </w:tblGrid>
      <w:tr w:rsidR="009103CC" w:rsidRPr="001814D2" w14:paraId="31FE938E" w14:textId="77777777" w:rsidTr="002718DF">
        <w:trPr>
          <w:tblHeader/>
        </w:trPr>
        <w:tc>
          <w:tcPr>
            <w:tcW w:w="5211" w:type="dxa"/>
          </w:tcPr>
          <w:p w14:paraId="769780B0" w14:textId="77777777" w:rsidR="009103CC" w:rsidRPr="001814D2" w:rsidRDefault="009103CC" w:rsidP="002718DF">
            <w:pPr>
              <w:pStyle w:val="Tabletext"/>
              <w:rPr>
                <w:rFonts w:cs="Arial"/>
                <w:b/>
              </w:rPr>
            </w:pPr>
            <w:r w:rsidRPr="001814D2">
              <w:rPr>
                <w:rFonts w:cs="Arial"/>
                <w:b/>
              </w:rPr>
              <w:t>Type of review</w:t>
            </w:r>
          </w:p>
        </w:tc>
        <w:tc>
          <w:tcPr>
            <w:tcW w:w="1985" w:type="dxa"/>
          </w:tcPr>
          <w:p w14:paraId="2D30E529" w14:textId="77777777" w:rsidR="009103CC" w:rsidRPr="001814D2" w:rsidRDefault="009103CC" w:rsidP="002718DF">
            <w:pPr>
              <w:pStyle w:val="Tabletext"/>
              <w:rPr>
                <w:rFonts w:cs="Arial"/>
              </w:rPr>
            </w:pPr>
            <w:r w:rsidRPr="001814D2">
              <w:rPr>
                <w:rStyle w:val="Bold"/>
                <w:rFonts w:cs="Arial"/>
              </w:rPr>
              <w:t>Decision varied</w:t>
            </w:r>
          </w:p>
        </w:tc>
        <w:tc>
          <w:tcPr>
            <w:tcW w:w="2040" w:type="dxa"/>
          </w:tcPr>
          <w:p w14:paraId="47D42E3C" w14:textId="77777777" w:rsidR="009103CC" w:rsidRPr="001814D2" w:rsidRDefault="009103CC" w:rsidP="002718DF">
            <w:pPr>
              <w:pStyle w:val="Tabletext"/>
              <w:rPr>
                <w:rFonts w:cs="Arial"/>
              </w:rPr>
            </w:pPr>
            <w:r w:rsidRPr="001814D2">
              <w:rPr>
                <w:rStyle w:val="Bold"/>
                <w:rFonts w:cs="Arial"/>
              </w:rPr>
              <w:t>Decision upheld</w:t>
            </w:r>
          </w:p>
        </w:tc>
      </w:tr>
      <w:tr w:rsidR="009103CC" w:rsidRPr="001814D2" w14:paraId="35A4FBEC" w14:textId="77777777" w:rsidTr="002718DF">
        <w:tc>
          <w:tcPr>
            <w:tcW w:w="5211" w:type="dxa"/>
          </w:tcPr>
          <w:p w14:paraId="0E6F8DAC" w14:textId="77777777" w:rsidR="009103CC" w:rsidRPr="001814D2" w:rsidRDefault="009103CC" w:rsidP="002718DF">
            <w:pPr>
              <w:pStyle w:val="Tabletext"/>
              <w:rPr>
                <w:rFonts w:cs="Arial"/>
              </w:rPr>
            </w:pPr>
            <w:r w:rsidRPr="001814D2">
              <w:rPr>
                <w:rFonts w:cs="Arial"/>
              </w:rPr>
              <w:t>Internal review</w:t>
            </w:r>
          </w:p>
        </w:tc>
        <w:tc>
          <w:tcPr>
            <w:tcW w:w="1985" w:type="dxa"/>
          </w:tcPr>
          <w:p w14:paraId="689AC637" w14:textId="77777777" w:rsidR="009103CC" w:rsidRPr="001814D2" w:rsidRDefault="009103CC" w:rsidP="002718DF">
            <w:pPr>
              <w:pStyle w:val="Tabletext"/>
              <w:rPr>
                <w:rFonts w:cs="Arial"/>
              </w:rPr>
            </w:pPr>
            <w:r w:rsidRPr="001814D2">
              <w:rPr>
                <w:rFonts w:cs="Arial"/>
              </w:rPr>
              <w:t>0</w:t>
            </w:r>
          </w:p>
        </w:tc>
        <w:tc>
          <w:tcPr>
            <w:tcW w:w="2040" w:type="dxa"/>
          </w:tcPr>
          <w:p w14:paraId="14B317CE" w14:textId="77777777" w:rsidR="009103CC" w:rsidRPr="001814D2" w:rsidRDefault="009103CC" w:rsidP="002718DF">
            <w:pPr>
              <w:pStyle w:val="Tabletext"/>
              <w:rPr>
                <w:rFonts w:cs="Arial"/>
              </w:rPr>
            </w:pPr>
            <w:r w:rsidRPr="001814D2">
              <w:rPr>
                <w:rFonts w:cs="Arial"/>
              </w:rPr>
              <w:t>0</w:t>
            </w:r>
          </w:p>
        </w:tc>
      </w:tr>
      <w:tr w:rsidR="009103CC" w:rsidRPr="001814D2" w14:paraId="25F949F7" w14:textId="77777777" w:rsidTr="002718DF">
        <w:tc>
          <w:tcPr>
            <w:tcW w:w="5211" w:type="dxa"/>
          </w:tcPr>
          <w:p w14:paraId="15616E85" w14:textId="77777777" w:rsidR="009103CC" w:rsidRPr="001814D2" w:rsidRDefault="009103CC" w:rsidP="002718DF">
            <w:pPr>
              <w:pStyle w:val="Tabletext"/>
              <w:rPr>
                <w:rFonts w:cs="Arial"/>
              </w:rPr>
            </w:pPr>
            <w:r w:rsidRPr="001814D2">
              <w:rPr>
                <w:rFonts w:cs="Arial"/>
              </w:rPr>
              <w:t>Review by Information Commissioner*</w:t>
            </w:r>
          </w:p>
        </w:tc>
        <w:tc>
          <w:tcPr>
            <w:tcW w:w="1985" w:type="dxa"/>
          </w:tcPr>
          <w:p w14:paraId="55D9995D" w14:textId="77777777" w:rsidR="009103CC" w:rsidRPr="001814D2" w:rsidRDefault="009103CC" w:rsidP="002718DF">
            <w:pPr>
              <w:pStyle w:val="Tabletext"/>
              <w:rPr>
                <w:rFonts w:cs="Arial"/>
              </w:rPr>
            </w:pPr>
            <w:r w:rsidRPr="001814D2">
              <w:rPr>
                <w:rFonts w:cs="Arial"/>
              </w:rPr>
              <w:t>0</w:t>
            </w:r>
          </w:p>
        </w:tc>
        <w:tc>
          <w:tcPr>
            <w:tcW w:w="2040" w:type="dxa"/>
          </w:tcPr>
          <w:p w14:paraId="17DD75B4" w14:textId="77777777" w:rsidR="009103CC" w:rsidRPr="001814D2" w:rsidRDefault="009103CC" w:rsidP="002718DF">
            <w:pPr>
              <w:pStyle w:val="Tabletext"/>
              <w:rPr>
                <w:rFonts w:cs="Arial"/>
              </w:rPr>
            </w:pPr>
            <w:r w:rsidRPr="001814D2">
              <w:rPr>
                <w:rFonts w:cs="Arial"/>
              </w:rPr>
              <w:t>0</w:t>
            </w:r>
          </w:p>
        </w:tc>
      </w:tr>
      <w:tr w:rsidR="009103CC" w:rsidRPr="001814D2" w14:paraId="12928E51" w14:textId="77777777" w:rsidTr="002718DF">
        <w:tc>
          <w:tcPr>
            <w:tcW w:w="5211" w:type="dxa"/>
          </w:tcPr>
          <w:p w14:paraId="67975ED2" w14:textId="77777777" w:rsidR="009103CC" w:rsidRPr="001814D2" w:rsidRDefault="009103CC" w:rsidP="002718DF">
            <w:pPr>
              <w:pStyle w:val="Tabletext"/>
              <w:rPr>
                <w:rFonts w:cs="Arial"/>
              </w:rPr>
            </w:pPr>
            <w:r w:rsidRPr="001814D2">
              <w:rPr>
                <w:rFonts w:cs="Arial"/>
              </w:rPr>
              <w:t>Internal review following recommendation under Section 93 of the Act</w:t>
            </w:r>
          </w:p>
        </w:tc>
        <w:tc>
          <w:tcPr>
            <w:tcW w:w="1985" w:type="dxa"/>
          </w:tcPr>
          <w:p w14:paraId="351D932E" w14:textId="77777777" w:rsidR="009103CC" w:rsidRPr="001814D2" w:rsidRDefault="009103CC" w:rsidP="002718DF">
            <w:pPr>
              <w:pStyle w:val="Tabletext"/>
              <w:rPr>
                <w:rFonts w:cs="Arial"/>
              </w:rPr>
            </w:pPr>
            <w:r w:rsidRPr="001814D2">
              <w:rPr>
                <w:rFonts w:cs="Arial"/>
              </w:rPr>
              <w:t>0</w:t>
            </w:r>
          </w:p>
        </w:tc>
        <w:tc>
          <w:tcPr>
            <w:tcW w:w="2040" w:type="dxa"/>
          </w:tcPr>
          <w:p w14:paraId="4AA40CF9" w14:textId="77777777" w:rsidR="009103CC" w:rsidRPr="001814D2" w:rsidRDefault="009103CC" w:rsidP="002718DF">
            <w:pPr>
              <w:pStyle w:val="Tabletext"/>
              <w:rPr>
                <w:rFonts w:cs="Arial"/>
              </w:rPr>
            </w:pPr>
            <w:r w:rsidRPr="001814D2">
              <w:rPr>
                <w:rFonts w:cs="Arial"/>
              </w:rPr>
              <w:t>0</w:t>
            </w:r>
          </w:p>
        </w:tc>
      </w:tr>
      <w:tr w:rsidR="009103CC" w:rsidRPr="001814D2" w14:paraId="12B68B3B" w14:textId="77777777" w:rsidTr="002718DF">
        <w:tc>
          <w:tcPr>
            <w:tcW w:w="5211" w:type="dxa"/>
          </w:tcPr>
          <w:p w14:paraId="1B6A7572" w14:textId="77777777" w:rsidR="009103CC" w:rsidRPr="001814D2" w:rsidRDefault="009103CC" w:rsidP="002718DF">
            <w:pPr>
              <w:pStyle w:val="Tabletext"/>
              <w:rPr>
                <w:rFonts w:cs="Arial"/>
              </w:rPr>
            </w:pPr>
            <w:r w:rsidRPr="001814D2">
              <w:rPr>
                <w:rFonts w:cs="Arial"/>
              </w:rPr>
              <w:t>Review by ADT</w:t>
            </w:r>
          </w:p>
        </w:tc>
        <w:tc>
          <w:tcPr>
            <w:tcW w:w="1985" w:type="dxa"/>
          </w:tcPr>
          <w:p w14:paraId="5E285CD8" w14:textId="77777777" w:rsidR="009103CC" w:rsidRPr="001814D2" w:rsidRDefault="009103CC" w:rsidP="002718DF">
            <w:pPr>
              <w:pStyle w:val="Tabletext"/>
              <w:rPr>
                <w:rFonts w:cs="Arial"/>
              </w:rPr>
            </w:pPr>
            <w:r w:rsidRPr="001814D2">
              <w:rPr>
                <w:rFonts w:cs="Arial"/>
              </w:rPr>
              <w:t>0</w:t>
            </w:r>
          </w:p>
        </w:tc>
        <w:tc>
          <w:tcPr>
            <w:tcW w:w="2040" w:type="dxa"/>
          </w:tcPr>
          <w:p w14:paraId="4D7EC0C8" w14:textId="77777777" w:rsidR="009103CC" w:rsidRPr="001814D2" w:rsidRDefault="009103CC" w:rsidP="002718DF">
            <w:pPr>
              <w:pStyle w:val="Tabletext"/>
              <w:rPr>
                <w:rFonts w:cs="Arial"/>
              </w:rPr>
            </w:pPr>
            <w:r w:rsidRPr="001814D2">
              <w:rPr>
                <w:rFonts w:cs="Arial"/>
              </w:rPr>
              <w:t>0</w:t>
            </w:r>
          </w:p>
        </w:tc>
      </w:tr>
      <w:tr w:rsidR="009103CC" w:rsidRPr="001814D2" w14:paraId="50C1743A" w14:textId="77777777" w:rsidTr="002718DF">
        <w:tc>
          <w:tcPr>
            <w:tcW w:w="5211" w:type="dxa"/>
          </w:tcPr>
          <w:p w14:paraId="0008105B" w14:textId="77777777" w:rsidR="009103CC" w:rsidRPr="001814D2" w:rsidRDefault="009103CC" w:rsidP="002718DF">
            <w:pPr>
              <w:pStyle w:val="Tabletext"/>
              <w:rPr>
                <w:rFonts w:cs="Arial"/>
              </w:rPr>
            </w:pPr>
            <w:r w:rsidRPr="001814D2">
              <w:rPr>
                <w:rFonts w:cs="Arial"/>
              </w:rPr>
              <w:t>Total</w:t>
            </w:r>
          </w:p>
        </w:tc>
        <w:tc>
          <w:tcPr>
            <w:tcW w:w="1985" w:type="dxa"/>
          </w:tcPr>
          <w:p w14:paraId="50683632" w14:textId="77777777" w:rsidR="009103CC" w:rsidRPr="001814D2" w:rsidRDefault="009103CC" w:rsidP="002718DF">
            <w:pPr>
              <w:pStyle w:val="Tabletext"/>
              <w:rPr>
                <w:rFonts w:cs="Arial"/>
              </w:rPr>
            </w:pPr>
            <w:r w:rsidRPr="001814D2">
              <w:rPr>
                <w:rFonts w:cs="Arial"/>
              </w:rPr>
              <w:t>0</w:t>
            </w:r>
          </w:p>
        </w:tc>
        <w:tc>
          <w:tcPr>
            <w:tcW w:w="2040" w:type="dxa"/>
          </w:tcPr>
          <w:p w14:paraId="48F3EC6A" w14:textId="77777777" w:rsidR="009103CC" w:rsidRPr="001814D2" w:rsidRDefault="009103CC" w:rsidP="002718DF">
            <w:pPr>
              <w:pStyle w:val="Tabletext"/>
              <w:rPr>
                <w:rFonts w:cs="Arial"/>
              </w:rPr>
            </w:pPr>
            <w:r w:rsidRPr="001814D2">
              <w:rPr>
                <w:rFonts w:cs="Arial"/>
              </w:rPr>
              <w:t>0</w:t>
            </w:r>
          </w:p>
        </w:tc>
      </w:tr>
    </w:tbl>
    <w:p w14:paraId="2894A71E" w14:textId="77777777" w:rsidR="009103CC" w:rsidRPr="001814D2" w:rsidRDefault="009103CC" w:rsidP="009103CC">
      <w:pPr>
        <w:pStyle w:val="Tabletext"/>
        <w:rPr>
          <w:rFonts w:cs="Arial"/>
        </w:rPr>
      </w:pPr>
      <w:r w:rsidRPr="001814D2">
        <w:rPr>
          <w:rFonts w:cs="Arial"/>
        </w:rPr>
        <w:t>*The Information Commissioner does not have the authority to vary decisions, but can make recommendations to the original decision-maker. The data in this case indicates that a recommendation to vary or uphold the original decision has been made by the Information Commissioner.</w:t>
      </w:r>
    </w:p>
    <w:p w14:paraId="69DBFFC4" w14:textId="77777777" w:rsidR="009103CC" w:rsidRPr="001814D2" w:rsidRDefault="009103CC" w:rsidP="009103CC">
      <w:pPr>
        <w:pStyle w:val="Tabletext"/>
        <w:rPr>
          <w:rFonts w:cs="Arial"/>
        </w:rPr>
      </w:pPr>
    </w:p>
    <w:p w14:paraId="37EFE230" w14:textId="77777777" w:rsidR="009103CC" w:rsidRPr="00F61169" w:rsidRDefault="009103CC" w:rsidP="009103CC">
      <w:pPr>
        <w:pStyle w:val="ARheading5"/>
      </w:pPr>
      <w:r w:rsidRPr="00F61169">
        <w:t>Table H:  Applications for review under Part 5 of the Act (by type of applicant)</w:t>
      </w:r>
    </w:p>
    <w:tbl>
      <w:tblPr>
        <w:tblStyle w:val="TableGrid"/>
        <w:tblW w:w="0" w:type="auto"/>
        <w:tblLook w:val="0620" w:firstRow="1" w:lastRow="0" w:firstColumn="0" w:lastColumn="0" w:noHBand="1" w:noVBand="1"/>
        <w:tblCaption w:val="Table H:  Applications for review under Part 5 of the Act (by type of applicant)"/>
        <w:tblDescription w:val="This table indicates the number of applications for review under Part 5 of the Act by two different types of applicant."/>
      </w:tblPr>
      <w:tblGrid>
        <w:gridCol w:w="4529"/>
        <w:gridCol w:w="4531"/>
      </w:tblGrid>
      <w:tr w:rsidR="009103CC" w:rsidRPr="001814D2" w14:paraId="4147D071" w14:textId="77777777" w:rsidTr="002718DF">
        <w:trPr>
          <w:tblHeader/>
        </w:trPr>
        <w:tc>
          <w:tcPr>
            <w:tcW w:w="4618" w:type="dxa"/>
          </w:tcPr>
          <w:p w14:paraId="08C51911" w14:textId="77777777" w:rsidR="009103CC" w:rsidRPr="001814D2" w:rsidRDefault="009103CC" w:rsidP="002718DF">
            <w:pPr>
              <w:pStyle w:val="Tabletext"/>
              <w:rPr>
                <w:rFonts w:cs="Arial"/>
                <w:b/>
              </w:rPr>
            </w:pPr>
            <w:r w:rsidRPr="001814D2">
              <w:rPr>
                <w:rFonts w:cs="Arial"/>
                <w:b/>
              </w:rPr>
              <w:t>Type of applicant</w:t>
            </w:r>
          </w:p>
        </w:tc>
        <w:tc>
          <w:tcPr>
            <w:tcW w:w="4618" w:type="dxa"/>
          </w:tcPr>
          <w:p w14:paraId="0C5F5B8C" w14:textId="77777777" w:rsidR="009103CC" w:rsidRPr="001814D2" w:rsidRDefault="009103CC" w:rsidP="002718DF">
            <w:pPr>
              <w:pStyle w:val="Tabletext"/>
              <w:rPr>
                <w:rFonts w:cs="Arial"/>
              </w:rPr>
            </w:pPr>
            <w:r w:rsidRPr="001814D2">
              <w:rPr>
                <w:rStyle w:val="Bold"/>
                <w:rFonts w:cs="Arial"/>
              </w:rPr>
              <w:t>Number of applications under review</w:t>
            </w:r>
          </w:p>
        </w:tc>
      </w:tr>
      <w:tr w:rsidR="009103CC" w:rsidRPr="001814D2" w14:paraId="076501FD" w14:textId="77777777" w:rsidTr="002718DF">
        <w:tc>
          <w:tcPr>
            <w:tcW w:w="4618" w:type="dxa"/>
          </w:tcPr>
          <w:p w14:paraId="7B145CEF" w14:textId="77777777" w:rsidR="009103CC" w:rsidRPr="001814D2" w:rsidRDefault="009103CC" w:rsidP="002718DF">
            <w:pPr>
              <w:pStyle w:val="Tabletext"/>
              <w:rPr>
                <w:rFonts w:cs="Arial"/>
              </w:rPr>
            </w:pPr>
            <w:r w:rsidRPr="001814D2">
              <w:rPr>
                <w:rFonts w:cs="Arial"/>
              </w:rPr>
              <w:t>Application by access applicants</w:t>
            </w:r>
          </w:p>
        </w:tc>
        <w:tc>
          <w:tcPr>
            <w:tcW w:w="4618" w:type="dxa"/>
          </w:tcPr>
          <w:p w14:paraId="573E2D84" w14:textId="77777777" w:rsidR="009103CC" w:rsidRPr="001814D2" w:rsidRDefault="009103CC" w:rsidP="002718DF">
            <w:pPr>
              <w:pStyle w:val="Tabletext"/>
              <w:rPr>
                <w:rFonts w:cs="Arial"/>
              </w:rPr>
            </w:pPr>
            <w:r w:rsidRPr="001814D2">
              <w:rPr>
                <w:rFonts w:cs="Arial"/>
              </w:rPr>
              <w:t>0</w:t>
            </w:r>
          </w:p>
        </w:tc>
      </w:tr>
      <w:tr w:rsidR="009103CC" w:rsidRPr="001814D2" w14:paraId="5503CD08" w14:textId="77777777" w:rsidTr="002718DF">
        <w:tc>
          <w:tcPr>
            <w:tcW w:w="4618" w:type="dxa"/>
          </w:tcPr>
          <w:p w14:paraId="490A0301" w14:textId="77777777" w:rsidR="009103CC" w:rsidRPr="001814D2" w:rsidRDefault="009103CC" w:rsidP="002718DF">
            <w:pPr>
              <w:pStyle w:val="Tabletext"/>
              <w:rPr>
                <w:rFonts w:cs="Arial"/>
              </w:rPr>
            </w:pPr>
            <w:r w:rsidRPr="001814D2">
              <w:rPr>
                <w:rFonts w:cs="Arial"/>
              </w:rPr>
              <w:t>Applications by persons to whom information the subject of access application relates (see Section 54 of the Act)</w:t>
            </w:r>
          </w:p>
        </w:tc>
        <w:tc>
          <w:tcPr>
            <w:tcW w:w="4618" w:type="dxa"/>
          </w:tcPr>
          <w:p w14:paraId="20220AC4" w14:textId="77777777" w:rsidR="009103CC" w:rsidRPr="001814D2" w:rsidRDefault="009103CC" w:rsidP="002718DF">
            <w:pPr>
              <w:pStyle w:val="Tabletext"/>
              <w:rPr>
                <w:rFonts w:cs="Arial"/>
              </w:rPr>
            </w:pPr>
            <w:r w:rsidRPr="001814D2">
              <w:rPr>
                <w:rFonts w:cs="Arial"/>
              </w:rPr>
              <w:t>0</w:t>
            </w:r>
          </w:p>
        </w:tc>
      </w:tr>
    </w:tbl>
    <w:p w14:paraId="0DDD7EDB" w14:textId="77777777" w:rsidR="009103CC" w:rsidRPr="001814D2" w:rsidRDefault="009103CC" w:rsidP="009103CC">
      <w:pPr>
        <w:pStyle w:val="Tabletext"/>
      </w:pPr>
    </w:p>
    <w:p w14:paraId="05584DF6" w14:textId="77777777" w:rsidR="009103CC" w:rsidRPr="001814D2" w:rsidRDefault="009103CC" w:rsidP="009103CC">
      <w:pPr>
        <w:pStyle w:val="ARheading3"/>
      </w:pPr>
      <w:r w:rsidRPr="001814D2">
        <w:t>Cyber security</w:t>
      </w:r>
    </w:p>
    <w:p w14:paraId="27B384E6" w14:textId="77777777" w:rsidR="009103CC" w:rsidRPr="001814D2" w:rsidRDefault="009103CC" w:rsidP="009103CC">
      <w:pPr>
        <w:pStyle w:val="ARheading4"/>
      </w:pPr>
      <w:r w:rsidRPr="001814D2">
        <w:t>Cyber Security Annual Attestation Statement for the 2020–21 Financial Year for the Art Gallery of New South Wales</w:t>
      </w:r>
    </w:p>
    <w:p w14:paraId="2CFE3DAD" w14:textId="77777777" w:rsidR="009103CC" w:rsidRPr="001814D2" w:rsidRDefault="009103CC" w:rsidP="009103CC">
      <w:pPr>
        <w:pStyle w:val="ARbody"/>
      </w:pPr>
      <w:r w:rsidRPr="001814D2">
        <w:t xml:space="preserve">I, Michael Brand, am of the opinion that the Art Gallery of New South Wales has managed cyber-security risks in a manner consistent with the Mandatory Requirements set out in the </w:t>
      </w:r>
      <w:r w:rsidRPr="001814D2">
        <w:lastRenderedPageBreak/>
        <w:t>NSW Government Cyber Security Policy.</w:t>
      </w:r>
    </w:p>
    <w:p w14:paraId="3090F2AF" w14:textId="77777777" w:rsidR="009103CC" w:rsidRPr="001814D2" w:rsidRDefault="009103CC" w:rsidP="009103CC">
      <w:pPr>
        <w:pStyle w:val="ARbody"/>
      </w:pPr>
      <w:r w:rsidRPr="001814D2">
        <w:t>Risks to the information and systems of the Art Gallery of New South Wales have been assessed and are managed.</w:t>
      </w:r>
    </w:p>
    <w:p w14:paraId="43BAFF70" w14:textId="77777777" w:rsidR="009103CC" w:rsidRPr="001814D2" w:rsidRDefault="009103CC" w:rsidP="009103CC">
      <w:pPr>
        <w:pStyle w:val="ARbody"/>
      </w:pPr>
      <w:r w:rsidRPr="001814D2">
        <w:t>Governance is in place to manage the cyber-security maturity and initiatives of the Art Gallery of New South Wales.</w:t>
      </w:r>
    </w:p>
    <w:p w14:paraId="77E639AF" w14:textId="77777777" w:rsidR="009103CC" w:rsidRPr="001814D2" w:rsidRDefault="009103CC" w:rsidP="009103CC">
      <w:pPr>
        <w:pStyle w:val="ARbody"/>
      </w:pPr>
      <w:r w:rsidRPr="001814D2">
        <w:t>Dr Michael Brand</w:t>
      </w:r>
      <w:r>
        <w:br/>
      </w:r>
      <w:r w:rsidRPr="001814D2">
        <w:t>Director, Art Gallery of New South Wales</w:t>
      </w:r>
    </w:p>
    <w:p w14:paraId="563FF226" w14:textId="77777777" w:rsidR="009103CC" w:rsidRPr="001814D2" w:rsidRDefault="009103CC" w:rsidP="009103CC">
      <w:pPr>
        <w:pStyle w:val="ARbody"/>
      </w:pPr>
      <w:r w:rsidRPr="001814D2">
        <w:t>15 October 2021</w:t>
      </w:r>
    </w:p>
    <w:p w14:paraId="6E397425" w14:textId="77777777" w:rsidR="009103CC" w:rsidRPr="001814D2" w:rsidRDefault="009103CC" w:rsidP="009103CC">
      <w:pPr>
        <w:pStyle w:val="ARheading3"/>
      </w:pPr>
      <w:r w:rsidRPr="001814D2">
        <w:t>Internal audit and risk management</w:t>
      </w:r>
    </w:p>
    <w:p w14:paraId="2D298F34" w14:textId="77777777" w:rsidR="009103CC" w:rsidRPr="001814D2" w:rsidRDefault="009103CC" w:rsidP="009103CC">
      <w:pPr>
        <w:pStyle w:val="ARheading4"/>
      </w:pPr>
      <w:r w:rsidRPr="001814D2">
        <w:t xml:space="preserve">Attestation Statement for the 2020–21 Financial Year for the Art Gallery of NSW </w:t>
      </w:r>
    </w:p>
    <w:p w14:paraId="2E6776C3" w14:textId="77777777" w:rsidR="009103CC" w:rsidRPr="001814D2" w:rsidRDefault="009103CC" w:rsidP="009103CC">
      <w:pPr>
        <w:pStyle w:val="ARbody"/>
      </w:pPr>
      <w:r w:rsidRPr="001814D2">
        <w:t xml:space="preserve">I, Michael Brand, am of the opinion that the Art Gallery of New South Wales has internal audit and risk-management processes in operation that are compliant with the seven (7) core requirements set out in the </w:t>
      </w:r>
      <w:r w:rsidRPr="001814D2">
        <w:rPr>
          <w:i/>
          <w:iCs/>
        </w:rPr>
        <w:t>Internal Audit and Risk Management Policy for the General Government Sector</w:t>
      </w:r>
      <w:r w:rsidRPr="001814D2">
        <w:t>, specifically:</w:t>
      </w:r>
    </w:p>
    <w:p w14:paraId="5243EB82" w14:textId="77777777" w:rsidR="009103CC" w:rsidRPr="001814D2" w:rsidRDefault="009103CC" w:rsidP="009103CC">
      <w:pPr>
        <w:pStyle w:val="ARbody"/>
        <w:rPr>
          <w:i/>
          <w:iCs/>
        </w:rPr>
      </w:pPr>
      <w:r w:rsidRPr="001814D2">
        <w:rPr>
          <w:b/>
          <w:bCs/>
        </w:rPr>
        <w:t>Core requirements:</w:t>
      </w:r>
      <w:r w:rsidRPr="001814D2">
        <w:t xml:space="preserve"> </w:t>
      </w:r>
      <w:r w:rsidRPr="001814D2">
        <w:rPr>
          <w:i/>
          <w:iCs/>
        </w:rPr>
        <w:t>For each requirement, please specify whether compliant, non-compliant, or in transition</w:t>
      </w:r>
    </w:p>
    <w:p w14:paraId="12AEBDCF" w14:textId="77777777" w:rsidR="009103CC" w:rsidRPr="001814D2" w:rsidRDefault="009103CC" w:rsidP="009103CC">
      <w:pPr>
        <w:pStyle w:val="ARheading5"/>
      </w:pPr>
      <w:r w:rsidRPr="001814D2">
        <w:t>Risk Management Framework</w:t>
      </w:r>
    </w:p>
    <w:p w14:paraId="54B47109" w14:textId="77777777" w:rsidR="009103CC" w:rsidRPr="001814D2" w:rsidRDefault="009103CC" w:rsidP="009103CC">
      <w:pPr>
        <w:pStyle w:val="ARbody"/>
      </w:pPr>
      <w:r w:rsidRPr="001814D2">
        <w:t>1.1</w:t>
      </w:r>
      <w:r w:rsidRPr="001814D2">
        <w:tab/>
        <w:t xml:space="preserve">The Director head is ultimately responsible and accountable for risk management in the Gallery: </w:t>
      </w:r>
      <w:r w:rsidRPr="001814D2">
        <w:rPr>
          <w:i/>
          <w:iCs/>
        </w:rPr>
        <w:t>Compliant</w:t>
      </w:r>
    </w:p>
    <w:p w14:paraId="29614102" w14:textId="77777777" w:rsidR="009103CC" w:rsidRPr="00264D03" w:rsidRDefault="009103CC" w:rsidP="009103CC">
      <w:pPr>
        <w:pStyle w:val="ARbody"/>
      </w:pPr>
      <w:r w:rsidRPr="001814D2">
        <w:t>1.2</w:t>
      </w:r>
      <w:r w:rsidRPr="001814D2">
        <w:tab/>
        <w:t xml:space="preserve"> A risk management framework that is appropriate to the Gallery has been established and maintained and the framework is consistent with AS/NZS ISO31000:2009: </w:t>
      </w:r>
      <w:r w:rsidRPr="001814D2">
        <w:rPr>
          <w:i/>
          <w:iCs/>
        </w:rPr>
        <w:t>Compliant</w:t>
      </w:r>
    </w:p>
    <w:p w14:paraId="1307C24B" w14:textId="77777777" w:rsidR="009103CC" w:rsidRPr="001814D2" w:rsidRDefault="009103CC" w:rsidP="009103CC">
      <w:pPr>
        <w:pStyle w:val="ARheading5"/>
      </w:pPr>
      <w:r w:rsidRPr="001814D2">
        <w:t>Internal Audit Function</w:t>
      </w:r>
    </w:p>
    <w:p w14:paraId="2BB5858C" w14:textId="77777777" w:rsidR="009103CC" w:rsidRPr="001814D2" w:rsidRDefault="009103CC" w:rsidP="009103CC">
      <w:pPr>
        <w:pStyle w:val="ARbody"/>
      </w:pPr>
      <w:r w:rsidRPr="001814D2">
        <w:t xml:space="preserve">2.1 </w:t>
      </w:r>
      <w:r w:rsidRPr="001814D2">
        <w:tab/>
        <w:t xml:space="preserve">An internal audit function has been established and maintained: </w:t>
      </w:r>
      <w:r w:rsidRPr="001814D2">
        <w:rPr>
          <w:i/>
          <w:iCs/>
        </w:rPr>
        <w:t>Compliant</w:t>
      </w:r>
    </w:p>
    <w:p w14:paraId="6DD11E94" w14:textId="77777777" w:rsidR="009103CC" w:rsidRPr="001814D2" w:rsidRDefault="009103CC" w:rsidP="009103CC">
      <w:pPr>
        <w:pStyle w:val="ARbody"/>
      </w:pPr>
      <w:r w:rsidRPr="001814D2">
        <w:t xml:space="preserve">2.2 </w:t>
      </w:r>
      <w:r w:rsidRPr="001814D2">
        <w:tab/>
        <w:t xml:space="preserve">The operation of the internal audit function is consistent with the International standards for the Professional Practice of Internal Auditing: </w:t>
      </w:r>
      <w:r w:rsidRPr="001814D2">
        <w:rPr>
          <w:i/>
          <w:iCs/>
        </w:rPr>
        <w:t>Compliant</w:t>
      </w:r>
    </w:p>
    <w:p w14:paraId="0A8F01FD" w14:textId="77777777" w:rsidR="009103CC" w:rsidRPr="001814D2" w:rsidRDefault="009103CC" w:rsidP="009103CC">
      <w:pPr>
        <w:pStyle w:val="ARbody"/>
      </w:pPr>
      <w:r w:rsidRPr="001814D2">
        <w:t xml:space="preserve">2.3 </w:t>
      </w:r>
      <w:r w:rsidRPr="001814D2">
        <w:tab/>
        <w:t xml:space="preserve">The Gallery has an Internal Audit Charter that is consistent with the content of the ‘model charter’: </w:t>
      </w:r>
      <w:r w:rsidRPr="001814D2">
        <w:rPr>
          <w:i/>
          <w:iCs/>
        </w:rPr>
        <w:t>Compliant</w:t>
      </w:r>
    </w:p>
    <w:p w14:paraId="2B4C01E1" w14:textId="77777777" w:rsidR="009103CC" w:rsidRPr="001814D2" w:rsidRDefault="009103CC" w:rsidP="009103CC">
      <w:pPr>
        <w:pStyle w:val="ARheading5"/>
      </w:pPr>
      <w:r w:rsidRPr="001814D2">
        <w:lastRenderedPageBreak/>
        <w:t>Audit and Risk Committee</w:t>
      </w:r>
    </w:p>
    <w:p w14:paraId="1DF0ECB5" w14:textId="77777777" w:rsidR="009103CC" w:rsidRPr="001814D2" w:rsidRDefault="009103CC" w:rsidP="009103CC">
      <w:pPr>
        <w:pStyle w:val="ARbody"/>
      </w:pPr>
      <w:r w:rsidRPr="001814D2">
        <w:t xml:space="preserve">3.1 </w:t>
      </w:r>
      <w:r w:rsidRPr="001814D2">
        <w:tab/>
        <w:t xml:space="preserve">An independent Audit and Risk Committee has been established which has oversights and provides advice and guidance to the Director on the Gallery’s governance processes, risk management and control frameworks and its external accountability obligations: </w:t>
      </w:r>
      <w:r w:rsidRPr="001814D2">
        <w:rPr>
          <w:i/>
          <w:iCs/>
        </w:rPr>
        <w:t>Compliant</w:t>
      </w:r>
    </w:p>
    <w:p w14:paraId="3EB598AC" w14:textId="77777777" w:rsidR="009103CC" w:rsidRPr="001814D2" w:rsidRDefault="009103CC" w:rsidP="009103CC">
      <w:pPr>
        <w:pStyle w:val="ARbody"/>
      </w:pPr>
      <w:r w:rsidRPr="001814D2">
        <w:t xml:space="preserve">3.2 </w:t>
      </w:r>
      <w:r w:rsidRPr="001814D2">
        <w:tab/>
        <w:t xml:space="preserve">The Audit and Risk Committee has a Charter that is consistent with the content of the ‘model charter’: </w:t>
      </w:r>
      <w:r w:rsidRPr="001814D2">
        <w:rPr>
          <w:i/>
          <w:iCs/>
        </w:rPr>
        <w:t>Compliant</w:t>
      </w:r>
    </w:p>
    <w:p w14:paraId="57AECBCF" w14:textId="77777777" w:rsidR="009103CC" w:rsidRPr="001814D2" w:rsidRDefault="009103CC" w:rsidP="009103CC">
      <w:pPr>
        <w:pStyle w:val="ARheading5"/>
      </w:pPr>
      <w:r w:rsidRPr="001814D2">
        <w:t>Membership</w:t>
      </w:r>
    </w:p>
    <w:p w14:paraId="67CDAF6B" w14:textId="77777777" w:rsidR="009103CC" w:rsidRPr="001814D2" w:rsidRDefault="009103CC" w:rsidP="009103CC">
      <w:pPr>
        <w:pStyle w:val="ARbody"/>
      </w:pPr>
      <w:r w:rsidRPr="001814D2">
        <w:t>The chair and members of the Audit and Risk Committee are:</w:t>
      </w:r>
    </w:p>
    <w:p w14:paraId="58CF994D" w14:textId="77777777" w:rsidR="009103CC" w:rsidRPr="001814D2" w:rsidRDefault="009103CC" w:rsidP="009103CC">
      <w:pPr>
        <w:pStyle w:val="Listitemasbody"/>
      </w:pPr>
      <w:r w:rsidRPr="001814D2">
        <w:t>Chair: Ms Sally Herman appointed to the Committee (3 April 2019 – 2 April 2022)</w:t>
      </w:r>
    </w:p>
    <w:p w14:paraId="2F38FB5C" w14:textId="77777777" w:rsidR="009103CC" w:rsidRPr="001814D2" w:rsidRDefault="009103CC" w:rsidP="009103CC">
      <w:pPr>
        <w:pStyle w:val="Listitemasbody"/>
      </w:pPr>
      <w:r w:rsidRPr="001814D2">
        <w:t>Member: Mr Miles Bastick appointed to the Committee (8 August 2013 – 24 May 2021)</w:t>
      </w:r>
    </w:p>
    <w:p w14:paraId="380FD0D7" w14:textId="77777777" w:rsidR="009103CC" w:rsidRPr="001814D2" w:rsidRDefault="009103CC" w:rsidP="009103CC">
      <w:pPr>
        <w:pStyle w:val="Listitemasbody"/>
      </w:pPr>
      <w:r w:rsidRPr="001814D2">
        <w:t>Member: Mr John Borghetti appointed to the Committee (3 April 2019 – 2 April 2022)</w:t>
      </w:r>
    </w:p>
    <w:p w14:paraId="51CB8878" w14:textId="77777777" w:rsidR="009103CC" w:rsidRPr="001814D2" w:rsidRDefault="009103CC" w:rsidP="009103CC">
      <w:pPr>
        <w:pStyle w:val="Listitemasbody"/>
      </w:pPr>
      <w:r w:rsidRPr="001814D2">
        <w:t>Member: Ms Catherine Brenner appointed to the Committee (19 November 2018 – 18 November 2021)</w:t>
      </w:r>
    </w:p>
    <w:p w14:paraId="083F3E8F" w14:textId="77777777" w:rsidR="009103CC" w:rsidRPr="001814D2" w:rsidRDefault="009103CC" w:rsidP="009103CC">
      <w:pPr>
        <w:pStyle w:val="Listitemasbody"/>
      </w:pPr>
      <w:r w:rsidRPr="001814D2">
        <w:t>Member: Prof S Bruce Dowton appointed to the Committee (8 February 2016 – 7 February 2022)</w:t>
      </w:r>
    </w:p>
    <w:p w14:paraId="7D4FBB0E" w14:textId="77777777" w:rsidR="009103CC" w:rsidRPr="001814D2" w:rsidRDefault="009103CC" w:rsidP="009103CC">
      <w:pPr>
        <w:pStyle w:val="Listitemasbody"/>
      </w:pPr>
      <w:r w:rsidRPr="001814D2">
        <w:t>Member: Mr Ross Gavin appointed to the Committee (9 May 2013 – 22 March 2021)</w:t>
      </w:r>
    </w:p>
    <w:p w14:paraId="76C7F062" w14:textId="77777777" w:rsidR="009103CC" w:rsidRPr="001814D2" w:rsidRDefault="009103CC" w:rsidP="009103CC">
      <w:pPr>
        <w:pStyle w:val="Listitemasbody"/>
      </w:pPr>
      <w:r w:rsidRPr="001814D2">
        <w:t>Member: Dr Mark Nelson appointed to the Committee (19 October 2016 – 8 October 2021)</w:t>
      </w:r>
    </w:p>
    <w:p w14:paraId="6F5DD9CF" w14:textId="77777777" w:rsidR="009103CC" w:rsidRPr="001814D2" w:rsidRDefault="009103CC" w:rsidP="009103CC">
      <w:pPr>
        <w:pStyle w:val="ARbody"/>
      </w:pPr>
      <w:r w:rsidRPr="001814D2">
        <w:t>Dr Michael Brand</w:t>
      </w:r>
      <w:r w:rsidRPr="001814D2">
        <w:br/>
        <w:t>Director, Art Gallery of New South Wales</w:t>
      </w:r>
    </w:p>
    <w:p w14:paraId="7E79BDED" w14:textId="77777777" w:rsidR="009103CC" w:rsidRPr="001814D2" w:rsidRDefault="009103CC" w:rsidP="009103CC">
      <w:pPr>
        <w:pStyle w:val="ARbody"/>
        <w:rPr>
          <w:rFonts w:cs="Preston"/>
        </w:rPr>
      </w:pPr>
      <w:r w:rsidRPr="001814D2">
        <w:rPr>
          <w:rFonts w:cs="Preston"/>
        </w:rPr>
        <w:t>15 October 2021</w:t>
      </w:r>
    </w:p>
    <w:p w14:paraId="1F782450" w14:textId="77777777" w:rsidR="009103CC" w:rsidRPr="001814D2" w:rsidRDefault="009103CC" w:rsidP="009103CC">
      <w:pPr>
        <w:pStyle w:val="ARheading3"/>
      </w:pPr>
      <w:r w:rsidRPr="001814D2">
        <w:t>Facilities management</w:t>
      </w:r>
    </w:p>
    <w:p w14:paraId="5F15C43D" w14:textId="77777777" w:rsidR="009103CC" w:rsidRPr="001814D2" w:rsidRDefault="009103CC" w:rsidP="009103CC">
      <w:pPr>
        <w:pStyle w:val="ARbody"/>
      </w:pPr>
      <w:r w:rsidRPr="001814D2">
        <w:t>The Art Gallery is committed to the effective management of assets in meeting service delivery and strategic priorities. In line with the Asset Management Policy for the NSW Public Sector, TPP19-07, the Art Gallery’s policy framework includes a robust Asset Management Framework identifying key immediate and overarching asset management objectives. The Asset Management Framework is underpinned by a whole-of-gallery governance structure, overseen by the Board of Trustees via its Finance, Audit and Risk sub-committee.</w:t>
      </w:r>
    </w:p>
    <w:p w14:paraId="61163452" w14:textId="77777777" w:rsidR="009103CC" w:rsidRPr="001814D2" w:rsidRDefault="009103CC" w:rsidP="009103CC">
      <w:pPr>
        <w:pStyle w:val="ARbody"/>
      </w:pPr>
      <w:r w:rsidRPr="001814D2">
        <w:t xml:space="preserve">The Art Gallery’s maintenance and minor works programs continued throughout the reporting </w:t>
      </w:r>
      <w:r w:rsidRPr="001814D2">
        <w:lastRenderedPageBreak/>
        <w:t xml:space="preserve">period ensuring the Art Gallery’s assets remain functional, sustainable and compliant. </w:t>
      </w:r>
    </w:p>
    <w:p w14:paraId="2BE217AA" w14:textId="77777777" w:rsidR="009103CC" w:rsidRPr="001814D2" w:rsidRDefault="009103CC" w:rsidP="009103CC">
      <w:pPr>
        <w:pStyle w:val="ARbody"/>
      </w:pPr>
      <w:r w:rsidRPr="001814D2">
        <w:t>During the reporting period, the Art Gallery undertook a range of capital projects within the existing building, aimed at supporting organisational growth toward the completion of the Sydney Modern Project. See ‘Campus’ section for further detail.</w:t>
      </w:r>
    </w:p>
    <w:p w14:paraId="1BB2A17D" w14:textId="77777777" w:rsidR="009103CC" w:rsidRPr="001814D2" w:rsidRDefault="009103CC" w:rsidP="009103CC">
      <w:pPr>
        <w:pStyle w:val="ARheading4"/>
      </w:pPr>
      <w:r w:rsidRPr="001814D2">
        <w:t>Resource management</w:t>
      </w:r>
    </w:p>
    <w:p w14:paraId="2EE9EBE3" w14:textId="77777777" w:rsidR="009103CC" w:rsidRPr="001814D2" w:rsidRDefault="009103CC" w:rsidP="009103CC">
      <w:pPr>
        <w:pStyle w:val="ARheading5"/>
      </w:pPr>
      <w:r w:rsidRPr="001814D2">
        <w:t>Sustainability</w:t>
      </w:r>
    </w:p>
    <w:p w14:paraId="5F0B3523" w14:textId="77777777" w:rsidR="009103CC" w:rsidRPr="001814D2" w:rsidRDefault="009103CC" w:rsidP="009103CC">
      <w:pPr>
        <w:pStyle w:val="ARbody"/>
      </w:pPr>
      <w:r w:rsidRPr="001814D2">
        <w:t>The Art Gallery continues to identify, develop and implement sustainability initiatives across all building assets to coincide with the opening of the Sydney Modern Project, aligning the sustainability approaches across the expanded campus and broader precinct.</w:t>
      </w:r>
    </w:p>
    <w:p w14:paraId="4C02591B" w14:textId="77777777" w:rsidR="009103CC" w:rsidRPr="001814D2" w:rsidRDefault="009103CC" w:rsidP="009103CC">
      <w:pPr>
        <w:pStyle w:val="ARheading5"/>
      </w:pPr>
      <w:r w:rsidRPr="001814D2">
        <w:t>Electricity</w:t>
      </w:r>
    </w:p>
    <w:p w14:paraId="11212F09" w14:textId="77777777" w:rsidR="009103CC" w:rsidRPr="001814D2" w:rsidRDefault="009103CC" w:rsidP="009103CC">
      <w:pPr>
        <w:pStyle w:val="ARbody"/>
      </w:pPr>
      <w:r w:rsidRPr="001814D2">
        <w:t>Average daily electricity consumption at the Art Gallery’s Domain site during the 2020–21 financial year was 12 629 kilowatt hours. This represents a 1% reduction in daily usage compared to 2019–20.</w:t>
      </w:r>
    </w:p>
    <w:p w14:paraId="41163806" w14:textId="77777777" w:rsidR="009103CC" w:rsidRPr="001814D2" w:rsidRDefault="009103CC" w:rsidP="009103CC">
      <w:pPr>
        <w:pStyle w:val="ARheading5"/>
      </w:pPr>
      <w:r w:rsidRPr="001814D2">
        <w:t>Gas</w:t>
      </w:r>
    </w:p>
    <w:p w14:paraId="0C700A29" w14:textId="77777777" w:rsidR="009103CC" w:rsidRPr="001814D2" w:rsidRDefault="009103CC" w:rsidP="009103CC">
      <w:pPr>
        <w:pStyle w:val="ARbody"/>
      </w:pPr>
      <w:r w:rsidRPr="001814D2">
        <w:t xml:space="preserve">The average daily gas consumption at the Art Gallery's Domain site during the 2020–21 financial year was 82 gigajoules. This represents a 4% reduction in daily usage compared to 2019–20. </w:t>
      </w:r>
    </w:p>
    <w:p w14:paraId="4142816A" w14:textId="77777777" w:rsidR="009103CC" w:rsidRPr="001814D2" w:rsidRDefault="009103CC" w:rsidP="009103CC">
      <w:pPr>
        <w:pStyle w:val="ARheading5"/>
      </w:pPr>
      <w:r w:rsidRPr="001814D2">
        <w:t>Water</w:t>
      </w:r>
    </w:p>
    <w:p w14:paraId="2F6B9407" w14:textId="77777777" w:rsidR="009103CC" w:rsidRPr="001814D2" w:rsidRDefault="009103CC" w:rsidP="009103CC">
      <w:pPr>
        <w:pStyle w:val="ARbody"/>
      </w:pPr>
      <w:r w:rsidRPr="001814D2">
        <w:t>The average daily water consumption at the Art Gallery's Domain site during the 2020–21 financial year was 73.5 kilolitres. This is a 2% reduction in daily usage compared to 2019–20.</w:t>
      </w:r>
    </w:p>
    <w:p w14:paraId="4D1AA62F" w14:textId="77777777" w:rsidR="009103CC" w:rsidRPr="001814D2" w:rsidRDefault="009103CC" w:rsidP="009103CC">
      <w:pPr>
        <w:pStyle w:val="ARheading5"/>
      </w:pPr>
      <w:r w:rsidRPr="001814D2">
        <w:t>Waste reduction</w:t>
      </w:r>
    </w:p>
    <w:p w14:paraId="12664A85" w14:textId="77777777" w:rsidR="009103CC" w:rsidRPr="001814D2" w:rsidRDefault="009103CC" w:rsidP="009103CC">
      <w:pPr>
        <w:pStyle w:val="ARbody"/>
      </w:pPr>
      <w:r w:rsidRPr="001814D2">
        <w:t>The Art Gallery continues to focus on sustainable approaches to managing waste across all sites and business activities. The Art Gallery’s focus is identification of waste streams, and improving collection and processing of waste in order to reduce our impact on the environment. The Art Gallery’s Sustainability Working Group is committed to building on existing waste management initiatives to harness and refine the Art Gallery’s environmental, social and cultural impact to deliver greater benefits to the community.</w:t>
      </w:r>
    </w:p>
    <w:p w14:paraId="794583F0" w14:textId="77777777" w:rsidR="009103CC" w:rsidRPr="001814D2" w:rsidRDefault="009103CC" w:rsidP="009103CC">
      <w:pPr>
        <w:pStyle w:val="ARheading4"/>
      </w:pPr>
      <w:r w:rsidRPr="001814D2">
        <w:t>Motor vehicle fleet</w:t>
      </w:r>
    </w:p>
    <w:p w14:paraId="7AE39428" w14:textId="77777777" w:rsidR="009103CC" w:rsidRPr="001814D2" w:rsidRDefault="009103CC" w:rsidP="009103CC">
      <w:pPr>
        <w:pStyle w:val="ARbody"/>
      </w:pPr>
      <w:r w:rsidRPr="001814D2">
        <w:t>The Art Gallery’s small permanent motor vehicle fleet is maintained and acquired in accordance with the NSW Government fleet management policy, including purchase of fuel-</w:t>
      </w:r>
      <w:r w:rsidRPr="001814D2">
        <w:lastRenderedPageBreak/>
        <w:t xml:space="preserve">efficient cars. </w:t>
      </w:r>
    </w:p>
    <w:p w14:paraId="07B7BA0C" w14:textId="77777777" w:rsidR="009103CC" w:rsidRPr="001814D2" w:rsidRDefault="009103CC" w:rsidP="009103CC">
      <w:pPr>
        <w:pStyle w:val="ARbody"/>
      </w:pPr>
      <w:r w:rsidRPr="001814D2">
        <w:t>The Art Gallery’s fleet comprises seven motor vehicles, including one sedan and one van which run on E10 petrol; one utility truck, one 2-tonne truck and one 4.5-tonne truck, which use diesel; and a Prius Hybrid wagon. The Art Gallery overachieves the NSW Government policy requirement that 5% of passenger fleets be hybrid, plug-in hybrid electric or electric vehicles.</w:t>
      </w:r>
    </w:p>
    <w:p w14:paraId="2E69070C" w14:textId="77777777" w:rsidR="009103CC" w:rsidRPr="001814D2" w:rsidRDefault="009103CC" w:rsidP="009103CC">
      <w:pPr>
        <w:pStyle w:val="ARbody"/>
      </w:pPr>
      <w:r w:rsidRPr="001814D2">
        <w:t xml:space="preserve">The Art Gallery’s motor vehicle procedures provide guidelines for environmentally sound driving. All employees using petrol-powered fleet vehicles are directed to refuel with E10 unleaded petrol. </w:t>
      </w:r>
    </w:p>
    <w:p w14:paraId="0E40230A" w14:textId="77777777" w:rsidR="009103CC" w:rsidRPr="001814D2" w:rsidRDefault="009103CC" w:rsidP="009103CC">
      <w:pPr>
        <w:pStyle w:val="ARheading4"/>
      </w:pPr>
      <w:r w:rsidRPr="001814D2">
        <w:t xml:space="preserve">Resource Recovery Initiative </w:t>
      </w:r>
    </w:p>
    <w:p w14:paraId="4D8CFBA4" w14:textId="77777777" w:rsidR="009103CC" w:rsidRPr="001814D2" w:rsidRDefault="009103CC" w:rsidP="009103CC">
      <w:pPr>
        <w:pStyle w:val="ARbody"/>
      </w:pPr>
      <w:r w:rsidRPr="001814D2">
        <w:t xml:space="preserve">Designated recycling bins are located on the loading dock for recycling all paper products, including flattened cardboard boxes. Paper and recycling bins are situated in office areas throughout the Art Gallery, which are collected regularly by cleaning staff and then sent to a compliant recycling centre. Bins are provided in the loading dock to ensure that glass and plastic can be appropriately recycled. </w:t>
      </w:r>
    </w:p>
    <w:p w14:paraId="349EA795" w14:textId="77777777" w:rsidR="009103CC" w:rsidRPr="001814D2" w:rsidRDefault="009103CC" w:rsidP="009103CC">
      <w:pPr>
        <w:pStyle w:val="ARbody"/>
      </w:pPr>
      <w:r w:rsidRPr="001814D2">
        <w:t xml:space="preserve">Wherever possible, construction and display materials are reused for exhibitions. All excess steel, wire and workshop building materials, plant materials and hazardous materials are sent to an external supplier. The Conservation Department recycles its paper and cardboard off-cuts internally and disposes of needles and syringes appropriately. </w:t>
      </w:r>
    </w:p>
    <w:p w14:paraId="458FD346" w14:textId="77777777" w:rsidR="009103CC" w:rsidRPr="001814D2" w:rsidRDefault="009103CC" w:rsidP="009103CC">
      <w:pPr>
        <w:pStyle w:val="ARbody"/>
      </w:pPr>
      <w:r w:rsidRPr="001814D2">
        <w:t xml:space="preserve">Expired lights are collected and disposed of appropriately. Used toner cartridges, drums and waste collectors are sent for recycling.  </w:t>
      </w:r>
    </w:p>
    <w:p w14:paraId="39A8FD98" w14:textId="77777777" w:rsidR="009103CC" w:rsidRPr="001814D2" w:rsidRDefault="009103CC" w:rsidP="009103CC">
      <w:pPr>
        <w:pStyle w:val="ARbody"/>
      </w:pPr>
      <w:r w:rsidRPr="001814D2">
        <w:t>The Art Gallery donates suitable items from unclaimed lost property to homeless shelters and charities.</w:t>
      </w:r>
    </w:p>
    <w:p w14:paraId="23158FE7" w14:textId="77777777" w:rsidR="009103CC" w:rsidRPr="001814D2" w:rsidRDefault="009103CC" w:rsidP="009103CC">
      <w:pPr>
        <w:pStyle w:val="ARbody"/>
      </w:pPr>
      <w:r w:rsidRPr="001814D2">
        <w:t>The Research Library and Gallery Shop continue to reuse cardboard boxes and bubble wrap for packaging inter-library loans and filling visitor and e-commerce merchandise orders.</w:t>
      </w:r>
    </w:p>
    <w:p w14:paraId="0D3E6909" w14:textId="77777777" w:rsidR="009103CC" w:rsidRPr="001814D2" w:rsidRDefault="009103CC" w:rsidP="009103CC">
      <w:pPr>
        <w:pStyle w:val="ARbody"/>
        <w:rPr>
          <w:rFonts w:cs="Preston"/>
        </w:rPr>
      </w:pPr>
      <w:r w:rsidRPr="001814D2">
        <w:rPr>
          <w:rFonts w:cs="Preston"/>
        </w:rPr>
        <w:t xml:space="preserve">All food and beverage services are handled by our contracted catering company. </w:t>
      </w:r>
    </w:p>
    <w:p w14:paraId="2E504920" w14:textId="77777777" w:rsidR="009103CC" w:rsidRPr="001814D2" w:rsidRDefault="009103CC" w:rsidP="009103CC">
      <w:pPr>
        <w:pStyle w:val="Tabletext"/>
      </w:pPr>
      <w:r w:rsidRPr="001814D2">
        <w:br w:type="page"/>
      </w:r>
    </w:p>
    <w:p w14:paraId="591215B5" w14:textId="77777777" w:rsidR="009103CC" w:rsidRPr="00546E9D" w:rsidRDefault="009103CC" w:rsidP="009103CC">
      <w:pPr>
        <w:pStyle w:val="ARheading2"/>
      </w:pPr>
      <w:bookmarkStart w:id="19" w:name="_Toc90982537"/>
      <w:bookmarkStart w:id="20" w:name="_Toc92897866"/>
      <w:r w:rsidRPr="00546E9D">
        <w:lastRenderedPageBreak/>
        <w:t>Financial reports</w:t>
      </w:r>
      <w:bookmarkEnd w:id="19"/>
      <w:bookmarkEnd w:id="20"/>
    </w:p>
    <w:p w14:paraId="25D7ACBA" w14:textId="77777777" w:rsidR="009103CC" w:rsidRPr="001814D2" w:rsidRDefault="009103CC" w:rsidP="009103CC">
      <w:pPr>
        <w:pStyle w:val="ARheading3"/>
      </w:pPr>
      <w:r w:rsidRPr="001814D2">
        <w:t>Financial performance</w:t>
      </w:r>
    </w:p>
    <w:p w14:paraId="5E0A2B98" w14:textId="77777777" w:rsidR="009103CC" w:rsidRPr="001814D2" w:rsidRDefault="009103CC" w:rsidP="009103CC">
      <w:pPr>
        <w:pStyle w:val="ARbody"/>
      </w:pPr>
      <w:r w:rsidRPr="001814D2">
        <w:t>Facing ongoing operational uncertainties and obstacles caused by the global pandemic, the Art Gallery of New South Wales strived in 2020–21 to minimise the financial impact of COVID-19 while providing audiences with a rich offering of art experiences.</w:t>
      </w:r>
    </w:p>
    <w:p w14:paraId="47373FC2" w14:textId="77777777" w:rsidR="009103CC" w:rsidRPr="001814D2" w:rsidRDefault="009103CC" w:rsidP="009103CC">
      <w:pPr>
        <w:pStyle w:val="ARbody"/>
      </w:pPr>
      <w:r w:rsidRPr="001814D2">
        <w:t xml:space="preserve">The Art Gallery was able to hold a strong financial position despite the ongoing impacts of the pandemic. Total comprehensive income for 2020–21 was $156.5 million which, excluding land asset revaluation of $1.5 million, produced a net result of $155 million ($80.2 million in 2019–20), as reported in the Art Gallery’s Statement of Comprehensive Income (SOCI), which is prepared in accordance with Australian Accounting Standards. </w:t>
      </w:r>
    </w:p>
    <w:p w14:paraId="2D95D1A4" w14:textId="77777777" w:rsidR="009103CC" w:rsidRPr="001814D2" w:rsidRDefault="009103CC" w:rsidP="009103CC">
      <w:pPr>
        <w:pStyle w:val="ARbody"/>
      </w:pPr>
      <w:r w:rsidRPr="001814D2">
        <w:t>The net result includes non-operating specific funds such as capital grants from government, and donations of artworks and cash. These funds have already been expended either to acquire assets such as works of art or on specific capital projects. Consequently, these funds are not available for operating purposes. Excluding these funds, the Gallery delivered a break-even operating result for the year.</w:t>
      </w:r>
    </w:p>
    <w:p w14:paraId="67984416" w14:textId="77777777" w:rsidR="009103CC" w:rsidRPr="001814D2" w:rsidRDefault="009103CC" w:rsidP="009103CC">
      <w:pPr>
        <w:pStyle w:val="ARbody"/>
      </w:pPr>
      <w:r w:rsidRPr="001814D2">
        <w:t>During the financial year there were nearly 667</w:t>
      </w:r>
      <w:r>
        <w:t>,</w:t>
      </w:r>
      <w:r w:rsidRPr="001814D2">
        <w:t>000 visitors to the Art Gallery, Brett Whiteley Studio and touring exhibitions. Visitation continued to be affected by COVID-19 capacity restrictions, international and state border closures, and the Art Gallery’s temporary closure to the public from 25 June 2021.</w:t>
      </w:r>
    </w:p>
    <w:p w14:paraId="5778F315" w14:textId="77777777" w:rsidR="009103CC" w:rsidRPr="001814D2" w:rsidRDefault="009103CC" w:rsidP="009103CC">
      <w:pPr>
        <w:pStyle w:val="ARbody"/>
      </w:pPr>
      <w:r w:rsidRPr="001814D2">
        <w:t xml:space="preserve">Revenue from commercial activities continued to be critical to the Art Gallery’s overall financial performance. Major exhibitions including </w:t>
      </w:r>
      <w:r w:rsidRPr="001814D2">
        <w:rPr>
          <w:i/>
          <w:iCs/>
        </w:rPr>
        <w:t>Streeton</w:t>
      </w:r>
      <w:r w:rsidRPr="001814D2">
        <w:t xml:space="preserve"> and the </w:t>
      </w:r>
      <w:r w:rsidRPr="001814D2">
        <w:rPr>
          <w:i/>
          <w:iCs/>
        </w:rPr>
        <w:t>Archibald, Wynne and Sulman Prizes 2020</w:t>
      </w:r>
      <w:r w:rsidRPr="001814D2">
        <w:t xml:space="preserve"> provided considerable flow-on benefits to commercial revenues, including venue hire and retail. Unfortunately, the Art Gallery’s temporary closure in late June required the premature closure of </w:t>
      </w:r>
      <w:r w:rsidRPr="001814D2">
        <w:rPr>
          <w:i/>
          <w:iCs/>
        </w:rPr>
        <w:t>Hilma af Klint: The Secret Paintings</w:t>
      </w:r>
      <w:r w:rsidRPr="001814D2">
        <w:t xml:space="preserve"> and </w:t>
      </w:r>
      <w:r w:rsidRPr="001814D2">
        <w:rPr>
          <w:i/>
          <w:iCs/>
        </w:rPr>
        <w:t>Archibald, Wynne and Sulman Prizes 2021</w:t>
      </w:r>
      <w:r w:rsidRPr="001814D2">
        <w:t>, which had been enjoying strong success.</w:t>
      </w:r>
    </w:p>
    <w:p w14:paraId="56124678" w14:textId="77777777" w:rsidR="009103CC" w:rsidRPr="001814D2" w:rsidRDefault="009103CC" w:rsidP="009103CC">
      <w:pPr>
        <w:pStyle w:val="ARbody"/>
      </w:pPr>
      <w:r w:rsidRPr="001814D2">
        <w:t>The Art Gallery continues to benefit from high levels of in-kind donations of works of art, with $9.8 million worth given in 2020–21 ($5.8 million in 2019–20). Cash donations for art acquisitions and toward the Sydney Modern Project amounted to $29.9 million ($42.9 million in 2019–20).</w:t>
      </w:r>
    </w:p>
    <w:p w14:paraId="16263B45" w14:textId="77777777" w:rsidR="009103CC" w:rsidRPr="001814D2" w:rsidRDefault="009103CC" w:rsidP="009103CC">
      <w:pPr>
        <w:pStyle w:val="ARbody"/>
      </w:pPr>
      <w:r w:rsidRPr="001814D2">
        <w:t>The Art Gallery holds investments with New South Wales Treasury Corporation (T-Corp), the financial markets partner of NSW Government public sector entities. As at 30 June 2021, the Art Gallery held $159.8 million of funds in cash and under investment ($123.9 million in 2019–20). Interest and investment income of $8.4 million was generated in 2020–21 ($890,000 in 2019–20).</w:t>
      </w:r>
    </w:p>
    <w:p w14:paraId="53BC7917" w14:textId="77777777" w:rsidR="009103CC" w:rsidRPr="001814D2" w:rsidRDefault="009103CC" w:rsidP="009103CC">
      <w:pPr>
        <w:pStyle w:val="ARbody"/>
      </w:pPr>
      <w:r w:rsidRPr="001814D2">
        <w:lastRenderedPageBreak/>
        <w:t>The Art Gallery undertook a revaluation of its land asset during the year. This was completed in March 2021 in accordance with Treasury’s guidelines and resulted in a net increase of $1.5 million to the asset value.</w:t>
      </w:r>
    </w:p>
    <w:p w14:paraId="007E5BF3" w14:textId="77777777" w:rsidR="009103CC" w:rsidRPr="001814D2" w:rsidRDefault="009103CC" w:rsidP="009103CC">
      <w:pPr>
        <w:pStyle w:val="ARbody"/>
      </w:pPr>
      <w:r w:rsidRPr="001814D2">
        <w:t>Construction work for the Sydney Modern Project continued throughout 2020–21, progressing according to schedule under the project management of Infrastructure NSW (INSW), although in July 2021 all construction sites in Greater Sydney were closed for two weeks as part of COVID-19 health orders. Impact on the completion date continues to be monitored. Funding of $244 million for the project is secured from Restart, the NSW Government’s dedicated infrastructure fund, with the balance of $100 million raised through private philanthropy by the Art Gallery. As at 30 June 2021, 100% of the private funding has been committed with over 80% of it being received.</w:t>
      </w:r>
    </w:p>
    <w:p w14:paraId="0A9A1EAC" w14:textId="77777777" w:rsidR="009103CC" w:rsidRPr="001814D2" w:rsidRDefault="009103CC" w:rsidP="009103CC">
      <w:pPr>
        <w:pStyle w:val="ARbody"/>
      </w:pPr>
      <w:r w:rsidRPr="001814D2">
        <w:t>The Art Gallery is devoted to delivering an inspiring and diverse art program as it moves into 2021–22, and will remain agile to evolving operating conditions resulting from the ongoing pandemic.</w:t>
      </w:r>
    </w:p>
    <w:p w14:paraId="55975219" w14:textId="77777777" w:rsidR="009103CC" w:rsidRPr="001814D2" w:rsidRDefault="009103CC" w:rsidP="009103CC">
      <w:pPr>
        <w:pStyle w:val="ARheading3"/>
      </w:pPr>
      <w:r w:rsidRPr="001814D2">
        <w:t>Year in brief</w:t>
      </w:r>
    </w:p>
    <w:p w14:paraId="29357578" w14:textId="77777777" w:rsidR="009103CC" w:rsidRDefault="009103CC" w:rsidP="009103CC">
      <w:pPr>
        <w:pStyle w:val="ARheading4"/>
      </w:pPr>
      <w:r w:rsidRPr="001814D2">
        <w:t>Revenue 2020–21</w:t>
      </w:r>
    </w:p>
    <w:p w14:paraId="02E83971" w14:textId="77777777" w:rsidR="009103CC" w:rsidRPr="001814D2" w:rsidRDefault="009103CC" w:rsidP="009103CC">
      <w:pPr>
        <w:pStyle w:val="ARbody"/>
      </w:pPr>
      <w:r w:rsidRPr="001814D2">
        <w:t>$206.4 million</w:t>
      </w:r>
    </w:p>
    <w:p w14:paraId="21F0440C" w14:textId="77777777" w:rsidR="009103CC" w:rsidRPr="001814D2" w:rsidRDefault="009103CC" w:rsidP="009103CC">
      <w:pPr>
        <w:pStyle w:val="ARlistparagraph"/>
      </w:pPr>
      <w:r w:rsidRPr="001814D2">
        <w:t>Government capital funding $113.1 million (55%)</w:t>
      </w:r>
    </w:p>
    <w:p w14:paraId="196F4958" w14:textId="77777777" w:rsidR="009103CC" w:rsidRPr="001814D2" w:rsidRDefault="009103CC" w:rsidP="009103CC">
      <w:pPr>
        <w:pStyle w:val="ARlistparagraph"/>
      </w:pPr>
      <w:r w:rsidRPr="001814D2">
        <w:t>Bequests, special funds, grants and other contributions $43.6 million (21%)</w:t>
      </w:r>
    </w:p>
    <w:p w14:paraId="5D5D7C4D" w14:textId="77777777" w:rsidR="009103CC" w:rsidRPr="001814D2" w:rsidRDefault="009103CC" w:rsidP="009103CC">
      <w:pPr>
        <w:pStyle w:val="ARlistparagraph"/>
      </w:pPr>
      <w:r w:rsidRPr="001814D2">
        <w:t>Government recurring funding $33 million (16%)</w:t>
      </w:r>
    </w:p>
    <w:p w14:paraId="66766CD0" w14:textId="77777777" w:rsidR="009103CC" w:rsidRPr="001814D2" w:rsidRDefault="009103CC" w:rsidP="009103CC">
      <w:pPr>
        <w:pStyle w:val="ARlistparagraph"/>
      </w:pPr>
      <w:r w:rsidRPr="001814D2">
        <w:t>Other revenue $9.6 million (5%)</w:t>
      </w:r>
    </w:p>
    <w:p w14:paraId="68395568" w14:textId="77777777" w:rsidR="009103CC" w:rsidRPr="001814D2" w:rsidRDefault="009103CC" w:rsidP="009103CC">
      <w:pPr>
        <w:pStyle w:val="ARlistparagraph"/>
      </w:pPr>
      <w:r w:rsidRPr="001814D2">
        <w:t>Rendering of services $4.3 million (2%)</w:t>
      </w:r>
    </w:p>
    <w:p w14:paraId="7A8E5B8E" w14:textId="77777777" w:rsidR="009103CC" w:rsidRPr="001814D2" w:rsidRDefault="009103CC" w:rsidP="009103CC">
      <w:pPr>
        <w:pStyle w:val="ARlistparagraph"/>
      </w:pPr>
      <w:r w:rsidRPr="001814D2">
        <w:t>Sales of goods and services $2.8 million (1%)</w:t>
      </w:r>
    </w:p>
    <w:p w14:paraId="425B628D" w14:textId="77777777" w:rsidR="009103CC" w:rsidRDefault="009103CC" w:rsidP="009103CC">
      <w:pPr>
        <w:pStyle w:val="ARheading4"/>
      </w:pPr>
      <w:r w:rsidRPr="001814D2">
        <w:t>Expenditure 2020–21</w:t>
      </w:r>
    </w:p>
    <w:p w14:paraId="46E0A0C0" w14:textId="77777777" w:rsidR="009103CC" w:rsidRPr="001814D2" w:rsidRDefault="009103CC" w:rsidP="009103CC">
      <w:pPr>
        <w:pStyle w:val="ARbody"/>
      </w:pPr>
      <w:r w:rsidRPr="001814D2">
        <w:t>$51.5 million</w:t>
      </w:r>
    </w:p>
    <w:p w14:paraId="3283C450" w14:textId="77777777" w:rsidR="009103CC" w:rsidRPr="001814D2" w:rsidRDefault="009103CC" w:rsidP="009103CC">
      <w:pPr>
        <w:pStyle w:val="ARlistparagraph"/>
      </w:pPr>
      <w:r w:rsidRPr="001814D2">
        <w:t>Personnel services $27.1 million (53%)</w:t>
      </w:r>
    </w:p>
    <w:p w14:paraId="040EED62" w14:textId="77777777" w:rsidR="009103CC" w:rsidRPr="001814D2" w:rsidRDefault="009103CC" w:rsidP="009103CC">
      <w:pPr>
        <w:pStyle w:val="ARlistparagraph"/>
      </w:pPr>
      <w:r w:rsidRPr="001814D2">
        <w:t>Other operating costs $20.9 million (41%)</w:t>
      </w:r>
    </w:p>
    <w:p w14:paraId="4BB5848B" w14:textId="77777777" w:rsidR="009103CC" w:rsidRPr="001814D2" w:rsidRDefault="009103CC" w:rsidP="009103CC">
      <w:pPr>
        <w:pStyle w:val="ARlistparagraph"/>
      </w:pPr>
      <w:r w:rsidRPr="001814D2">
        <w:t>Depreciation $3.5 million (7%)</w:t>
      </w:r>
    </w:p>
    <w:p w14:paraId="0DAAAE54" w14:textId="77777777" w:rsidR="009103CC" w:rsidRDefault="009103CC" w:rsidP="009103CC">
      <w:pPr>
        <w:pStyle w:val="ARheading4"/>
      </w:pPr>
      <w:r w:rsidRPr="001814D2">
        <w:lastRenderedPageBreak/>
        <w:t>Net assets as at 30 June 2021</w:t>
      </w:r>
    </w:p>
    <w:p w14:paraId="67EE7A38" w14:textId="77777777" w:rsidR="009103CC" w:rsidRPr="001814D2" w:rsidRDefault="009103CC" w:rsidP="009103CC">
      <w:pPr>
        <w:pStyle w:val="ARbody"/>
      </w:pPr>
      <w:r w:rsidRPr="001814D2">
        <w:t xml:space="preserve">$2.385 billion </w:t>
      </w:r>
    </w:p>
    <w:p w14:paraId="42D3AEE7" w14:textId="77777777" w:rsidR="009103CC" w:rsidRPr="001814D2" w:rsidRDefault="009103CC" w:rsidP="009103CC">
      <w:pPr>
        <w:pStyle w:val="ARlistparagraph"/>
      </w:pPr>
      <w:r w:rsidRPr="001814D2">
        <w:t>Collection $1.804 billion (76%)</w:t>
      </w:r>
    </w:p>
    <w:p w14:paraId="4DE9B7B9" w14:textId="77777777" w:rsidR="009103CC" w:rsidRPr="001814D2" w:rsidRDefault="009103CC" w:rsidP="009103CC">
      <w:pPr>
        <w:pStyle w:val="ARlistparagraph"/>
      </w:pPr>
      <w:r w:rsidRPr="001814D2">
        <w:t>Land and buildings $399.7 million (17%)</w:t>
      </w:r>
    </w:p>
    <w:p w14:paraId="1A3A0BF3" w14:textId="77777777" w:rsidR="009103CC" w:rsidRPr="001814D2" w:rsidRDefault="009103CC" w:rsidP="009103CC">
      <w:pPr>
        <w:pStyle w:val="ARlistparagraph"/>
      </w:pPr>
      <w:r w:rsidRPr="001814D2">
        <w:t>Bequests, special funds and other $177 million (7%)</w:t>
      </w:r>
    </w:p>
    <w:p w14:paraId="3FE937A7" w14:textId="77777777" w:rsidR="009103CC" w:rsidRPr="001814D2" w:rsidRDefault="009103CC" w:rsidP="009103CC">
      <w:pPr>
        <w:pStyle w:val="ARlistparagraph"/>
      </w:pPr>
      <w:r w:rsidRPr="001814D2">
        <w:t>Plant and equipment $3.9 million (0.2%)</w:t>
      </w:r>
    </w:p>
    <w:p w14:paraId="7108DB5B" w14:textId="77777777" w:rsidR="009103CC" w:rsidRPr="001814D2" w:rsidRDefault="009103CC" w:rsidP="009103CC">
      <w:pPr>
        <w:pStyle w:val="ARheading4"/>
        <w:rPr>
          <w:rStyle w:val="Medium"/>
        </w:rPr>
      </w:pPr>
      <w:r w:rsidRPr="001814D2">
        <w:rPr>
          <w:rStyle w:val="Medium"/>
        </w:rPr>
        <w:t>Budget summary 2020–21</w:t>
      </w:r>
    </w:p>
    <w:tbl>
      <w:tblPr>
        <w:tblW w:w="0" w:type="auto"/>
        <w:tblInd w:w="-8"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Caption w:val="Budget summary 2020-21"/>
        <w:tblDescription w:val="This extensive table provides numerous budget lines for the financial years 2016-17 to 2020-21 as well as a five-year total and an annual average. It includes total works of art acquired, total operating expenses, total revenue, net surplus and net assets, among other items."/>
      </w:tblPr>
      <w:tblGrid>
        <w:gridCol w:w="3127"/>
        <w:gridCol w:w="850"/>
        <w:gridCol w:w="850"/>
        <w:gridCol w:w="850"/>
        <w:gridCol w:w="850"/>
        <w:gridCol w:w="850"/>
        <w:gridCol w:w="850"/>
        <w:gridCol w:w="851"/>
      </w:tblGrid>
      <w:tr w:rsidR="009103CC" w:rsidRPr="00AF25C4" w14:paraId="647B8918" w14:textId="77777777" w:rsidTr="002718DF">
        <w:trPr>
          <w:cantSplit/>
          <w:trHeight w:val="170"/>
          <w:tblHeader/>
        </w:trPr>
        <w:tc>
          <w:tcPr>
            <w:tcW w:w="3127" w:type="dxa"/>
            <w:tcMar>
              <w:top w:w="0" w:type="dxa"/>
              <w:left w:w="0" w:type="dxa"/>
              <w:bottom w:w="0" w:type="dxa"/>
              <w:right w:w="0" w:type="dxa"/>
            </w:tcMar>
          </w:tcPr>
          <w:p w14:paraId="7BD41C27" w14:textId="77777777" w:rsidR="009103CC" w:rsidRPr="00AF25C4" w:rsidRDefault="009103CC" w:rsidP="002718DF">
            <w:pPr>
              <w:pStyle w:val="Tabletext"/>
              <w:rPr>
                <w:b/>
                <w:bCs/>
                <w:sz w:val="15"/>
              </w:rPr>
            </w:pPr>
            <w:r w:rsidRPr="00AF25C4">
              <w:rPr>
                <w:b/>
                <w:bCs/>
                <w:sz w:val="15"/>
              </w:rPr>
              <w:t>Budget line</w:t>
            </w:r>
          </w:p>
        </w:tc>
        <w:tc>
          <w:tcPr>
            <w:tcW w:w="850" w:type="dxa"/>
            <w:tcMar>
              <w:top w:w="0" w:type="dxa"/>
              <w:left w:w="0" w:type="dxa"/>
              <w:bottom w:w="0" w:type="dxa"/>
              <w:right w:w="0" w:type="dxa"/>
            </w:tcMar>
          </w:tcPr>
          <w:p w14:paraId="13490C2A" w14:textId="77777777" w:rsidR="009103CC" w:rsidRPr="00AF25C4" w:rsidRDefault="009103CC" w:rsidP="002718DF">
            <w:pPr>
              <w:pStyle w:val="Tabletext"/>
              <w:jc w:val="right"/>
              <w:rPr>
                <w:b/>
                <w:bCs/>
                <w:sz w:val="15"/>
              </w:rPr>
            </w:pPr>
            <w:r w:rsidRPr="00AF25C4">
              <w:rPr>
                <w:b/>
                <w:bCs/>
                <w:sz w:val="15"/>
              </w:rPr>
              <w:t>2016–17</w:t>
            </w:r>
          </w:p>
        </w:tc>
        <w:tc>
          <w:tcPr>
            <w:tcW w:w="850" w:type="dxa"/>
            <w:tcMar>
              <w:top w:w="0" w:type="dxa"/>
              <w:left w:w="0" w:type="dxa"/>
              <w:bottom w:w="0" w:type="dxa"/>
              <w:right w:w="0" w:type="dxa"/>
            </w:tcMar>
          </w:tcPr>
          <w:p w14:paraId="746474CE" w14:textId="77777777" w:rsidR="009103CC" w:rsidRPr="00AF25C4" w:rsidRDefault="009103CC" w:rsidP="002718DF">
            <w:pPr>
              <w:pStyle w:val="Tabletext"/>
              <w:jc w:val="right"/>
              <w:rPr>
                <w:b/>
                <w:bCs/>
                <w:sz w:val="15"/>
              </w:rPr>
            </w:pPr>
            <w:r w:rsidRPr="00AF25C4">
              <w:rPr>
                <w:b/>
                <w:bCs/>
                <w:sz w:val="15"/>
              </w:rPr>
              <w:t>2017–18</w:t>
            </w:r>
          </w:p>
        </w:tc>
        <w:tc>
          <w:tcPr>
            <w:tcW w:w="850" w:type="dxa"/>
            <w:tcMar>
              <w:top w:w="0" w:type="dxa"/>
              <w:left w:w="0" w:type="dxa"/>
              <w:bottom w:w="0" w:type="dxa"/>
              <w:right w:w="0" w:type="dxa"/>
            </w:tcMar>
          </w:tcPr>
          <w:p w14:paraId="4CE202F6" w14:textId="77777777" w:rsidR="009103CC" w:rsidRPr="00AF25C4" w:rsidRDefault="009103CC" w:rsidP="002718DF">
            <w:pPr>
              <w:pStyle w:val="Tabletext"/>
              <w:jc w:val="right"/>
              <w:rPr>
                <w:b/>
                <w:bCs/>
                <w:sz w:val="15"/>
              </w:rPr>
            </w:pPr>
            <w:r w:rsidRPr="00AF25C4">
              <w:rPr>
                <w:b/>
                <w:bCs/>
                <w:sz w:val="15"/>
              </w:rPr>
              <w:t>2018–19</w:t>
            </w:r>
          </w:p>
        </w:tc>
        <w:tc>
          <w:tcPr>
            <w:tcW w:w="850" w:type="dxa"/>
            <w:tcMar>
              <w:top w:w="0" w:type="dxa"/>
              <w:left w:w="0" w:type="dxa"/>
              <w:bottom w:w="0" w:type="dxa"/>
              <w:right w:w="0" w:type="dxa"/>
            </w:tcMar>
          </w:tcPr>
          <w:p w14:paraId="15988896" w14:textId="77777777" w:rsidR="009103CC" w:rsidRPr="00AF25C4" w:rsidRDefault="009103CC" w:rsidP="002718DF">
            <w:pPr>
              <w:pStyle w:val="Tabletext"/>
              <w:jc w:val="right"/>
              <w:rPr>
                <w:b/>
                <w:bCs/>
                <w:sz w:val="15"/>
              </w:rPr>
            </w:pPr>
            <w:r w:rsidRPr="00AF25C4">
              <w:rPr>
                <w:b/>
                <w:bCs/>
                <w:sz w:val="15"/>
              </w:rPr>
              <w:t>2019–20</w:t>
            </w:r>
          </w:p>
        </w:tc>
        <w:tc>
          <w:tcPr>
            <w:tcW w:w="850" w:type="dxa"/>
            <w:tcMar>
              <w:top w:w="0" w:type="dxa"/>
              <w:left w:w="0" w:type="dxa"/>
              <w:bottom w:w="0" w:type="dxa"/>
              <w:right w:w="0" w:type="dxa"/>
            </w:tcMar>
          </w:tcPr>
          <w:p w14:paraId="17BCA794" w14:textId="77777777" w:rsidR="009103CC" w:rsidRPr="00AF25C4" w:rsidRDefault="009103CC" w:rsidP="002718DF">
            <w:pPr>
              <w:pStyle w:val="Tabletext"/>
              <w:jc w:val="right"/>
              <w:rPr>
                <w:b/>
                <w:bCs/>
                <w:sz w:val="15"/>
              </w:rPr>
            </w:pPr>
            <w:r w:rsidRPr="00AF25C4">
              <w:rPr>
                <w:b/>
                <w:bCs/>
                <w:sz w:val="15"/>
              </w:rPr>
              <w:t>2020–21</w:t>
            </w:r>
          </w:p>
        </w:tc>
        <w:tc>
          <w:tcPr>
            <w:tcW w:w="850" w:type="dxa"/>
            <w:tcMar>
              <w:top w:w="0" w:type="dxa"/>
              <w:left w:w="0" w:type="dxa"/>
              <w:bottom w:w="0" w:type="dxa"/>
              <w:right w:w="0" w:type="dxa"/>
            </w:tcMar>
          </w:tcPr>
          <w:p w14:paraId="3B759E60" w14:textId="77777777" w:rsidR="009103CC" w:rsidRPr="00AF25C4" w:rsidRDefault="009103CC" w:rsidP="002718DF">
            <w:pPr>
              <w:pStyle w:val="Tabletext"/>
              <w:jc w:val="right"/>
              <w:rPr>
                <w:b/>
                <w:bCs/>
                <w:sz w:val="15"/>
              </w:rPr>
            </w:pPr>
            <w:r w:rsidRPr="00AF25C4">
              <w:rPr>
                <w:b/>
                <w:bCs/>
                <w:sz w:val="15"/>
              </w:rPr>
              <w:t>5-year total</w:t>
            </w:r>
          </w:p>
        </w:tc>
        <w:tc>
          <w:tcPr>
            <w:tcW w:w="851" w:type="dxa"/>
            <w:tcMar>
              <w:top w:w="0" w:type="dxa"/>
              <w:left w:w="0" w:type="dxa"/>
              <w:bottom w:w="0" w:type="dxa"/>
              <w:right w:w="0" w:type="dxa"/>
            </w:tcMar>
          </w:tcPr>
          <w:p w14:paraId="2A4998E6" w14:textId="77777777" w:rsidR="009103CC" w:rsidRPr="00AF25C4" w:rsidRDefault="009103CC" w:rsidP="002718DF">
            <w:pPr>
              <w:pStyle w:val="Tabletext"/>
              <w:jc w:val="right"/>
              <w:rPr>
                <w:b/>
                <w:bCs/>
                <w:sz w:val="15"/>
              </w:rPr>
            </w:pPr>
            <w:r w:rsidRPr="00AF25C4">
              <w:rPr>
                <w:b/>
                <w:bCs/>
                <w:sz w:val="15"/>
              </w:rPr>
              <w:t>Average p/a</w:t>
            </w:r>
          </w:p>
        </w:tc>
      </w:tr>
      <w:tr w:rsidR="009103CC" w:rsidRPr="001814D2" w14:paraId="504DC52D" w14:textId="77777777" w:rsidTr="002718DF">
        <w:trPr>
          <w:cantSplit/>
          <w:trHeight w:val="170"/>
        </w:trPr>
        <w:tc>
          <w:tcPr>
            <w:tcW w:w="3127" w:type="dxa"/>
            <w:tcMar>
              <w:top w:w="0" w:type="dxa"/>
              <w:left w:w="0" w:type="dxa"/>
              <w:bottom w:w="0" w:type="dxa"/>
              <w:right w:w="0" w:type="dxa"/>
            </w:tcMar>
          </w:tcPr>
          <w:p w14:paraId="724739E1" w14:textId="77777777" w:rsidR="009103CC" w:rsidRPr="00AF25C4" w:rsidRDefault="009103CC" w:rsidP="002718DF">
            <w:pPr>
              <w:pStyle w:val="Tabletext"/>
              <w:rPr>
                <w:sz w:val="15"/>
              </w:rPr>
            </w:pPr>
            <w:r w:rsidRPr="00AF25C4">
              <w:rPr>
                <w:sz w:val="15"/>
              </w:rPr>
              <w:t>Total visitors, including touring/studio (millions)</w:t>
            </w:r>
          </w:p>
        </w:tc>
        <w:tc>
          <w:tcPr>
            <w:tcW w:w="850" w:type="dxa"/>
            <w:tcMar>
              <w:top w:w="0" w:type="dxa"/>
              <w:left w:w="0" w:type="dxa"/>
              <w:bottom w:w="0" w:type="dxa"/>
              <w:right w:w="0" w:type="dxa"/>
            </w:tcMar>
          </w:tcPr>
          <w:p w14:paraId="3184569D" w14:textId="77777777" w:rsidR="009103CC" w:rsidRPr="00AF25C4" w:rsidRDefault="009103CC" w:rsidP="002718DF">
            <w:pPr>
              <w:pStyle w:val="Tabletext"/>
              <w:jc w:val="right"/>
              <w:rPr>
                <w:sz w:val="15"/>
              </w:rPr>
            </w:pPr>
            <w:r w:rsidRPr="00AF25C4">
              <w:rPr>
                <w:sz w:val="15"/>
              </w:rPr>
              <w:t>1.59</w:t>
            </w:r>
          </w:p>
        </w:tc>
        <w:tc>
          <w:tcPr>
            <w:tcW w:w="850" w:type="dxa"/>
            <w:tcMar>
              <w:top w:w="0" w:type="dxa"/>
              <w:left w:w="0" w:type="dxa"/>
              <w:bottom w:w="0" w:type="dxa"/>
              <w:right w:w="0" w:type="dxa"/>
            </w:tcMar>
          </w:tcPr>
          <w:p w14:paraId="3CFB91D6" w14:textId="77777777" w:rsidR="009103CC" w:rsidRPr="00AF25C4" w:rsidRDefault="009103CC" w:rsidP="002718DF">
            <w:pPr>
              <w:pStyle w:val="Tabletext"/>
              <w:jc w:val="right"/>
              <w:rPr>
                <w:sz w:val="15"/>
              </w:rPr>
            </w:pPr>
            <w:r w:rsidRPr="00AF25C4">
              <w:rPr>
                <w:sz w:val="15"/>
              </w:rPr>
              <w:t>1.61</w:t>
            </w:r>
          </w:p>
        </w:tc>
        <w:tc>
          <w:tcPr>
            <w:tcW w:w="850" w:type="dxa"/>
            <w:tcMar>
              <w:top w:w="0" w:type="dxa"/>
              <w:left w:w="0" w:type="dxa"/>
              <w:bottom w:w="0" w:type="dxa"/>
              <w:right w:w="0" w:type="dxa"/>
            </w:tcMar>
          </w:tcPr>
          <w:p w14:paraId="1A169F8D" w14:textId="77777777" w:rsidR="009103CC" w:rsidRPr="00AF25C4" w:rsidRDefault="009103CC" w:rsidP="002718DF">
            <w:pPr>
              <w:pStyle w:val="Tabletext"/>
              <w:jc w:val="right"/>
              <w:rPr>
                <w:sz w:val="15"/>
              </w:rPr>
            </w:pPr>
            <w:r w:rsidRPr="00AF25C4">
              <w:rPr>
                <w:sz w:val="15"/>
              </w:rPr>
              <w:t>1.50</w:t>
            </w:r>
          </w:p>
        </w:tc>
        <w:tc>
          <w:tcPr>
            <w:tcW w:w="850" w:type="dxa"/>
            <w:tcMar>
              <w:top w:w="0" w:type="dxa"/>
              <w:left w:w="0" w:type="dxa"/>
              <w:bottom w:w="0" w:type="dxa"/>
              <w:right w:w="0" w:type="dxa"/>
            </w:tcMar>
          </w:tcPr>
          <w:p w14:paraId="70F3B1C5" w14:textId="77777777" w:rsidR="009103CC" w:rsidRPr="00AF25C4" w:rsidRDefault="009103CC" w:rsidP="002718DF">
            <w:pPr>
              <w:pStyle w:val="Tabletext"/>
              <w:jc w:val="right"/>
              <w:rPr>
                <w:sz w:val="15"/>
              </w:rPr>
            </w:pPr>
            <w:r w:rsidRPr="00AF25C4">
              <w:rPr>
                <w:sz w:val="15"/>
              </w:rPr>
              <w:t>1.00</w:t>
            </w:r>
          </w:p>
        </w:tc>
        <w:tc>
          <w:tcPr>
            <w:tcW w:w="850" w:type="dxa"/>
            <w:tcMar>
              <w:top w:w="0" w:type="dxa"/>
              <w:left w:w="0" w:type="dxa"/>
              <w:bottom w:w="0" w:type="dxa"/>
              <w:right w:w="0" w:type="dxa"/>
            </w:tcMar>
          </w:tcPr>
          <w:p w14:paraId="4FF7D2B1" w14:textId="77777777" w:rsidR="009103CC" w:rsidRPr="00AF25C4" w:rsidRDefault="009103CC" w:rsidP="002718DF">
            <w:pPr>
              <w:pStyle w:val="Tabletext"/>
              <w:jc w:val="right"/>
              <w:rPr>
                <w:sz w:val="15"/>
              </w:rPr>
            </w:pPr>
            <w:r w:rsidRPr="00AF25C4">
              <w:rPr>
                <w:sz w:val="15"/>
              </w:rPr>
              <w:t>0.67</w:t>
            </w:r>
          </w:p>
        </w:tc>
        <w:tc>
          <w:tcPr>
            <w:tcW w:w="850" w:type="dxa"/>
            <w:tcMar>
              <w:top w:w="0" w:type="dxa"/>
              <w:left w:w="0" w:type="dxa"/>
              <w:bottom w:w="0" w:type="dxa"/>
              <w:right w:w="0" w:type="dxa"/>
            </w:tcMar>
          </w:tcPr>
          <w:p w14:paraId="715AC184" w14:textId="77777777" w:rsidR="009103CC" w:rsidRPr="00AF25C4" w:rsidRDefault="009103CC" w:rsidP="002718DF">
            <w:pPr>
              <w:pStyle w:val="Tabletext"/>
              <w:jc w:val="right"/>
              <w:rPr>
                <w:sz w:val="15"/>
              </w:rPr>
            </w:pPr>
            <w:r w:rsidRPr="00AF25C4">
              <w:rPr>
                <w:sz w:val="15"/>
              </w:rPr>
              <w:t>6.38</w:t>
            </w:r>
          </w:p>
        </w:tc>
        <w:tc>
          <w:tcPr>
            <w:tcW w:w="851" w:type="dxa"/>
            <w:tcMar>
              <w:top w:w="0" w:type="dxa"/>
              <w:left w:w="0" w:type="dxa"/>
              <w:bottom w:w="0" w:type="dxa"/>
              <w:right w:w="0" w:type="dxa"/>
            </w:tcMar>
          </w:tcPr>
          <w:p w14:paraId="41BED067" w14:textId="77777777" w:rsidR="009103CC" w:rsidRPr="00AF25C4" w:rsidRDefault="009103CC" w:rsidP="002718DF">
            <w:pPr>
              <w:pStyle w:val="Tabletext"/>
              <w:jc w:val="right"/>
              <w:rPr>
                <w:sz w:val="15"/>
              </w:rPr>
            </w:pPr>
            <w:r w:rsidRPr="00AF25C4">
              <w:rPr>
                <w:sz w:val="15"/>
              </w:rPr>
              <w:t>1.28</w:t>
            </w:r>
          </w:p>
        </w:tc>
      </w:tr>
      <w:tr w:rsidR="009103CC" w:rsidRPr="001814D2" w14:paraId="166FDA2A" w14:textId="77777777" w:rsidTr="002718DF">
        <w:trPr>
          <w:cantSplit/>
          <w:trHeight w:val="170"/>
        </w:trPr>
        <w:tc>
          <w:tcPr>
            <w:tcW w:w="3127" w:type="dxa"/>
            <w:tcMar>
              <w:top w:w="0" w:type="dxa"/>
              <w:left w:w="0" w:type="dxa"/>
              <w:bottom w:w="0" w:type="dxa"/>
              <w:right w:w="0" w:type="dxa"/>
            </w:tcMar>
          </w:tcPr>
          <w:p w14:paraId="52922D4F" w14:textId="77777777" w:rsidR="009103CC" w:rsidRPr="00AF25C4" w:rsidRDefault="009103CC" w:rsidP="002718DF">
            <w:pPr>
              <w:pStyle w:val="Tabletext"/>
              <w:rPr>
                <w:sz w:val="15"/>
              </w:rPr>
            </w:pPr>
            <w:r w:rsidRPr="00AF25C4">
              <w:rPr>
                <w:sz w:val="15"/>
              </w:rPr>
              <w:t>Artworks purchased ($ millions)</w:t>
            </w:r>
          </w:p>
        </w:tc>
        <w:tc>
          <w:tcPr>
            <w:tcW w:w="850" w:type="dxa"/>
            <w:tcMar>
              <w:top w:w="0" w:type="dxa"/>
              <w:left w:w="0" w:type="dxa"/>
              <w:bottom w:w="0" w:type="dxa"/>
              <w:right w:w="0" w:type="dxa"/>
            </w:tcMar>
          </w:tcPr>
          <w:p w14:paraId="4CE100FF" w14:textId="77777777" w:rsidR="009103CC" w:rsidRPr="00AF25C4" w:rsidRDefault="009103CC" w:rsidP="002718DF">
            <w:pPr>
              <w:pStyle w:val="Tabletext"/>
              <w:jc w:val="right"/>
              <w:rPr>
                <w:sz w:val="15"/>
              </w:rPr>
            </w:pPr>
            <w:r w:rsidRPr="00AF25C4">
              <w:rPr>
                <w:sz w:val="15"/>
              </w:rPr>
              <w:t>$4.80</w:t>
            </w:r>
          </w:p>
        </w:tc>
        <w:tc>
          <w:tcPr>
            <w:tcW w:w="850" w:type="dxa"/>
            <w:tcMar>
              <w:top w:w="0" w:type="dxa"/>
              <w:left w:w="0" w:type="dxa"/>
              <w:bottom w:w="0" w:type="dxa"/>
              <w:right w:w="0" w:type="dxa"/>
            </w:tcMar>
          </w:tcPr>
          <w:p w14:paraId="6EF0138C" w14:textId="77777777" w:rsidR="009103CC" w:rsidRPr="00AF25C4" w:rsidRDefault="009103CC" w:rsidP="002718DF">
            <w:pPr>
              <w:pStyle w:val="Tabletext"/>
              <w:jc w:val="right"/>
              <w:rPr>
                <w:sz w:val="15"/>
              </w:rPr>
            </w:pPr>
            <w:r w:rsidRPr="00AF25C4">
              <w:rPr>
                <w:sz w:val="15"/>
              </w:rPr>
              <w:t>$4.50</w:t>
            </w:r>
          </w:p>
        </w:tc>
        <w:tc>
          <w:tcPr>
            <w:tcW w:w="850" w:type="dxa"/>
            <w:tcMar>
              <w:top w:w="0" w:type="dxa"/>
              <w:left w:w="0" w:type="dxa"/>
              <w:bottom w:w="0" w:type="dxa"/>
              <w:right w:w="0" w:type="dxa"/>
            </w:tcMar>
          </w:tcPr>
          <w:p w14:paraId="0B2AC4B1" w14:textId="77777777" w:rsidR="009103CC" w:rsidRPr="00AF25C4" w:rsidRDefault="009103CC" w:rsidP="002718DF">
            <w:pPr>
              <w:pStyle w:val="Tabletext"/>
              <w:jc w:val="right"/>
              <w:rPr>
                <w:sz w:val="15"/>
              </w:rPr>
            </w:pPr>
            <w:r w:rsidRPr="00AF25C4">
              <w:rPr>
                <w:sz w:val="15"/>
              </w:rPr>
              <w:t>$4.15</w:t>
            </w:r>
          </w:p>
        </w:tc>
        <w:tc>
          <w:tcPr>
            <w:tcW w:w="850" w:type="dxa"/>
            <w:tcMar>
              <w:top w:w="0" w:type="dxa"/>
              <w:left w:w="0" w:type="dxa"/>
              <w:bottom w:w="0" w:type="dxa"/>
              <w:right w:w="0" w:type="dxa"/>
            </w:tcMar>
          </w:tcPr>
          <w:p w14:paraId="02C88442" w14:textId="77777777" w:rsidR="009103CC" w:rsidRPr="00AF25C4" w:rsidRDefault="009103CC" w:rsidP="002718DF">
            <w:pPr>
              <w:pStyle w:val="Tabletext"/>
              <w:jc w:val="right"/>
              <w:rPr>
                <w:sz w:val="15"/>
              </w:rPr>
            </w:pPr>
            <w:r w:rsidRPr="00AF25C4">
              <w:rPr>
                <w:sz w:val="15"/>
              </w:rPr>
              <w:t>$7.39</w:t>
            </w:r>
          </w:p>
        </w:tc>
        <w:tc>
          <w:tcPr>
            <w:tcW w:w="850" w:type="dxa"/>
            <w:tcMar>
              <w:top w:w="0" w:type="dxa"/>
              <w:left w:w="0" w:type="dxa"/>
              <w:bottom w:w="0" w:type="dxa"/>
              <w:right w:w="0" w:type="dxa"/>
            </w:tcMar>
          </w:tcPr>
          <w:p w14:paraId="6186962A" w14:textId="77777777" w:rsidR="009103CC" w:rsidRPr="00AF25C4" w:rsidRDefault="009103CC" w:rsidP="002718DF">
            <w:pPr>
              <w:pStyle w:val="Tabletext"/>
              <w:jc w:val="right"/>
              <w:rPr>
                <w:sz w:val="15"/>
              </w:rPr>
            </w:pPr>
            <w:r w:rsidRPr="00AF25C4">
              <w:rPr>
                <w:sz w:val="15"/>
              </w:rPr>
              <w:t>$2.95</w:t>
            </w:r>
          </w:p>
        </w:tc>
        <w:tc>
          <w:tcPr>
            <w:tcW w:w="850" w:type="dxa"/>
            <w:tcMar>
              <w:top w:w="0" w:type="dxa"/>
              <w:left w:w="0" w:type="dxa"/>
              <w:bottom w:w="0" w:type="dxa"/>
              <w:right w:w="0" w:type="dxa"/>
            </w:tcMar>
          </w:tcPr>
          <w:p w14:paraId="033BC053" w14:textId="77777777" w:rsidR="009103CC" w:rsidRPr="00AF25C4" w:rsidRDefault="009103CC" w:rsidP="002718DF">
            <w:pPr>
              <w:pStyle w:val="Tabletext"/>
              <w:jc w:val="right"/>
              <w:rPr>
                <w:sz w:val="15"/>
              </w:rPr>
            </w:pPr>
            <w:r w:rsidRPr="00AF25C4">
              <w:rPr>
                <w:sz w:val="15"/>
              </w:rPr>
              <w:t>$23.79</w:t>
            </w:r>
          </w:p>
        </w:tc>
        <w:tc>
          <w:tcPr>
            <w:tcW w:w="851" w:type="dxa"/>
            <w:tcMar>
              <w:top w:w="0" w:type="dxa"/>
              <w:left w:w="0" w:type="dxa"/>
              <w:bottom w:w="0" w:type="dxa"/>
              <w:right w:w="0" w:type="dxa"/>
            </w:tcMar>
          </w:tcPr>
          <w:p w14:paraId="264DEC52" w14:textId="77777777" w:rsidR="009103CC" w:rsidRPr="00AF25C4" w:rsidRDefault="009103CC" w:rsidP="002718DF">
            <w:pPr>
              <w:pStyle w:val="Tabletext"/>
              <w:jc w:val="right"/>
              <w:rPr>
                <w:sz w:val="15"/>
              </w:rPr>
            </w:pPr>
            <w:r w:rsidRPr="00AF25C4">
              <w:rPr>
                <w:sz w:val="15"/>
              </w:rPr>
              <w:t>$4.76</w:t>
            </w:r>
          </w:p>
        </w:tc>
      </w:tr>
      <w:tr w:rsidR="009103CC" w:rsidRPr="001814D2" w14:paraId="2934AD48" w14:textId="77777777" w:rsidTr="002718DF">
        <w:trPr>
          <w:cantSplit/>
          <w:trHeight w:val="170"/>
        </w:trPr>
        <w:tc>
          <w:tcPr>
            <w:tcW w:w="3127" w:type="dxa"/>
            <w:tcMar>
              <w:top w:w="0" w:type="dxa"/>
              <w:left w:w="0" w:type="dxa"/>
              <w:bottom w:w="0" w:type="dxa"/>
              <w:right w:w="0" w:type="dxa"/>
            </w:tcMar>
          </w:tcPr>
          <w:p w14:paraId="5C11359A" w14:textId="77777777" w:rsidR="009103CC" w:rsidRPr="00AF25C4" w:rsidRDefault="009103CC" w:rsidP="002718DF">
            <w:pPr>
              <w:pStyle w:val="Tabletext"/>
              <w:rPr>
                <w:sz w:val="15"/>
              </w:rPr>
            </w:pPr>
            <w:r w:rsidRPr="00AF25C4">
              <w:rPr>
                <w:sz w:val="15"/>
              </w:rPr>
              <w:t>Donations of artwork ($ millions)</w:t>
            </w:r>
          </w:p>
        </w:tc>
        <w:tc>
          <w:tcPr>
            <w:tcW w:w="850" w:type="dxa"/>
            <w:tcMar>
              <w:top w:w="0" w:type="dxa"/>
              <w:left w:w="0" w:type="dxa"/>
              <w:bottom w:w="0" w:type="dxa"/>
              <w:right w:w="0" w:type="dxa"/>
            </w:tcMar>
          </w:tcPr>
          <w:p w14:paraId="1B424591" w14:textId="77777777" w:rsidR="009103CC" w:rsidRPr="00AF25C4" w:rsidRDefault="009103CC" w:rsidP="002718DF">
            <w:pPr>
              <w:pStyle w:val="Tabletext"/>
              <w:jc w:val="right"/>
              <w:rPr>
                <w:sz w:val="15"/>
              </w:rPr>
            </w:pPr>
            <w:r w:rsidRPr="00AF25C4">
              <w:rPr>
                <w:sz w:val="15"/>
              </w:rPr>
              <w:t>$18.70</w:t>
            </w:r>
          </w:p>
        </w:tc>
        <w:tc>
          <w:tcPr>
            <w:tcW w:w="850" w:type="dxa"/>
            <w:tcMar>
              <w:top w:w="0" w:type="dxa"/>
              <w:left w:w="0" w:type="dxa"/>
              <w:bottom w:w="0" w:type="dxa"/>
              <w:right w:w="0" w:type="dxa"/>
            </w:tcMar>
          </w:tcPr>
          <w:p w14:paraId="58737F60" w14:textId="77777777" w:rsidR="009103CC" w:rsidRPr="00AF25C4" w:rsidRDefault="009103CC" w:rsidP="002718DF">
            <w:pPr>
              <w:pStyle w:val="Tabletext"/>
              <w:jc w:val="right"/>
              <w:rPr>
                <w:sz w:val="15"/>
              </w:rPr>
            </w:pPr>
            <w:r w:rsidRPr="00AF25C4">
              <w:rPr>
                <w:sz w:val="15"/>
              </w:rPr>
              <w:t>$8.70</w:t>
            </w:r>
          </w:p>
        </w:tc>
        <w:tc>
          <w:tcPr>
            <w:tcW w:w="850" w:type="dxa"/>
            <w:tcMar>
              <w:top w:w="0" w:type="dxa"/>
              <w:left w:w="0" w:type="dxa"/>
              <w:bottom w:w="0" w:type="dxa"/>
              <w:right w:w="0" w:type="dxa"/>
            </w:tcMar>
          </w:tcPr>
          <w:p w14:paraId="61EA6C73" w14:textId="77777777" w:rsidR="009103CC" w:rsidRPr="00AF25C4" w:rsidRDefault="009103CC" w:rsidP="002718DF">
            <w:pPr>
              <w:pStyle w:val="Tabletext"/>
              <w:jc w:val="right"/>
              <w:rPr>
                <w:sz w:val="15"/>
              </w:rPr>
            </w:pPr>
            <w:r w:rsidRPr="00AF25C4">
              <w:rPr>
                <w:sz w:val="15"/>
              </w:rPr>
              <w:t>$8.79</w:t>
            </w:r>
          </w:p>
        </w:tc>
        <w:tc>
          <w:tcPr>
            <w:tcW w:w="850" w:type="dxa"/>
            <w:tcMar>
              <w:top w:w="0" w:type="dxa"/>
              <w:left w:w="0" w:type="dxa"/>
              <w:bottom w:w="0" w:type="dxa"/>
              <w:right w:w="0" w:type="dxa"/>
            </w:tcMar>
          </w:tcPr>
          <w:p w14:paraId="794F6B2A" w14:textId="77777777" w:rsidR="009103CC" w:rsidRPr="00AF25C4" w:rsidRDefault="009103CC" w:rsidP="002718DF">
            <w:pPr>
              <w:pStyle w:val="Tabletext"/>
              <w:jc w:val="right"/>
              <w:rPr>
                <w:sz w:val="15"/>
              </w:rPr>
            </w:pPr>
            <w:r w:rsidRPr="00AF25C4">
              <w:rPr>
                <w:sz w:val="15"/>
              </w:rPr>
              <w:t>$5.75</w:t>
            </w:r>
          </w:p>
        </w:tc>
        <w:tc>
          <w:tcPr>
            <w:tcW w:w="850" w:type="dxa"/>
            <w:tcMar>
              <w:top w:w="0" w:type="dxa"/>
              <w:left w:w="0" w:type="dxa"/>
              <w:bottom w:w="0" w:type="dxa"/>
              <w:right w:w="0" w:type="dxa"/>
            </w:tcMar>
          </w:tcPr>
          <w:p w14:paraId="76CF1FF8" w14:textId="77777777" w:rsidR="009103CC" w:rsidRPr="00AF25C4" w:rsidRDefault="009103CC" w:rsidP="002718DF">
            <w:pPr>
              <w:pStyle w:val="Tabletext"/>
              <w:jc w:val="right"/>
              <w:rPr>
                <w:sz w:val="15"/>
              </w:rPr>
            </w:pPr>
            <w:r w:rsidRPr="00AF25C4">
              <w:rPr>
                <w:sz w:val="15"/>
              </w:rPr>
              <w:t>$9.84</w:t>
            </w:r>
          </w:p>
        </w:tc>
        <w:tc>
          <w:tcPr>
            <w:tcW w:w="850" w:type="dxa"/>
            <w:tcMar>
              <w:top w:w="0" w:type="dxa"/>
              <w:left w:w="0" w:type="dxa"/>
              <w:bottom w:w="0" w:type="dxa"/>
              <w:right w:w="0" w:type="dxa"/>
            </w:tcMar>
          </w:tcPr>
          <w:p w14:paraId="030A54B9" w14:textId="77777777" w:rsidR="009103CC" w:rsidRPr="00AF25C4" w:rsidRDefault="009103CC" w:rsidP="002718DF">
            <w:pPr>
              <w:pStyle w:val="Tabletext"/>
              <w:jc w:val="right"/>
              <w:rPr>
                <w:sz w:val="15"/>
              </w:rPr>
            </w:pPr>
            <w:r w:rsidRPr="00AF25C4">
              <w:rPr>
                <w:sz w:val="15"/>
              </w:rPr>
              <w:t>$51.78</w:t>
            </w:r>
          </w:p>
        </w:tc>
        <w:tc>
          <w:tcPr>
            <w:tcW w:w="851" w:type="dxa"/>
            <w:tcMar>
              <w:top w:w="0" w:type="dxa"/>
              <w:left w:w="0" w:type="dxa"/>
              <w:bottom w:w="0" w:type="dxa"/>
              <w:right w:w="0" w:type="dxa"/>
            </w:tcMar>
          </w:tcPr>
          <w:p w14:paraId="3E60F8C7" w14:textId="77777777" w:rsidR="009103CC" w:rsidRPr="00AF25C4" w:rsidRDefault="009103CC" w:rsidP="002718DF">
            <w:pPr>
              <w:pStyle w:val="Tabletext"/>
              <w:jc w:val="right"/>
              <w:rPr>
                <w:sz w:val="15"/>
              </w:rPr>
            </w:pPr>
            <w:r w:rsidRPr="00AF25C4">
              <w:rPr>
                <w:sz w:val="15"/>
              </w:rPr>
              <w:t>$10.36</w:t>
            </w:r>
          </w:p>
        </w:tc>
      </w:tr>
      <w:tr w:rsidR="009103CC" w:rsidRPr="00AF25C4" w14:paraId="3F761794" w14:textId="77777777" w:rsidTr="002718DF">
        <w:trPr>
          <w:cantSplit/>
          <w:trHeight w:val="170"/>
        </w:trPr>
        <w:tc>
          <w:tcPr>
            <w:tcW w:w="3127" w:type="dxa"/>
            <w:tcMar>
              <w:top w:w="0" w:type="dxa"/>
              <w:left w:w="0" w:type="dxa"/>
              <w:bottom w:w="0" w:type="dxa"/>
              <w:right w:w="0" w:type="dxa"/>
            </w:tcMar>
          </w:tcPr>
          <w:p w14:paraId="64E87C78" w14:textId="77777777" w:rsidR="009103CC" w:rsidRPr="00AF25C4" w:rsidRDefault="009103CC" w:rsidP="002718DF">
            <w:pPr>
              <w:pStyle w:val="Tabletext"/>
              <w:rPr>
                <w:b/>
                <w:bCs/>
                <w:sz w:val="15"/>
              </w:rPr>
            </w:pPr>
            <w:r w:rsidRPr="00AF25C4">
              <w:rPr>
                <w:b/>
                <w:bCs/>
                <w:sz w:val="15"/>
              </w:rPr>
              <w:t>Total works of art acquired ($ millions)</w:t>
            </w:r>
          </w:p>
        </w:tc>
        <w:tc>
          <w:tcPr>
            <w:tcW w:w="850" w:type="dxa"/>
            <w:tcMar>
              <w:top w:w="0" w:type="dxa"/>
              <w:left w:w="0" w:type="dxa"/>
              <w:bottom w:w="0" w:type="dxa"/>
              <w:right w:w="0" w:type="dxa"/>
            </w:tcMar>
          </w:tcPr>
          <w:p w14:paraId="45FBF537" w14:textId="77777777" w:rsidR="009103CC" w:rsidRPr="00AF25C4" w:rsidRDefault="009103CC" w:rsidP="002718DF">
            <w:pPr>
              <w:pStyle w:val="Tabletext"/>
              <w:jc w:val="right"/>
              <w:rPr>
                <w:b/>
                <w:bCs/>
                <w:sz w:val="15"/>
              </w:rPr>
            </w:pPr>
            <w:r w:rsidRPr="00AF25C4">
              <w:rPr>
                <w:b/>
                <w:bCs/>
                <w:sz w:val="15"/>
              </w:rPr>
              <w:t>$23.50</w:t>
            </w:r>
          </w:p>
        </w:tc>
        <w:tc>
          <w:tcPr>
            <w:tcW w:w="850" w:type="dxa"/>
            <w:tcMar>
              <w:top w:w="0" w:type="dxa"/>
              <w:left w:w="0" w:type="dxa"/>
              <w:bottom w:w="0" w:type="dxa"/>
              <w:right w:w="0" w:type="dxa"/>
            </w:tcMar>
          </w:tcPr>
          <w:p w14:paraId="6DFB0EDA" w14:textId="77777777" w:rsidR="009103CC" w:rsidRPr="00AF25C4" w:rsidRDefault="009103CC" w:rsidP="002718DF">
            <w:pPr>
              <w:pStyle w:val="Tabletext"/>
              <w:jc w:val="right"/>
              <w:rPr>
                <w:b/>
                <w:bCs/>
                <w:sz w:val="15"/>
              </w:rPr>
            </w:pPr>
            <w:r w:rsidRPr="00AF25C4">
              <w:rPr>
                <w:b/>
                <w:bCs/>
                <w:sz w:val="15"/>
              </w:rPr>
              <w:t>$13.20</w:t>
            </w:r>
          </w:p>
        </w:tc>
        <w:tc>
          <w:tcPr>
            <w:tcW w:w="850" w:type="dxa"/>
            <w:tcMar>
              <w:top w:w="0" w:type="dxa"/>
              <w:left w:w="0" w:type="dxa"/>
              <w:bottom w:w="0" w:type="dxa"/>
              <w:right w:w="0" w:type="dxa"/>
            </w:tcMar>
          </w:tcPr>
          <w:p w14:paraId="5375B329" w14:textId="77777777" w:rsidR="009103CC" w:rsidRPr="00AF25C4" w:rsidRDefault="009103CC" w:rsidP="002718DF">
            <w:pPr>
              <w:pStyle w:val="Tabletext"/>
              <w:jc w:val="right"/>
              <w:rPr>
                <w:b/>
                <w:bCs/>
                <w:sz w:val="15"/>
              </w:rPr>
            </w:pPr>
            <w:r w:rsidRPr="00AF25C4">
              <w:rPr>
                <w:b/>
                <w:bCs/>
                <w:sz w:val="15"/>
              </w:rPr>
              <w:t>$12.94</w:t>
            </w:r>
          </w:p>
        </w:tc>
        <w:tc>
          <w:tcPr>
            <w:tcW w:w="850" w:type="dxa"/>
            <w:tcMar>
              <w:top w:w="0" w:type="dxa"/>
              <w:left w:w="0" w:type="dxa"/>
              <w:bottom w:w="0" w:type="dxa"/>
              <w:right w:w="0" w:type="dxa"/>
            </w:tcMar>
          </w:tcPr>
          <w:p w14:paraId="6567105F" w14:textId="77777777" w:rsidR="009103CC" w:rsidRPr="00AF25C4" w:rsidRDefault="009103CC" w:rsidP="002718DF">
            <w:pPr>
              <w:pStyle w:val="Tabletext"/>
              <w:jc w:val="right"/>
              <w:rPr>
                <w:b/>
                <w:bCs/>
                <w:sz w:val="15"/>
              </w:rPr>
            </w:pPr>
            <w:r w:rsidRPr="00AF25C4">
              <w:rPr>
                <w:b/>
                <w:bCs/>
                <w:sz w:val="15"/>
              </w:rPr>
              <w:t>$13.14</w:t>
            </w:r>
          </w:p>
        </w:tc>
        <w:tc>
          <w:tcPr>
            <w:tcW w:w="850" w:type="dxa"/>
            <w:tcMar>
              <w:top w:w="0" w:type="dxa"/>
              <w:left w:w="0" w:type="dxa"/>
              <w:bottom w:w="0" w:type="dxa"/>
              <w:right w:w="0" w:type="dxa"/>
            </w:tcMar>
          </w:tcPr>
          <w:p w14:paraId="3DEBFC9B" w14:textId="77777777" w:rsidR="009103CC" w:rsidRPr="00AF25C4" w:rsidRDefault="009103CC" w:rsidP="002718DF">
            <w:pPr>
              <w:pStyle w:val="Tabletext"/>
              <w:jc w:val="right"/>
              <w:rPr>
                <w:b/>
                <w:bCs/>
                <w:sz w:val="15"/>
              </w:rPr>
            </w:pPr>
            <w:r w:rsidRPr="00AF25C4">
              <w:rPr>
                <w:b/>
                <w:bCs/>
                <w:sz w:val="15"/>
              </w:rPr>
              <w:t>$12.79</w:t>
            </w:r>
          </w:p>
        </w:tc>
        <w:tc>
          <w:tcPr>
            <w:tcW w:w="850" w:type="dxa"/>
            <w:tcMar>
              <w:top w:w="0" w:type="dxa"/>
              <w:left w:w="0" w:type="dxa"/>
              <w:bottom w:w="0" w:type="dxa"/>
              <w:right w:w="0" w:type="dxa"/>
            </w:tcMar>
          </w:tcPr>
          <w:p w14:paraId="214695F6" w14:textId="77777777" w:rsidR="009103CC" w:rsidRPr="00AF25C4" w:rsidRDefault="009103CC" w:rsidP="002718DF">
            <w:pPr>
              <w:pStyle w:val="Tabletext"/>
              <w:jc w:val="right"/>
              <w:rPr>
                <w:b/>
                <w:bCs/>
                <w:sz w:val="15"/>
              </w:rPr>
            </w:pPr>
            <w:r w:rsidRPr="00AF25C4">
              <w:rPr>
                <w:b/>
                <w:bCs/>
                <w:sz w:val="15"/>
              </w:rPr>
              <w:t>$75.57</w:t>
            </w:r>
          </w:p>
        </w:tc>
        <w:tc>
          <w:tcPr>
            <w:tcW w:w="851" w:type="dxa"/>
            <w:tcMar>
              <w:top w:w="0" w:type="dxa"/>
              <w:left w:w="0" w:type="dxa"/>
              <w:bottom w:w="0" w:type="dxa"/>
              <w:right w:w="0" w:type="dxa"/>
            </w:tcMar>
          </w:tcPr>
          <w:p w14:paraId="2BF3B511" w14:textId="77777777" w:rsidR="009103CC" w:rsidRPr="00AF25C4" w:rsidRDefault="009103CC" w:rsidP="002718DF">
            <w:pPr>
              <w:pStyle w:val="Tabletext"/>
              <w:jc w:val="right"/>
              <w:rPr>
                <w:b/>
                <w:bCs/>
                <w:sz w:val="15"/>
              </w:rPr>
            </w:pPr>
            <w:r w:rsidRPr="00AF25C4">
              <w:rPr>
                <w:b/>
                <w:bCs/>
                <w:sz w:val="15"/>
              </w:rPr>
              <w:t>$15.11</w:t>
            </w:r>
          </w:p>
        </w:tc>
      </w:tr>
      <w:tr w:rsidR="009103CC" w:rsidRPr="001814D2" w14:paraId="25C06AB1" w14:textId="77777777" w:rsidTr="002718DF">
        <w:trPr>
          <w:cantSplit/>
          <w:trHeight w:val="170"/>
        </w:trPr>
        <w:tc>
          <w:tcPr>
            <w:tcW w:w="3127" w:type="dxa"/>
            <w:tcMar>
              <w:top w:w="0" w:type="dxa"/>
              <w:left w:w="0" w:type="dxa"/>
              <w:bottom w:w="0" w:type="dxa"/>
              <w:right w:w="0" w:type="dxa"/>
            </w:tcMar>
          </w:tcPr>
          <w:p w14:paraId="307370C4" w14:textId="77777777" w:rsidR="009103CC" w:rsidRPr="00AF25C4" w:rsidRDefault="009103CC" w:rsidP="002718DF">
            <w:pPr>
              <w:pStyle w:val="Tabletext"/>
              <w:rPr>
                <w:sz w:val="15"/>
              </w:rPr>
            </w:pPr>
            <w:r w:rsidRPr="00AF25C4">
              <w:rPr>
                <w:sz w:val="15"/>
              </w:rPr>
              <w:t>Exhibition admission revenue ($ millions)</w:t>
            </w:r>
          </w:p>
        </w:tc>
        <w:tc>
          <w:tcPr>
            <w:tcW w:w="850" w:type="dxa"/>
            <w:tcMar>
              <w:top w:w="0" w:type="dxa"/>
              <w:left w:w="0" w:type="dxa"/>
              <w:bottom w:w="0" w:type="dxa"/>
              <w:right w:w="0" w:type="dxa"/>
            </w:tcMar>
          </w:tcPr>
          <w:p w14:paraId="57B9ED89" w14:textId="77777777" w:rsidR="009103CC" w:rsidRPr="00AF25C4" w:rsidRDefault="009103CC" w:rsidP="002718DF">
            <w:pPr>
              <w:pStyle w:val="Tabletext"/>
              <w:jc w:val="right"/>
              <w:rPr>
                <w:sz w:val="15"/>
              </w:rPr>
            </w:pPr>
            <w:r w:rsidRPr="00AF25C4">
              <w:rPr>
                <w:sz w:val="15"/>
              </w:rPr>
              <w:t>$7.10</w:t>
            </w:r>
          </w:p>
          <w:p w14:paraId="12DA94E9"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668F76F3" w14:textId="77777777" w:rsidR="009103CC" w:rsidRPr="00AF25C4" w:rsidRDefault="009103CC" w:rsidP="002718DF">
            <w:pPr>
              <w:pStyle w:val="Tabletext"/>
              <w:jc w:val="right"/>
              <w:rPr>
                <w:sz w:val="15"/>
              </w:rPr>
            </w:pPr>
            <w:r w:rsidRPr="00AF25C4">
              <w:rPr>
                <w:sz w:val="15"/>
              </w:rPr>
              <w:t>$7.90</w:t>
            </w:r>
          </w:p>
          <w:p w14:paraId="28D32CFC"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487177D1" w14:textId="77777777" w:rsidR="009103CC" w:rsidRPr="00AF25C4" w:rsidRDefault="009103CC" w:rsidP="002718DF">
            <w:pPr>
              <w:pStyle w:val="Tabletext"/>
              <w:jc w:val="right"/>
              <w:rPr>
                <w:sz w:val="15"/>
              </w:rPr>
            </w:pPr>
            <w:r w:rsidRPr="00AF25C4">
              <w:rPr>
                <w:sz w:val="15"/>
              </w:rPr>
              <w:t>$8.17</w:t>
            </w:r>
          </w:p>
          <w:p w14:paraId="440E7693"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79E7C396" w14:textId="77777777" w:rsidR="009103CC" w:rsidRPr="00AF25C4" w:rsidRDefault="009103CC" w:rsidP="002718DF">
            <w:pPr>
              <w:pStyle w:val="Tabletext"/>
              <w:jc w:val="right"/>
              <w:rPr>
                <w:sz w:val="15"/>
              </w:rPr>
            </w:pPr>
            <w:r w:rsidRPr="00AF25C4">
              <w:rPr>
                <w:sz w:val="15"/>
              </w:rPr>
              <w:t>$4.07</w:t>
            </w:r>
          </w:p>
          <w:p w14:paraId="4B4737B2"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06307837" w14:textId="77777777" w:rsidR="009103CC" w:rsidRPr="00AF25C4" w:rsidRDefault="009103CC" w:rsidP="002718DF">
            <w:pPr>
              <w:pStyle w:val="Tabletext"/>
              <w:jc w:val="right"/>
              <w:rPr>
                <w:sz w:val="15"/>
              </w:rPr>
            </w:pPr>
            <w:r w:rsidRPr="00AF25C4">
              <w:rPr>
                <w:sz w:val="15"/>
              </w:rPr>
              <w:t>$3.20</w:t>
            </w:r>
          </w:p>
          <w:p w14:paraId="0C809393"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3BAA2DB8" w14:textId="77777777" w:rsidR="009103CC" w:rsidRPr="00AF25C4" w:rsidRDefault="009103CC" w:rsidP="002718DF">
            <w:pPr>
              <w:pStyle w:val="Tabletext"/>
              <w:jc w:val="right"/>
              <w:rPr>
                <w:sz w:val="15"/>
              </w:rPr>
            </w:pPr>
            <w:r w:rsidRPr="00AF25C4">
              <w:rPr>
                <w:sz w:val="15"/>
              </w:rPr>
              <w:t>$30.44</w:t>
            </w:r>
          </w:p>
          <w:p w14:paraId="0AA8B1FB" w14:textId="77777777" w:rsidR="009103CC" w:rsidRPr="00AF25C4" w:rsidRDefault="009103CC" w:rsidP="002718DF">
            <w:pPr>
              <w:pStyle w:val="Tabletext"/>
              <w:jc w:val="right"/>
              <w:rPr>
                <w:sz w:val="15"/>
              </w:rPr>
            </w:pPr>
          </w:p>
        </w:tc>
        <w:tc>
          <w:tcPr>
            <w:tcW w:w="851" w:type="dxa"/>
            <w:tcMar>
              <w:top w:w="0" w:type="dxa"/>
              <w:left w:w="0" w:type="dxa"/>
              <w:bottom w:w="0" w:type="dxa"/>
              <w:right w:w="0" w:type="dxa"/>
            </w:tcMar>
          </w:tcPr>
          <w:p w14:paraId="04C09E43" w14:textId="77777777" w:rsidR="009103CC" w:rsidRPr="00AF25C4" w:rsidRDefault="009103CC" w:rsidP="002718DF">
            <w:pPr>
              <w:pStyle w:val="Tabletext"/>
              <w:jc w:val="right"/>
              <w:rPr>
                <w:sz w:val="15"/>
              </w:rPr>
            </w:pPr>
            <w:r w:rsidRPr="00AF25C4">
              <w:rPr>
                <w:sz w:val="15"/>
              </w:rPr>
              <w:t>$6.09</w:t>
            </w:r>
          </w:p>
          <w:p w14:paraId="6C842D08" w14:textId="77777777" w:rsidR="009103CC" w:rsidRPr="00AF25C4" w:rsidRDefault="009103CC" w:rsidP="002718DF">
            <w:pPr>
              <w:pStyle w:val="Tabletext"/>
              <w:jc w:val="right"/>
              <w:rPr>
                <w:sz w:val="15"/>
              </w:rPr>
            </w:pPr>
          </w:p>
        </w:tc>
      </w:tr>
      <w:tr w:rsidR="009103CC" w:rsidRPr="001814D2" w14:paraId="78885FE7" w14:textId="77777777" w:rsidTr="002718DF">
        <w:trPr>
          <w:cantSplit/>
          <w:trHeight w:val="170"/>
        </w:trPr>
        <w:tc>
          <w:tcPr>
            <w:tcW w:w="3127" w:type="dxa"/>
            <w:tcMar>
              <w:top w:w="0" w:type="dxa"/>
              <w:left w:w="0" w:type="dxa"/>
              <w:bottom w:w="0" w:type="dxa"/>
              <w:right w:w="0" w:type="dxa"/>
            </w:tcMar>
          </w:tcPr>
          <w:p w14:paraId="61C9D999" w14:textId="77777777" w:rsidR="009103CC" w:rsidRPr="00AF25C4" w:rsidRDefault="009103CC" w:rsidP="002718DF">
            <w:pPr>
              <w:pStyle w:val="Tabletext"/>
              <w:rPr>
                <w:sz w:val="15"/>
              </w:rPr>
            </w:pPr>
            <w:r w:rsidRPr="00AF25C4">
              <w:rPr>
                <w:sz w:val="15"/>
              </w:rPr>
              <w:t>Merchandise, books and publication sales ($ millions)</w:t>
            </w:r>
          </w:p>
        </w:tc>
        <w:tc>
          <w:tcPr>
            <w:tcW w:w="850" w:type="dxa"/>
            <w:tcMar>
              <w:top w:w="0" w:type="dxa"/>
              <w:left w:w="0" w:type="dxa"/>
              <w:bottom w:w="0" w:type="dxa"/>
              <w:right w:w="0" w:type="dxa"/>
            </w:tcMar>
          </w:tcPr>
          <w:p w14:paraId="17AD9F7F" w14:textId="77777777" w:rsidR="009103CC" w:rsidRPr="00AF25C4" w:rsidRDefault="009103CC" w:rsidP="002718DF">
            <w:pPr>
              <w:pStyle w:val="Tabletext"/>
              <w:jc w:val="right"/>
              <w:rPr>
                <w:sz w:val="15"/>
              </w:rPr>
            </w:pPr>
            <w:r w:rsidRPr="00AF25C4">
              <w:rPr>
                <w:sz w:val="15"/>
              </w:rPr>
              <w:t>$4.70</w:t>
            </w:r>
          </w:p>
          <w:p w14:paraId="7ACC879A"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137B0F31" w14:textId="77777777" w:rsidR="009103CC" w:rsidRPr="00AF25C4" w:rsidRDefault="009103CC" w:rsidP="002718DF">
            <w:pPr>
              <w:pStyle w:val="Tabletext"/>
              <w:jc w:val="right"/>
              <w:rPr>
                <w:sz w:val="15"/>
              </w:rPr>
            </w:pPr>
            <w:r w:rsidRPr="00AF25C4">
              <w:rPr>
                <w:sz w:val="15"/>
              </w:rPr>
              <w:t>$4.90</w:t>
            </w:r>
          </w:p>
          <w:p w14:paraId="7302822C"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4248B4BD" w14:textId="77777777" w:rsidR="009103CC" w:rsidRPr="00AF25C4" w:rsidRDefault="009103CC" w:rsidP="002718DF">
            <w:pPr>
              <w:pStyle w:val="Tabletext"/>
              <w:jc w:val="right"/>
              <w:rPr>
                <w:sz w:val="15"/>
              </w:rPr>
            </w:pPr>
            <w:r w:rsidRPr="00AF25C4">
              <w:rPr>
                <w:sz w:val="15"/>
              </w:rPr>
              <w:t>$4.49</w:t>
            </w:r>
          </w:p>
          <w:p w14:paraId="7A4AA015"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1BEC3546" w14:textId="77777777" w:rsidR="009103CC" w:rsidRPr="00AF25C4" w:rsidRDefault="009103CC" w:rsidP="002718DF">
            <w:pPr>
              <w:pStyle w:val="Tabletext"/>
              <w:jc w:val="right"/>
              <w:rPr>
                <w:sz w:val="15"/>
              </w:rPr>
            </w:pPr>
            <w:r w:rsidRPr="00AF25C4">
              <w:rPr>
                <w:sz w:val="15"/>
              </w:rPr>
              <w:t>$3.59</w:t>
            </w:r>
          </w:p>
          <w:p w14:paraId="4FC48AC8"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420CF804" w14:textId="77777777" w:rsidR="009103CC" w:rsidRPr="00AF25C4" w:rsidRDefault="009103CC" w:rsidP="002718DF">
            <w:pPr>
              <w:pStyle w:val="Tabletext"/>
              <w:jc w:val="right"/>
              <w:rPr>
                <w:sz w:val="15"/>
              </w:rPr>
            </w:pPr>
            <w:r w:rsidRPr="00AF25C4">
              <w:rPr>
                <w:sz w:val="15"/>
              </w:rPr>
              <w:t>$2.77</w:t>
            </w:r>
          </w:p>
          <w:p w14:paraId="069397BC"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6730B873" w14:textId="77777777" w:rsidR="009103CC" w:rsidRPr="00AF25C4" w:rsidRDefault="009103CC" w:rsidP="002718DF">
            <w:pPr>
              <w:pStyle w:val="Tabletext"/>
              <w:jc w:val="right"/>
              <w:rPr>
                <w:sz w:val="15"/>
              </w:rPr>
            </w:pPr>
            <w:r w:rsidRPr="00AF25C4">
              <w:rPr>
                <w:sz w:val="15"/>
              </w:rPr>
              <w:t>$20.45</w:t>
            </w:r>
          </w:p>
          <w:p w14:paraId="5320F39C" w14:textId="77777777" w:rsidR="009103CC" w:rsidRPr="00AF25C4" w:rsidRDefault="009103CC" w:rsidP="002718DF">
            <w:pPr>
              <w:pStyle w:val="Tabletext"/>
              <w:jc w:val="right"/>
              <w:rPr>
                <w:sz w:val="15"/>
              </w:rPr>
            </w:pPr>
          </w:p>
        </w:tc>
        <w:tc>
          <w:tcPr>
            <w:tcW w:w="851" w:type="dxa"/>
            <w:tcMar>
              <w:top w:w="0" w:type="dxa"/>
              <w:left w:w="0" w:type="dxa"/>
              <w:bottom w:w="0" w:type="dxa"/>
              <w:right w:w="0" w:type="dxa"/>
            </w:tcMar>
          </w:tcPr>
          <w:p w14:paraId="322E8DBA" w14:textId="77777777" w:rsidR="009103CC" w:rsidRPr="00AF25C4" w:rsidRDefault="009103CC" w:rsidP="002718DF">
            <w:pPr>
              <w:pStyle w:val="Tabletext"/>
              <w:jc w:val="right"/>
              <w:rPr>
                <w:sz w:val="15"/>
              </w:rPr>
            </w:pPr>
            <w:r w:rsidRPr="00AF25C4">
              <w:rPr>
                <w:sz w:val="15"/>
              </w:rPr>
              <w:t>$4.09</w:t>
            </w:r>
          </w:p>
          <w:p w14:paraId="3EFFDB2F" w14:textId="77777777" w:rsidR="009103CC" w:rsidRPr="00AF25C4" w:rsidRDefault="009103CC" w:rsidP="002718DF">
            <w:pPr>
              <w:pStyle w:val="Tabletext"/>
              <w:jc w:val="right"/>
              <w:rPr>
                <w:sz w:val="15"/>
              </w:rPr>
            </w:pPr>
          </w:p>
        </w:tc>
      </w:tr>
      <w:tr w:rsidR="009103CC" w:rsidRPr="001814D2" w14:paraId="76F147EB" w14:textId="77777777" w:rsidTr="002718DF">
        <w:trPr>
          <w:cantSplit/>
          <w:trHeight w:val="170"/>
        </w:trPr>
        <w:tc>
          <w:tcPr>
            <w:tcW w:w="3127" w:type="dxa"/>
            <w:tcMar>
              <w:top w:w="0" w:type="dxa"/>
              <w:left w:w="0" w:type="dxa"/>
              <w:bottom w:w="0" w:type="dxa"/>
              <w:right w:w="0" w:type="dxa"/>
            </w:tcMar>
          </w:tcPr>
          <w:p w14:paraId="22D42C36" w14:textId="77777777" w:rsidR="009103CC" w:rsidRPr="00AF25C4" w:rsidRDefault="009103CC" w:rsidP="002718DF">
            <w:pPr>
              <w:pStyle w:val="Tabletext"/>
              <w:rPr>
                <w:sz w:val="15"/>
              </w:rPr>
            </w:pPr>
            <w:r w:rsidRPr="00AF25C4">
              <w:rPr>
                <w:sz w:val="15"/>
              </w:rPr>
              <w:t>Other services/activities ($ millions)</w:t>
            </w:r>
          </w:p>
        </w:tc>
        <w:tc>
          <w:tcPr>
            <w:tcW w:w="850" w:type="dxa"/>
            <w:tcMar>
              <w:top w:w="0" w:type="dxa"/>
              <w:left w:w="0" w:type="dxa"/>
              <w:bottom w:w="0" w:type="dxa"/>
              <w:right w:w="0" w:type="dxa"/>
            </w:tcMar>
          </w:tcPr>
          <w:p w14:paraId="40B0E0DE" w14:textId="77777777" w:rsidR="009103CC" w:rsidRPr="00AF25C4" w:rsidRDefault="009103CC" w:rsidP="002718DF">
            <w:pPr>
              <w:pStyle w:val="Tabletext"/>
              <w:jc w:val="right"/>
              <w:rPr>
                <w:sz w:val="15"/>
              </w:rPr>
            </w:pPr>
            <w:r w:rsidRPr="00AF25C4">
              <w:rPr>
                <w:sz w:val="15"/>
              </w:rPr>
              <w:t>$3.80</w:t>
            </w:r>
          </w:p>
        </w:tc>
        <w:tc>
          <w:tcPr>
            <w:tcW w:w="850" w:type="dxa"/>
            <w:tcMar>
              <w:top w:w="0" w:type="dxa"/>
              <w:left w:w="0" w:type="dxa"/>
              <w:bottom w:w="0" w:type="dxa"/>
              <w:right w:w="0" w:type="dxa"/>
            </w:tcMar>
          </w:tcPr>
          <w:p w14:paraId="5CAF88E7" w14:textId="77777777" w:rsidR="009103CC" w:rsidRPr="00AF25C4" w:rsidRDefault="009103CC" w:rsidP="002718DF">
            <w:pPr>
              <w:pStyle w:val="Tabletext"/>
              <w:jc w:val="right"/>
              <w:rPr>
                <w:sz w:val="15"/>
              </w:rPr>
            </w:pPr>
            <w:r w:rsidRPr="00AF25C4">
              <w:rPr>
                <w:sz w:val="15"/>
              </w:rPr>
              <w:t>$5.00</w:t>
            </w:r>
          </w:p>
        </w:tc>
        <w:tc>
          <w:tcPr>
            <w:tcW w:w="850" w:type="dxa"/>
            <w:tcMar>
              <w:top w:w="0" w:type="dxa"/>
              <w:left w:w="0" w:type="dxa"/>
              <w:bottom w:w="0" w:type="dxa"/>
              <w:right w:w="0" w:type="dxa"/>
            </w:tcMar>
          </w:tcPr>
          <w:p w14:paraId="5523E11B" w14:textId="77777777" w:rsidR="009103CC" w:rsidRPr="00AF25C4" w:rsidRDefault="009103CC" w:rsidP="002718DF">
            <w:pPr>
              <w:pStyle w:val="Tabletext"/>
              <w:jc w:val="right"/>
              <w:rPr>
                <w:sz w:val="15"/>
              </w:rPr>
            </w:pPr>
            <w:r w:rsidRPr="00AF25C4">
              <w:rPr>
                <w:sz w:val="15"/>
              </w:rPr>
              <w:t>$4.77</w:t>
            </w:r>
          </w:p>
        </w:tc>
        <w:tc>
          <w:tcPr>
            <w:tcW w:w="850" w:type="dxa"/>
            <w:tcMar>
              <w:top w:w="0" w:type="dxa"/>
              <w:left w:w="0" w:type="dxa"/>
              <w:bottom w:w="0" w:type="dxa"/>
              <w:right w:w="0" w:type="dxa"/>
            </w:tcMar>
          </w:tcPr>
          <w:p w14:paraId="5C7FA4D2" w14:textId="77777777" w:rsidR="009103CC" w:rsidRPr="00AF25C4" w:rsidRDefault="009103CC" w:rsidP="002718DF">
            <w:pPr>
              <w:pStyle w:val="Tabletext"/>
              <w:jc w:val="right"/>
              <w:rPr>
                <w:sz w:val="15"/>
              </w:rPr>
            </w:pPr>
            <w:r w:rsidRPr="00AF25C4">
              <w:rPr>
                <w:sz w:val="15"/>
              </w:rPr>
              <w:t>$2.83</w:t>
            </w:r>
          </w:p>
        </w:tc>
        <w:tc>
          <w:tcPr>
            <w:tcW w:w="850" w:type="dxa"/>
            <w:tcMar>
              <w:top w:w="0" w:type="dxa"/>
              <w:left w:w="0" w:type="dxa"/>
              <w:bottom w:w="0" w:type="dxa"/>
              <w:right w:w="0" w:type="dxa"/>
            </w:tcMar>
          </w:tcPr>
          <w:p w14:paraId="27E2E83A" w14:textId="77777777" w:rsidR="009103CC" w:rsidRPr="00AF25C4" w:rsidRDefault="009103CC" w:rsidP="002718DF">
            <w:pPr>
              <w:pStyle w:val="Tabletext"/>
              <w:jc w:val="right"/>
              <w:rPr>
                <w:sz w:val="15"/>
              </w:rPr>
            </w:pPr>
            <w:r w:rsidRPr="00AF25C4">
              <w:rPr>
                <w:sz w:val="15"/>
              </w:rPr>
              <w:t>$1.24</w:t>
            </w:r>
          </w:p>
        </w:tc>
        <w:tc>
          <w:tcPr>
            <w:tcW w:w="850" w:type="dxa"/>
            <w:tcMar>
              <w:top w:w="0" w:type="dxa"/>
              <w:left w:w="0" w:type="dxa"/>
              <w:bottom w:w="0" w:type="dxa"/>
              <w:right w:w="0" w:type="dxa"/>
            </w:tcMar>
          </w:tcPr>
          <w:p w14:paraId="46F3CE0A" w14:textId="77777777" w:rsidR="009103CC" w:rsidRPr="00AF25C4" w:rsidRDefault="009103CC" w:rsidP="002718DF">
            <w:pPr>
              <w:pStyle w:val="Tabletext"/>
              <w:jc w:val="right"/>
              <w:rPr>
                <w:sz w:val="15"/>
              </w:rPr>
            </w:pPr>
            <w:r w:rsidRPr="00AF25C4">
              <w:rPr>
                <w:sz w:val="15"/>
              </w:rPr>
              <w:t>$17.65</w:t>
            </w:r>
          </w:p>
        </w:tc>
        <w:tc>
          <w:tcPr>
            <w:tcW w:w="851" w:type="dxa"/>
            <w:tcMar>
              <w:top w:w="0" w:type="dxa"/>
              <w:left w:w="0" w:type="dxa"/>
              <w:bottom w:w="0" w:type="dxa"/>
              <w:right w:w="0" w:type="dxa"/>
            </w:tcMar>
          </w:tcPr>
          <w:p w14:paraId="12342EBA" w14:textId="77777777" w:rsidR="009103CC" w:rsidRPr="00AF25C4" w:rsidRDefault="009103CC" w:rsidP="002718DF">
            <w:pPr>
              <w:pStyle w:val="Tabletext"/>
              <w:jc w:val="right"/>
              <w:rPr>
                <w:sz w:val="15"/>
              </w:rPr>
            </w:pPr>
            <w:r w:rsidRPr="00AF25C4">
              <w:rPr>
                <w:sz w:val="15"/>
              </w:rPr>
              <w:t>$3.53</w:t>
            </w:r>
          </w:p>
        </w:tc>
      </w:tr>
      <w:tr w:rsidR="009103CC" w:rsidRPr="001814D2" w14:paraId="4F00D154" w14:textId="77777777" w:rsidTr="002718DF">
        <w:trPr>
          <w:cantSplit/>
          <w:trHeight w:val="170"/>
        </w:trPr>
        <w:tc>
          <w:tcPr>
            <w:tcW w:w="3127" w:type="dxa"/>
            <w:tcMar>
              <w:top w:w="0" w:type="dxa"/>
              <w:left w:w="0" w:type="dxa"/>
              <w:bottom w:w="0" w:type="dxa"/>
              <w:right w:w="0" w:type="dxa"/>
            </w:tcMar>
          </w:tcPr>
          <w:p w14:paraId="216104F9" w14:textId="77777777" w:rsidR="009103CC" w:rsidRPr="00AF25C4" w:rsidRDefault="009103CC" w:rsidP="002718DF">
            <w:pPr>
              <w:pStyle w:val="Tabletext"/>
              <w:rPr>
                <w:sz w:val="15"/>
              </w:rPr>
            </w:pPr>
            <w:r w:rsidRPr="00AF25C4">
              <w:rPr>
                <w:sz w:val="15"/>
              </w:rPr>
              <w:t>Bequests and special funds ($ millions)</w:t>
            </w:r>
          </w:p>
        </w:tc>
        <w:tc>
          <w:tcPr>
            <w:tcW w:w="850" w:type="dxa"/>
            <w:tcMar>
              <w:top w:w="0" w:type="dxa"/>
              <w:left w:w="0" w:type="dxa"/>
              <w:bottom w:w="0" w:type="dxa"/>
              <w:right w:w="0" w:type="dxa"/>
            </w:tcMar>
          </w:tcPr>
          <w:p w14:paraId="22088F03" w14:textId="77777777" w:rsidR="009103CC" w:rsidRPr="00AF25C4" w:rsidRDefault="009103CC" w:rsidP="002718DF">
            <w:pPr>
              <w:pStyle w:val="Tabletext"/>
              <w:jc w:val="right"/>
              <w:rPr>
                <w:sz w:val="15"/>
              </w:rPr>
            </w:pPr>
            <w:r w:rsidRPr="00AF25C4">
              <w:rPr>
                <w:sz w:val="15"/>
              </w:rPr>
              <w:t>$13.50</w:t>
            </w:r>
          </w:p>
        </w:tc>
        <w:tc>
          <w:tcPr>
            <w:tcW w:w="850" w:type="dxa"/>
            <w:tcMar>
              <w:top w:w="0" w:type="dxa"/>
              <w:left w:w="0" w:type="dxa"/>
              <w:bottom w:w="0" w:type="dxa"/>
              <w:right w:w="0" w:type="dxa"/>
            </w:tcMar>
          </w:tcPr>
          <w:p w14:paraId="3D6335AA" w14:textId="77777777" w:rsidR="009103CC" w:rsidRPr="00AF25C4" w:rsidRDefault="009103CC" w:rsidP="002718DF">
            <w:pPr>
              <w:pStyle w:val="Tabletext"/>
              <w:jc w:val="right"/>
              <w:rPr>
                <w:sz w:val="15"/>
              </w:rPr>
            </w:pPr>
            <w:r w:rsidRPr="00AF25C4">
              <w:rPr>
                <w:sz w:val="15"/>
              </w:rPr>
              <w:t>$20.80</w:t>
            </w:r>
          </w:p>
        </w:tc>
        <w:tc>
          <w:tcPr>
            <w:tcW w:w="850" w:type="dxa"/>
            <w:tcMar>
              <w:top w:w="0" w:type="dxa"/>
              <w:left w:w="0" w:type="dxa"/>
              <w:bottom w:w="0" w:type="dxa"/>
              <w:right w:w="0" w:type="dxa"/>
            </w:tcMar>
          </w:tcPr>
          <w:p w14:paraId="220E90DA" w14:textId="77777777" w:rsidR="009103CC" w:rsidRPr="00AF25C4" w:rsidRDefault="009103CC" w:rsidP="002718DF">
            <w:pPr>
              <w:pStyle w:val="Tabletext"/>
              <w:jc w:val="right"/>
              <w:rPr>
                <w:sz w:val="15"/>
              </w:rPr>
            </w:pPr>
            <w:r w:rsidRPr="00AF25C4">
              <w:rPr>
                <w:sz w:val="15"/>
              </w:rPr>
              <w:t>$37.01</w:t>
            </w:r>
          </w:p>
        </w:tc>
        <w:tc>
          <w:tcPr>
            <w:tcW w:w="850" w:type="dxa"/>
            <w:tcMar>
              <w:top w:w="0" w:type="dxa"/>
              <w:left w:w="0" w:type="dxa"/>
              <w:bottom w:w="0" w:type="dxa"/>
              <w:right w:w="0" w:type="dxa"/>
            </w:tcMar>
          </w:tcPr>
          <w:p w14:paraId="23D7C9B9" w14:textId="77777777" w:rsidR="009103CC" w:rsidRPr="00AF25C4" w:rsidRDefault="009103CC" w:rsidP="002718DF">
            <w:pPr>
              <w:pStyle w:val="Tabletext"/>
              <w:jc w:val="right"/>
              <w:rPr>
                <w:sz w:val="15"/>
              </w:rPr>
            </w:pPr>
            <w:r w:rsidRPr="00AF25C4">
              <w:rPr>
                <w:sz w:val="15"/>
              </w:rPr>
              <w:t>$42.95</w:t>
            </w:r>
          </w:p>
        </w:tc>
        <w:tc>
          <w:tcPr>
            <w:tcW w:w="850" w:type="dxa"/>
            <w:tcMar>
              <w:top w:w="0" w:type="dxa"/>
              <w:left w:w="0" w:type="dxa"/>
              <w:bottom w:w="0" w:type="dxa"/>
              <w:right w:w="0" w:type="dxa"/>
            </w:tcMar>
          </w:tcPr>
          <w:p w14:paraId="28627F79" w14:textId="77777777" w:rsidR="009103CC" w:rsidRPr="00AF25C4" w:rsidRDefault="009103CC" w:rsidP="002718DF">
            <w:pPr>
              <w:pStyle w:val="Tabletext"/>
              <w:jc w:val="right"/>
              <w:rPr>
                <w:sz w:val="15"/>
              </w:rPr>
            </w:pPr>
            <w:r w:rsidRPr="00AF25C4">
              <w:rPr>
                <w:sz w:val="15"/>
              </w:rPr>
              <w:t>$29.89</w:t>
            </w:r>
          </w:p>
        </w:tc>
        <w:tc>
          <w:tcPr>
            <w:tcW w:w="850" w:type="dxa"/>
            <w:tcMar>
              <w:top w:w="0" w:type="dxa"/>
              <w:left w:w="0" w:type="dxa"/>
              <w:bottom w:w="0" w:type="dxa"/>
              <w:right w:w="0" w:type="dxa"/>
            </w:tcMar>
          </w:tcPr>
          <w:p w14:paraId="65C10073" w14:textId="77777777" w:rsidR="009103CC" w:rsidRPr="00AF25C4" w:rsidRDefault="009103CC" w:rsidP="002718DF">
            <w:pPr>
              <w:pStyle w:val="Tabletext"/>
              <w:jc w:val="right"/>
              <w:rPr>
                <w:sz w:val="15"/>
              </w:rPr>
            </w:pPr>
            <w:r w:rsidRPr="00AF25C4">
              <w:rPr>
                <w:sz w:val="15"/>
              </w:rPr>
              <w:t>$144.15</w:t>
            </w:r>
          </w:p>
        </w:tc>
        <w:tc>
          <w:tcPr>
            <w:tcW w:w="851" w:type="dxa"/>
            <w:tcMar>
              <w:top w:w="0" w:type="dxa"/>
              <w:left w:w="0" w:type="dxa"/>
              <w:bottom w:w="0" w:type="dxa"/>
              <w:right w:w="0" w:type="dxa"/>
            </w:tcMar>
          </w:tcPr>
          <w:p w14:paraId="383B1E29" w14:textId="77777777" w:rsidR="009103CC" w:rsidRPr="00AF25C4" w:rsidRDefault="009103CC" w:rsidP="002718DF">
            <w:pPr>
              <w:pStyle w:val="Tabletext"/>
              <w:jc w:val="right"/>
              <w:rPr>
                <w:sz w:val="15"/>
              </w:rPr>
            </w:pPr>
            <w:r w:rsidRPr="00AF25C4">
              <w:rPr>
                <w:sz w:val="15"/>
              </w:rPr>
              <w:t>$28.83</w:t>
            </w:r>
          </w:p>
        </w:tc>
      </w:tr>
      <w:tr w:rsidR="009103CC" w:rsidRPr="001814D2" w14:paraId="31A9D416" w14:textId="77777777" w:rsidTr="002718DF">
        <w:trPr>
          <w:cantSplit/>
          <w:trHeight w:val="170"/>
        </w:trPr>
        <w:tc>
          <w:tcPr>
            <w:tcW w:w="3127" w:type="dxa"/>
            <w:tcMar>
              <w:top w:w="0" w:type="dxa"/>
              <w:left w:w="0" w:type="dxa"/>
              <w:bottom w:w="0" w:type="dxa"/>
              <w:right w:w="0" w:type="dxa"/>
            </w:tcMar>
          </w:tcPr>
          <w:p w14:paraId="6D6B5376" w14:textId="77777777" w:rsidR="009103CC" w:rsidRPr="00AF25C4" w:rsidRDefault="009103CC" w:rsidP="002718DF">
            <w:pPr>
              <w:pStyle w:val="Tabletext"/>
              <w:rPr>
                <w:sz w:val="15"/>
              </w:rPr>
            </w:pPr>
            <w:r w:rsidRPr="00AF25C4">
              <w:rPr>
                <w:sz w:val="15"/>
              </w:rPr>
              <w:t>Other grants and contributions / other miscellaneous ($ millions)</w:t>
            </w:r>
          </w:p>
        </w:tc>
        <w:tc>
          <w:tcPr>
            <w:tcW w:w="850" w:type="dxa"/>
            <w:tcMar>
              <w:top w:w="0" w:type="dxa"/>
              <w:left w:w="0" w:type="dxa"/>
              <w:bottom w:w="0" w:type="dxa"/>
              <w:right w:w="0" w:type="dxa"/>
            </w:tcMar>
          </w:tcPr>
          <w:p w14:paraId="496DCECD" w14:textId="77777777" w:rsidR="009103CC" w:rsidRPr="00AF25C4" w:rsidRDefault="009103CC" w:rsidP="002718DF">
            <w:pPr>
              <w:pStyle w:val="Tabletext"/>
              <w:jc w:val="right"/>
              <w:rPr>
                <w:sz w:val="15"/>
              </w:rPr>
            </w:pPr>
            <w:r w:rsidRPr="00AF25C4">
              <w:rPr>
                <w:sz w:val="15"/>
              </w:rPr>
              <w:t>$26.50</w:t>
            </w:r>
          </w:p>
          <w:p w14:paraId="14A36EE9"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5CE28B5A" w14:textId="77777777" w:rsidR="009103CC" w:rsidRPr="00AF25C4" w:rsidRDefault="009103CC" w:rsidP="002718DF">
            <w:pPr>
              <w:pStyle w:val="Tabletext"/>
              <w:jc w:val="right"/>
              <w:rPr>
                <w:sz w:val="15"/>
              </w:rPr>
            </w:pPr>
            <w:r w:rsidRPr="00AF25C4">
              <w:rPr>
                <w:sz w:val="15"/>
              </w:rPr>
              <w:t>$18.50</w:t>
            </w:r>
          </w:p>
          <w:p w14:paraId="7A08EA10"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43085702" w14:textId="77777777" w:rsidR="009103CC" w:rsidRPr="00AF25C4" w:rsidRDefault="009103CC" w:rsidP="002718DF">
            <w:pPr>
              <w:pStyle w:val="Tabletext"/>
              <w:jc w:val="right"/>
              <w:rPr>
                <w:sz w:val="15"/>
              </w:rPr>
            </w:pPr>
            <w:r w:rsidRPr="00AF25C4">
              <w:rPr>
                <w:sz w:val="15"/>
              </w:rPr>
              <w:t>$21.29</w:t>
            </w:r>
          </w:p>
          <w:p w14:paraId="31FEB07C"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12C546D6" w14:textId="77777777" w:rsidR="009103CC" w:rsidRPr="00AF25C4" w:rsidRDefault="009103CC" w:rsidP="002718DF">
            <w:pPr>
              <w:pStyle w:val="Tabletext"/>
              <w:jc w:val="right"/>
              <w:rPr>
                <w:sz w:val="15"/>
              </w:rPr>
            </w:pPr>
            <w:r w:rsidRPr="00AF25C4">
              <w:rPr>
                <w:sz w:val="15"/>
              </w:rPr>
              <w:t>$14.48</w:t>
            </w:r>
          </w:p>
          <w:p w14:paraId="353B45A7"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3DEBDD34" w14:textId="77777777" w:rsidR="009103CC" w:rsidRPr="00AF25C4" w:rsidRDefault="009103CC" w:rsidP="002718DF">
            <w:pPr>
              <w:pStyle w:val="Tabletext"/>
              <w:jc w:val="right"/>
              <w:rPr>
                <w:sz w:val="15"/>
              </w:rPr>
            </w:pPr>
            <w:r w:rsidRPr="00AF25C4">
              <w:rPr>
                <w:sz w:val="15"/>
              </w:rPr>
              <w:t>$25.90</w:t>
            </w:r>
          </w:p>
          <w:p w14:paraId="1C91DCF3"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22D60D94" w14:textId="77777777" w:rsidR="009103CC" w:rsidRPr="00AF25C4" w:rsidRDefault="009103CC" w:rsidP="002718DF">
            <w:pPr>
              <w:pStyle w:val="Tabletext"/>
              <w:jc w:val="right"/>
              <w:rPr>
                <w:sz w:val="15"/>
              </w:rPr>
            </w:pPr>
            <w:r w:rsidRPr="00AF25C4">
              <w:rPr>
                <w:sz w:val="15"/>
              </w:rPr>
              <w:t>$106.67</w:t>
            </w:r>
          </w:p>
          <w:p w14:paraId="08D39C31" w14:textId="77777777" w:rsidR="009103CC" w:rsidRPr="00AF25C4" w:rsidRDefault="009103CC" w:rsidP="002718DF">
            <w:pPr>
              <w:pStyle w:val="Tabletext"/>
              <w:jc w:val="right"/>
              <w:rPr>
                <w:sz w:val="15"/>
              </w:rPr>
            </w:pPr>
          </w:p>
        </w:tc>
        <w:tc>
          <w:tcPr>
            <w:tcW w:w="851" w:type="dxa"/>
            <w:tcMar>
              <w:top w:w="0" w:type="dxa"/>
              <w:left w:w="0" w:type="dxa"/>
              <w:bottom w:w="0" w:type="dxa"/>
              <w:right w:w="0" w:type="dxa"/>
            </w:tcMar>
          </w:tcPr>
          <w:p w14:paraId="391BCAD5" w14:textId="77777777" w:rsidR="009103CC" w:rsidRPr="00AF25C4" w:rsidRDefault="009103CC" w:rsidP="002718DF">
            <w:pPr>
              <w:pStyle w:val="Tabletext"/>
              <w:jc w:val="right"/>
              <w:rPr>
                <w:sz w:val="15"/>
              </w:rPr>
            </w:pPr>
            <w:r w:rsidRPr="00AF25C4">
              <w:rPr>
                <w:sz w:val="15"/>
              </w:rPr>
              <w:t>$21.33</w:t>
            </w:r>
          </w:p>
          <w:p w14:paraId="7A412EB5" w14:textId="77777777" w:rsidR="009103CC" w:rsidRPr="00AF25C4" w:rsidRDefault="009103CC" w:rsidP="002718DF">
            <w:pPr>
              <w:pStyle w:val="Tabletext"/>
              <w:jc w:val="right"/>
              <w:rPr>
                <w:sz w:val="15"/>
              </w:rPr>
            </w:pPr>
          </w:p>
        </w:tc>
      </w:tr>
      <w:tr w:rsidR="009103CC" w:rsidRPr="00AF25C4" w14:paraId="0D921174" w14:textId="77777777" w:rsidTr="002718DF">
        <w:trPr>
          <w:cantSplit/>
          <w:trHeight w:val="170"/>
        </w:trPr>
        <w:tc>
          <w:tcPr>
            <w:tcW w:w="3127" w:type="dxa"/>
            <w:tcMar>
              <w:top w:w="0" w:type="dxa"/>
              <w:left w:w="0" w:type="dxa"/>
              <w:bottom w:w="0" w:type="dxa"/>
              <w:right w:w="0" w:type="dxa"/>
            </w:tcMar>
          </w:tcPr>
          <w:p w14:paraId="5B3A0D0F" w14:textId="77777777" w:rsidR="009103CC" w:rsidRPr="00AF25C4" w:rsidRDefault="009103CC" w:rsidP="002718DF">
            <w:pPr>
              <w:pStyle w:val="Tabletext"/>
              <w:rPr>
                <w:b/>
                <w:bCs/>
                <w:sz w:val="15"/>
              </w:rPr>
            </w:pPr>
            <w:r w:rsidRPr="00AF25C4">
              <w:rPr>
                <w:b/>
                <w:bCs/>
                <w:sz w:val="15"/>
              </w:rPr>
              <w:t>Total revenue from exhibitions, visitor services and benefaction ($ millions)</w:t>
            </w:r>
          </w:p>
        </w:tc>
        <w:tc>
          <w:tcPr>
            <w:tcW w:w="850" w:type="dxa"/>
            <w:tcMar>
              <w:top w:w="0" w:type="dxa"/>
              <w:left w:w="0" w:type="dxa"/>
              <w:bottom w:w="0" w:type="dxa"/>
              <w:right w:w="0" w:type="dxa"/>
            </w:tcMar>
          </w:tcPr>
          <w:p w14:paraId="5D13D3B6" w14:textId="77777777" w:rsidR="009103CC" w:rsidRPr="00AF25C4" w:rsidRDefault="009103CC" w:rsidP="002718DF">
            <w:pPr>
              <w:pStyle w:val="Tabletext"/>
              <w:jc w:val="right"/>
              <w:rPr>
                <w:b/>
                <w:bCs/>
                <w:sz w:val="15"/>
              </w:rPr>
            </w:pPr>
            <w:r w:rsidRPr="00AF25C4">
              <w:rPr>
                <w:b/>
                <w:bCs/>
                <w:sz w:val="15"/>
              </w:rPr>
              <w:t>$55.60</w:t>
            </w:r>
          </w:p>
          <w:p w14:paraId="5CADD019" w14:textId="77777777" w:rsidR="009103CC" w:rsidRPr="00AF25C4" w:rsidRDefault="009103CC" w:rsidP="002718DF">
            <w:pPr>
              <w:pStyle w:val="Tabletext"/>
              <w:jc w:val="right"/>
              <w:rPr>
                <w:b/>
                <w:bCs/>
                <w:sz w:val="15"/>
              </w:rPr>
            </w:pPr>
          </w:p>
        </w:tc>
        <w:tc>
          <w:tcPr>
            <w:tcW w:w="850" w:type="dxa"/>
            <w:tcMar>
              <w:top w:w="0" w:type="dxa"/>
              <w:left w:w="0" w:type="dxa"/>
              <w:bottom w:w="0" w:type="dxa"/>
              <w:right w:w="0" w:type="dxa"/>
            </w:tcMar>
          </w:tcPr>
          <w:p w14:paraId="131526E7" w14:textId="77777777" w:rsidR="009103CC" w:rsidRPr="00AF25C4" w:rsidRDefault="009103CC" w:rsidP="002718DF">
            <w:pPr>
              <w:pStyle w:val="Tabletext"/>
              <w:jc w:val="right"/>
              <w:rPr>
                <w:b/>
                <w:bCs/>
                <w:sz w:val="15"/>
              </w:rPr>
            </w:pPr>
            <w:r w:rsidRPr="00AF25C4">
              <w:rPr>
                <w:b/>
                <w:bCs/>
                <w:sz w:val="15"/>
              </w:rPr>
              <w:t>$57.10</w:t>
            </w:r>
          </w:p>
          <w:p w14:paraId="2D821AE6" w14:textId="77777777" w:rsidR="009103CC" w:rsidRPr="00AF25C4" w:rsidRDefault="009103CC" w:rsidP="002718DF">
            <w:pPr>
              <w:pStyle w:val="Tabletext"/>
              <w:jc w:val="right"/>
              <w:rPr>
                <w:b/>
                <w:bCs/>
                <w:sz w:val="15"/>
              </w:rPr>
            </w:pPr>
          </w:p>
        </w:tc>
        <w:tc>
          <w:tcPr>
            <w:tcW w:w="850" w:type="dxa"/>
            <w:tcMar>
              <w:top w:w="0" w:type="dxa"/>
              <w:left w:w="0" w:type="dxa"/>
              <w:bottom w:w="0" w:type="dxa"/>
              <w:right w:w="0" w:type="dxa"/>
            </w:tcMar>
          </w:tcPr>
          <w:p w14:paraId="734EBF1F" w14:textId="77777777" w:rsidR="009103CC" w:rsidRPr="00AF25C4" w:rsidRDefault="009103CC" w:rsidP="002718DF">
            <w:pPr>
              <w:pStyle w:val="Tabletext"/>
              <w:jc w:val="right"/>
              <w:rPr>
                <w:b/>
                <w:bCs/>
                <w:sz w:val="15"/>
              </w:rPr>
            </w:pPr>
            <w:r w:rsidRPr="00AF25C4">
              <w:rPr>
                <w:b/>
                <w:bCs/>
                <w:sz w:val="15"/>
              </w:rPr>
              <w:t>$75.72</w:t>
            </w:r>
          </w:p>
          <w:p w14:paraId="2F06F2BC" w14:textId="77777777" w:rsidR="009103CC" w:rsidRPr="00AF25C4" w:rsidRDefault="009103CC" w:rsidP="002718DF">
            <w:pPr>
              <w:pStyle w:val="Tabletext"/>
              <w:jc w:val="right"/>
              <w:rPr>
                <w:b/>
                <w:bCs/>
                <w:sz w:val="15"/>
              </w:rPr>
            </w:pPr>
          </w:p>
        </w:tc>
        <w:tc>
          <w:tcPr>
            <w:tcW w:w="850" w:type="dxa"/>
            <w:tcMar>
              <w:top w:w="0" w:type="dxa"/>
              <w:left w:w="0" w:type="dxa"/>
              <w:bottom w:w="0" w:type="dxa"/>
              <w:right w:w="0" w:type="dxa"/>
            </w:tcMar>
          </w:tcPr>
          <w:p w14:paraId="389AF47C" w14:textId="77777777" w:rsidR="009103CC" w:rsidRPr="00AF25C4" w:rsidRDefault="009103CC" w:rsidP="002718DF">
            <w:pPr>
              <w:pStyle w:val="Tabletext"/>
              <w:jc w:val="right"/>
              <w:rPr>
                <w:b/>
                <w:bCs/>
                <w:sz w:val="15"/>
              </w:rPr>
            </w:pPr>
            <w:r w:rsidRPr="00AF25C4">
              <w:rPr>
                <w:b/>
                <w:bCs/>
                <w:sz w:val="15"/>
              </w:rPr>
              <w:t>$67.92</w:t>
            </w:r>
          </w:p>
          <w:p w14:paraId="2BA1F8E3" w14:textId="77777777" w:rsidR="009103CC" w:rsidRPr="00AF25C4" w:rsidRDefault="009103CC" w:rsidP="002718DF">
            <w:pPr>
              <w:pStyle w:val="Tabletext"/>
              <w:jc w:val="right"/>
              <w:rPr>
                <w:b/>
                <w:bCs/>
                <w:sz w:val="15"/>
              </w:rPr>
            </w:pPr>
          </w:p>
        </w:tc>
        <w:tc>
          <w:tcPr>
            <w:tcW w:w="850" w:type="dxa"/>
            <w:tcMar>
              <w:top w:w="0" w:type="dxa"/>
              <w:left w:w="0" w:type="dxa"/>
              <w:bottom w:w="0" w:type="dxa"/>
              <w:right w:w="0" w:type="dxa"/>
            </w:tcMar>
          </w:tcPr>
          <w:p w14:paraId="7FD5ED02" w14:textId="77777777" w:rsidR="009103CC" w:rsidRPr="00AF25C4" w:rsidRDefault="009103CC" w:rsidP="002718DF">
            <w:pPr>
              <w:pStyle w:val="Tabletext"/>
              <w:jc w:val="right"/>
              <w:rPr>
                <w:b/>
                <w:bCs/>
                <w:sz w:val="15"/>
              </w:rPr>
            </w:pPr>
            <w:r w:rsidRPr="00AF25C4">
              <w:rPr>
                <w:b/>
                <w:bCs/>
                <w:sz w:val="15"/>
              </w:rPr>
              <w:t>$63.01</w:t>
            </w:r>
          </w:p>
          <w:p w14:paraId="4CF2700B" w14:textId="77777777" w:rsidR="009103CC" w:rsidRPr="00AF25C4" w:rsidRDefault="009103CC" w:rsidP="002718DF">
            <w:pPr>
              <w:pStyle w:val="Tabletext"/>
              <w:jc w:val="right"/>
              <w:rPr>
                <w:b/>
                <w:bCs/>
                <w:sz w:val="15"/>
              </w:rPr>
            </w:pPr>
          </w:p>
        </w:tc>
        <w:tc>
          <w:tcPr>
            <w:tcW w:w="850" w:type="dxa"/>
            <w:tcMar>
              <w:top w:w="0" w:type="dxa"/>
              <w:left w:w="0" w:type="dxa"/>
              <w:bottom w:w="0" w:type="dxa"/>
              <w:right w:w="0" w:type="dxa"/>
            </w:tcMar>
          </w:tcPr>
          <w:p w14:paraId="0BC13BD4" w14:textId="77777777" w:rsidR="009103CC" w:rsidRPr="00AF25C4" w:rsidRDefault="009103CC" w:rsidP="002718DF">
            <w:pPr>
              <w:pStyle w:val="Tabletext"/>
              <w:jc w:val="right"/>
              <w:rPr>
                <w:b/>
                <w:bCs/>
                <w:sz w:val="15"/>
              </w:rPr>
            </w:pPr>
            <w:r w:rsidRPr="00AF25C4">
              <w:rPr>
                <w:b/>
                <w:bCs/>
                <w:sz w:val="15"/>
              </w:rPr>
              <w:t>$319.35</w:t>
            </w:r>
          </w:p>
          <w:p w14:paraId="0F20E1BA" w14:textId="77777777" w:rsidR="009103CC" w:rsidRPr="00AF25C4" w:rsidRDefault="009103CC" w:rsidP="002718DF">
            <w:pPr>
              <w:pStyle w:val="Tabletext"/>
              <w:jc w:val="right"/>
              <w:rPr>
                <w:b/>
                <w:bCs/>
                <w:sz w:val="15"/>
              </w:rPr>
            </w:pPr>
          </w:p>
        </w:tc>
        <w:tc>
          <w:tcPr>
            <w:tcW w:w="851" w:type="dxa"/>
            <w:tcMar>
              <w:top w:w="0" w:type="dxa"/>
              <w:left w:w="0" w:type="dxa"/>
              <w:bottom w:w="0" w:type="dxa"/>
              <w:right w:w="0" w:type="dxa"/>
            </w:tcMar>
          </w:tcPr>
          <w:p w14:paraId="7B804866" w14:textId="77777777" w:rsidR="009103CC" w:rsidRPr="00AF25C4" w:rsidRDefault="009103CC" w:rsidP="002718DF">
            <w:pPr>
              <w:pStyle w:val="Tabletext"/>
              <w:jc w:val="right"/>
              <w:rPr>
                <w:b/>
                <w:bCs/>
                <w:sz w:val="15"/>
              </w:rPr>
            </w:pPr>
            <w:r w:rsidRPr="00AF25C4">
              <w:rPr>
                <w:b/>
                <w:bCs/>
                <w:sz w:val="15"/>
              </w:rPr>
              <w:t>$63.87</w:t>
            </w:r>
          </w:p>
          <w:p w14:paraId="03667B3A" w14:textId="77777777" w:rsidR="009103CC" w:rsidRPr="00AF25C4" w:rsidRDefault="009103CC" w:rsidP="002718DF">
            <w:pPr>
              <w:pStyle w:val="Tabletext"/>
              <w:jc w:val="right"/>
              <w:rPr>
                <w:b/>
                <w:bCs/>
                <w:sz w:val="15"/>
              </w:rPr>
            </w:pPr>
          </w:p>
        </w:tc>
      </w:tr>
      <w:tr w:rsidR="009103CC" w:rsidRPr="001814D2" w14:paraId="4A06A2B9" w14:textId="77777777" w:rsidTr="002718DF">
        <w:trPr>
          <w:cantSplit/>
          <w:trHeight w:val="170"/>
        </w:trPr>
        <w:tc>
          <w:tcPr>
            <w:tcW w:w="3127" w:type="dxa"/>
            <w:tcMar>
              <w:top w:w="0" w:type="dxa"/>
              <w:left w:w="0" w:type="dxa"/>
              <w:bottom w:w="0" w:type="dxa"/>
              <w:right w:w="0" w:type="dxa"/>
            </w:tcMar>
          </w:tcPr>
          <w:p w14:paraId="37B43727" w14:textId="77777777" w:rsidR="009103CC" w:rsidRPr="00AF25C4" w:rsidRDefault="009103CC" w:rsidP="002718DF">
            <w:pPr>
              <w:pStyle w:val="Tabletext"/>
              <w:rPr>
                <w:sz w:val="15"/>
              </w:rPr>
            </w:pPr>
            <w:r w:rsidRPr="00AF25C4">
              <w:rPr>
                <w:sz w:val="15"/>
              </w:rPr>
              <w:t>Personnel expenses ($ millions)</w:t>
            </w:r>
          </w:p>
        </w:tc>
        <w:tc>
          <w:tcPr>
            <w:tcW w:w="850" w:type="dxa"/>
            <w:tcMar>
              <w:top w:w="0" w:type="dxa"/>
              <w:left w:w="0" w:type="dxa"/>
              <w:bottom w:w="0" w:type="dxa"/>
              <w:right w:w="0" w:type="dxa"/>
            </w:tcMar>
          </w:tcPr>
          <w:p w14:paraId="17B4ACDC" w14:textId="77777777" w:rsidR="009103CC" w:rsidRPr="00AF25C4" w:rsidRDefault="009103CC" w:rsidP="002718DF">
            <w:pPr>
              <w:pStyle w:val="Tabletext"/>
              <w:jc w:val="right"/>
              <w:rPr>
                <w:sz w:val="15"/>
              </w:rPr>
            </w:pPr>
            <w:r w:rsidRPr="00AF25C4">
              <w:rPr>
                <w:sz w:val="15"/>
              </w:rPr>
              <w:t>$24.70</w:t>
            </w:r>
          </w:p>
        </w:tc>
        <w:tc>
          <w:tcPr>
            <w:tcW w:w="850" w:type="dxa"/>
            <w:tcMar>
              <w:top w:w="0" w:type="dxa"/>
              <w:left w:w="0" w:type="dxa"/>
              <w:bottom w:w="0" w:type="dxa"/>
              <w:right w:w="0" w:type="dxa"/>
            </w:tcMar>
          </w:tcPr>
          <w:p w14:paraId="095837A9" w14:textId="77777777" w:rsidR="009103CC" w:rsidRPr="00AF25C4" w:rsidRDefault="009103CC" w:rsidP="002718DF">
            <w:pPr>
              <w:pStyle w:val="Tabletext"/>
              <w:jc w:val="right"/>
              <w:rPr>
                <w:sz w:val="15"/>
              </w:rPr>
            </w:pPr>
            <w:r w:rsidRPr="00AF25C4">
              <w:rPr>
                <w:sz w:val="15"/>
              </w:rPr>
              <w:t>$27.60</w:t>
            </w:r>
          </w:p>
        </w:tc>
        <w:tc>
          <w:tcPr>
            <w:tcW w:w="850" w:type="dxa"/>
            <w:tcMar>
              <w:top w:w="0" w:type="dxa"/>
              <w:left w:w="0" w:type="dxa"/>
              <w:bottom w:w="0" w:type="dxa"/>
              <w:right w:w="0" w:type="dxa"/>
            </w:tcMar>
          </w:tcPr>
          <w:p w14:paraId="185C09AA" w14:textId="77777777" w:rsidR="009103CC" w:rsidRPr="00AF25C4" w:rsidRDefault="009103CC" w:rsidP="002718DF">
            <w:pPr>
              <w:pStyle w:val="Tabletext"/>
              <w:jc w:val="right"/>
              <w:rPr>
                <w:sz w:val="15"/>
              </w:rPr>
            </w:pPr>
            <w:r w:rsidRPr="00AF25C4">
              <w:rPr>
                <w:sz w:val="15"/>
              </w:rPr>
              <w:t>$27.48</w:t>
            </w:r>
          </w:p>
        </w:tc>
        <w:tc>
          <w:tcPr>
            <w:tcW w:w="850" w:type="dxa"/>
            <w:tcMar>
              <w:top w:w="0" w:type="dxa"/>
              <w:left w:w="0" w:type="dxa"/>
              <w:bottom w:w="0" w:type="dxa"/>
              <w:right w:w="0" w:type="dxa"/>
            </w:tcMar>
          </w:tcPr>
          <w:p w14:paraId="1DEB8C3C" w14:textId="77777777" w:rsidR="009103CC" w:rsidRPr="00AF25C4" w:rsidRDefault="009103CC" w:rsidP="002718DF">
            <w:pPr>
              <w:pStyle w:val="Tabletext"/>
              <w:jc w:val="right"/>
              <w:rPr>
                <w:sz w:val="15"/>
              </w:rPr>
            </w:pPr>
            <w:r w:rsidRPr="00AF25C4">
              <w:rPr>
                <w:sz w:val="15"/>
              </w:rPr>
              <w:t>$33.93</w:t>
            </w:r>
          </w:p>
        </w:tc>
        <w:tc>
          <w:tcPr>
            <w:tcW w:w="850" w:type="dxa"/>
            <w:tcMar>
              <w:top w:w="0" w:type="dxa"/>
              <w:left w:w="0" w:type="dxa"/>
              <w:bottom w:w="0" w:type="dxa"/>
              <w:right w:w="0" w:type="dxa"/>
            </w:tcMar>
          </w:tcPr>
          <w:p w14:paraId="706FAC97" w14:textId="77777777" w:rsidR="009103CC" w:rsidRPr="00AF25C4" w:rsidRDefault="009103CC" w:rsidP="002718DF">
            <w:pPr>
              <w:pStyle w:val="Tabletext"/>
              <w:jc w:val="right"/>
              <w:rPr>
                <w:sz w:val="15"/>
              </w:rPr>
            </w:pPr>
            <w:r w:rsidRPr="00AF25C4">
              <w:rPr>
                <w:sz w:val="15"/>
              </w:rPr>
              <w:t>$27.06</w:t>
            </w:r>
          </w:p>
        </w:tc>
        <w:tc>
          <w:tcPr>
            <w:tcW w:w="850" w:type="dxa"/>
            <w:tcMar>
              <w:top w:w="0" w:type="dxa"/>
              <w:left w:w="0" w:type="dxa"/>
              <w:bottom w:w="0" w:type="dxa"/>
              <w:right w:w="0" w:type="dxa"/>
            </w:tcMar>
          </w:tcPr>
          <w:p w14:paraId="073D120C" w14:textId="77777777" w:rsidR="009103CC" w:rsidRPr="00AF25C4" w:rsidRDefault="009103CC" w:rsidP="002718DF">
            <w:pPr>
              <w:pStyle w:val="Tabletext"/>
              <w:jc w:val="right"/>
              <w:rPr>
                <w:sz w:val="15"/>
              </w:rPr>
            </w:pPr>
            <w:r w:rsidRPr="00AF25C4">
              <w:rPr>
                <w:sz w:val="15"/>
              </w:rPr>
              <w:t>$140.77</w:t>
            </w:r>
          </w:p>
        </w:tc>
        <w:tc>
          <w:tcPr>
            <w:tcW w:w="851" w:type="dxa"/>
            <w:tcMar>
              <w:top w:w="0" w:type="dxa"/>
              <w:left w:w="0" w:type="dxa"/>
              <w:bottom w:w="0" w:type="dxa"/>
              <w:right w:w="0" w:type="dxa"/>
            </w:tcMar>
          </w:tcPr>
          <w:p w14:paraId="4CEA0D22" w14:textId="77777777" w:rsidR="009103CC" w:rsidRPr="00AF25C4" w:rsidRDefault="009103CC" w:rsidP="002718DF">
            <w:pPr>
              <w:pStyle w:val="Tabletext"/>
              <w:jc w:val="right"/>
              <w:rPr>
                <w:sz w:val="15"/>
              </w:rPr>
            </w:pPr>
            <w:r w:rsidRPr="00AF25C4">
              <w:rPr>
                <w:sz w:val="15"/>
              </w:rPr>
              <w:t>$28.15</w:t>
            </w:r>
          </w:p>
        </w:tc>
      </w:tr>
      <w:tr w:rsidR="009103CC" w:rsidRPr="001814D2" w14:paraId="2B1F507E" w14:textId="77777777" w:rsidTr="002718DF">
        <w:trPr>
          <w:cantSplit/>
          <w:trHeight w:val="170"/>
        </w:trPr>
        <w:tc>
          <w:tcPr>
            <w:tcW w:w="3127" w:type="dxa"/>
            <w:tcMar>
              <w:top w:w="0" w:type="dxa"/>
              <w:left w:w="0" w:type="dxa"/>
              <w:bottom w:w="0" w:type="dxa"/>
              <w:right w:w="0" w:type="dxa"/>
            </w:tcMar>
          </w:tcPr>
          <w:p w14:paraId="7B9D7715" w14:textId="77777777" w:rsidR="009103CC" w:rsidRPr="00AF25C4" w:rsidRDefault="009103CC" w:rsidP="002718DF">
            <w:pPr>
              <w:pStyle w:val="Tabletext"/>
              <w:rPr>
                <w:sz w:val="15"/>
              </w:rPr>
            </w:pPr>
            <w:r w:rsidRPr="00AF25C4">
              <w:rPr>
                <w:sz w:val="15"/>
              </w:rPr>
              <w:t>Depreciation ($ millions)</w:t>
            </w:r>
          </w:p>
        </w:tc>
        <w:tc>
          <w:tcPr>
            <w:tcW w:w="850" w:type="dxa"/>
            <w:tcMar>
              <w:top w:w="0" w:type="dxa"/>
              <w:left w:w="0" w:type="dxa"/>
              <w:bottom w:w="0" w:type="dxa"/>
              <w:right w:w="0" w:type="dxa"/>
            </w:tcMar>
          </w:tcPr>
          <w:p w14:paraId="62EE65B3" w14:textId="77777777" w:rsidR="009103CC" w:rsidRPr="00AF25C4" w:rsidRDefault="009103CC" w:rsidP="002718DF">
            <w:pPr>
              <w:pStyle w:val="Tabletext"/>
              <w:jc w:val="right"/>
              <w:rPr>
                <w:sz w:val="15"/>
              </w:rPr>
            </w:pPr>
            <w:r w:rsidRPr="00AF25C4">
              <w:rPr>
                <w:sz w:val="15"/>
              </w:rPr>
              <w:t>$3.60</w:t>
            </w:r>
          </w:p>
        </w:tc>
        <w:tc>
          <w:tcPr>
            <w:tcW w:w="850" w:type="dxa"/>
            <w:tcMar>
              <w:top w:w="0" w:type="dxa"/>
              <w:left w:w="0" w:type="dxa"/>
              <w:bottom w:w="0" w:type="dxa"/>
              <w:right w:w="0" w:type="dxa"/>
            </w:tcMar>
          </w:tcPr>
          <w:p w14:paraId="6EC074A4" w14:textId="77777777" w:rsidR="009103CC" w:rsidRPr="00AF25C4" w:rsidRDefault="009103CC" w:rsidP="002718DF">
            <w:pPr>
              <w:pStyle w:val="Tabletext"/>
              <w:jc w:val="right"/>
              <w:rPr>
                <w:sz w:val="15"/>
              </w:rPr>
            </w:pPr>
            <w:r w:rsidRPr="00AF25C4">
              <w:rPr>
                <w:sz w:val="15"/>
              </w:rPr>
              <w:t>$3.80</w:t>
            </w:r>
          </w:p>
        </w:tc>
        <w:tc>
          <w:tcPr>
            <w:tcW w:w="850" w:type="dxa"/>
            <w:tcMar>
              <w:top w:w="0" w:type="dxa"/>
              <w:left w:w="0" w:type="dxa"/>
              <w:bottom w:w="0" w:type="dxa"/>
              <w:right w:w="0" w:type="dxa"/>
            </w:tcMar>
          </w:tcPr>
          <w:p w14:paraId="6847B801" w14:textId="77777777" w:rsidR="009103CC" w:rsidRPr="00AF25C4" w:rsidRDefault="009103CC" w:rsidP="002718DF">
            <w:pPr>
              <w:pStyle w:val="Tabletext"/>
              <w:jc w:val="right"/>
              <w:rPr>
                <w:sz w:val="15"/>
              </w:rPr>
            </w:pPr>
            <w:r w:rsidRPr="00AF25C4">
              <w:rPr>
                <w:sz w:val="15"/>
              </w:rPr>
              <w:t>$4.22</w:t>
            </w:r>
          </w:p>
        </w:tc>
        <w:tc>
          <w:tcPr>
            <w:tcW w:w="850" w:type="dxa"/>
            <w:tcMar>
              <w:top w:w="0" w:type="dxa"/>
              <w:left w:w="0" w:type="dxa"/>
              <w:bottom w:w="0" w:type="dxa"/>
              <w:right w:w="0" w:type="dxa"/>
            </w:tcMar>
          </w:tcPr>
          <w:p w14:paraId="226AE518" w14:textId="77777777" w:rsidR="009103CC" w:rsidRPr="00AF25C4" w:rsidRDefault="009103CC" w:rsidP="002718DF">
            <w:pPr>
              <w:pStyle w:val="Tabletext"/>
              <w:jc w:val="right"/>
              <w:rPr>
                <w:sz w:val="15"/>
              </w:rPr>
            </w:pPr>
            <w:r w:rsidRPr="00AF25C4">
              <w:rPr>
                <w:sz w:val="15"/>
              </w:rPr>
              <w:t>$4.59</w:t>
            </w:r>
          </w:p>
        </w:tc>
        <w:tc>
          <w:tcPr>
            <w:tcW w:w="850" w:type="dxa"/>
            <w:tcMar>
              <w:top w:w="0" w:type="dxa"/>
              <w:left w:w="0" w:type="dxa"/>
              <w:bottom w:w="0" w:type="dxa"/>
              <w:right w:w="0" w:type="dxa"/>
            </w:tcMar>
          </w:tcPr>
          <w:p w14:paraId="79E37E51" w14:textId="77777777" w:rsidR="009103CC" w:rsidRPr="00AF25C4" w:rsidRDefault="009103CC" w:rsidP="002718DF">
            <w:pPr>
              <w:pStyle w:val="Tabletext"/>
              <w:jc w:val="right"/>
              <w:rPr>
                <w:sz w:val="15"/>
              </w:rPr>
            </w:pPr>
            <w:r w:rsidRPr="00AF25C4">
              <w:rPr>
                <w:sz w:val="15"/>
              </w:rPr>
              <w:t>$3.52</w:t>
            </w:r>
          </w:p>
        </w:tc>
        <w:tc>
          <w:tcPr>
            <w:tcW w:w="850" w:type="dxa"/>
            <w:tcMar>
              <w:top w:w="0" w:type="dxa"/>
              <w:left w:w="0" w:type="dxa"/>
              <w:bottom w:w="0" w:type="dxa"/>
              <w:right w:w="0" w:type="dxa"/>
            </w:tcMar>
          </w:tcPr>
          <w:p w14:paraId="2771D6E6" w14:textId="77777777" w:rsidR="009103CC" w:rsidRPr="00AF25C4" w:rsidRDefault="009103CC" w:rsidP="002718DF">
            <w:pPr>
              <w:pStyle w:val="Tabletext"/>
              <w:jc w:val="right"/>
              <w:rPr>
                <w:sz w:val="15"/>
              </w:rPr>
            </w:pPr>
            <w:r w:rsidRPr="00AF25C4">
              <w:rPr>
                <w:sz w:val="15"/>
              </w:rPr>
              <w:t>$19.72</w:t>
            </w:r>
          </w:p>
        </w:tc>
        <w:tc>
          <w:tcPr>
            <w:tcW w:w="851" w:type="dxa"/>
            <w:tcMar>
              <w:top w:w="0" w:type="dxa"/>
              <w:left w:w="0" w:type="dxa"/>
              <w:bottom w:w="0" w:type="dxa"/>
              <w:right w:w="0" w:type="dxa"/>
            </w:tcMar>
          </w:tcPr>
          <w:p w14:paraId="554DF791" w14:textId="77777777" w:rsidR="009103CC" w:rsidRPr="00AF25C4" w:rsidRDefault="009103CC" w:rsidP="002718DF">
            <w:pPr>
              <w:pStyle w:val="Tabletext"/>
              <w:jc w:val="right"/>
              <w:rPr>
                <w:sz w:val="15"/>
              </w:rPr>
            </w:pPr>
            <w:r w:rsidRPr="00AF25C4">
              <w:rPr>
                <w:sz w:val="15"/>
              </w:rPr>
              <w:t>$3.94</w:t>
            </w:r>
          </w:p>
        </w:tc>
      </w:tr>
      <w:tr w:rsidR="009103CC" w:rsidRPr="001814D2" w14:paraId="0D9D6A9F" w14:textId="77777777" w:rsidTr="002718DF">
        <w:trPr>
          <w:cantSplit/>
          <w:trHeight w:val="170"/>
        </w:trPr>
        <w:tc>
          <w:tcPr>
            <w:tcW w:w="3127" w:type="dxa"/>
            <w:tcMar>
              <w:top w:w="0" w:type="dxa"/>
              <w:left w:w="0" w:type="dxa"/>
              <w:bottom w:w="0" w:type="dxa"/>
              <w:right w:w="0" w:type="dxa"/>
            </w:tcMar>
          </w:tcPr>
          <w:p w14:paraId="6B5FAAF1" w14:textId="77777777" w:rsidR="009103CC" w:rsidRPr="00AF25C4" w:rsidRDefault="009103CC" w:rsidP="002718DF">
            <w:pPr>
              <w:pStyle w:val="Tabletext"/>
              <w:rPr>
                <w:sz w:val="15"/>
              </w:rPr>
            </w:pPr>
            <w:r w:rsidRPr="00AF25C4">
              <w:rPr>
                <w:sz w:val="15"/>
              </w:rPr>
              <w:t>Insurance ($ millions)</w:t>
            </w:r>
          </w:p>
        </w:tc>
        <w:tc>
          <w:tcPr>
            <w:tcW w:w="850" w:type="dxa"/>
            <w:tcMar>
              <w:top w:w="0" w:type="dxa"/>
              <w:left w:w="0" w:type="dxa"/>
              <w:bottom w:w="0" w:type="dxa"/>
              <w:right w:w="0" w:type="dxa"/>
            </w:tcMar>
          </w:tcPr>
          <w:p w14:paraId="502DD018" w14:textId="77777777" w:rsidR="009103CC" w:rsidRPr="00AF25C4" w:rsidRDefault="009103CC" w:rsidP="002718DF">
            <w:pPr>
              <w:pStyle w:val="Tabletext"/>
              <w:jc w:val="right"/>
              <w:rPr>
                <w:sz w:val="15"/>
              </w:rPr>
            </w:pPr>
            <w:r w:rsidRPr="00AF25C4">
              <w:rPr>
                <w:sz w:val="15"/>
              </w:rPr>
              <w:t>$1.60</w:t>
            </w:r>
          </w:p>
        </w:tc>
        <w:tc>
          <w:tcPr>
            <w:tcW w:w="850" w:type="dxa"/>
            <w:tcMar>
              <w:top w:w="0" w:type="dxa"/>
              <w:left w:w="0" w:type="dxa"/>
              <w:bottom w:w="0" w:type="dxa"/>
              <w:right w:w="0" w:type="dxa"/>
            </w:tcMar>
          </w:tcPr>
          <w:p w14:paraId="0894FBF8" w14:textId="77777777" w:rsidR="009103CC" w:rsidRPr="00AF25C4" w:rsidRDefault="009103CC" w:rsidP="002718DF">
            <w:pPr>
              <w:pStyle w:val="Tabletext"/>
              <w:jc w:val="right"/>
              <w:rPr>
                <w:sz w:val="15"/>
              </w:rPr>
            </w:pPr>
            <w:r w:rsidRPr="00AF25C4">
              <w:rPr>
                <w:sz w:val="15"/>
              </w:rPr>
              <w:t>$1.80</w:t>
            </w:r>
          </w:p>
        </w:tc>
        <w:tc>
          <w:tcPr>
            <w:tcW w:w="850" w:type="dxa"/>
            <w:tcMar>
              <w:top w:w="0" w:type="dxa"/>
              <w:left w:w="0" w:type="dxa"/>
              <w:bottom w:w="0" w:type="dxa"/>
              <w:right w:w="0" w:type="dxa"/>
            </w:tcMar>
          </w:tcPr>
          <w:p w14:paraId="56930500" w14:textId="77777777" w:rsidR="009103CC" w:rsidRPr="00AF25C4" w:rsidRDefault="009103CC" w:rsidP="002718DF">
            <w:pPr>
              <w:pStyle w:val="Tabletext"/>
              <w:jc w:val="right"/>
              <w:rPr>
                <w:sz w:val="15"/>
              </w:rPr>
            </w:pPr>
            <w:r w:rsidRPr="00AF25C4">
              <w:rPr>
                <w:sz w:val="15"/>
              </w:rPr>
              <w:t>$2.04</w:t>
            </w:r>
          </w:p>
        </w:tc>
        <w:tc>
          <w:tcPr>
            <w:tcW w:w="850" w:type="dxa"/>
            <w:tcMar>
              <w:top w:w="0" w:type="dxa"/>
              <w:left w:w="0" w:type="dxa"/>
              <w:bottom w:w="0" w:type="dxa"/>
              <w:right w:w="0" w:type="dxa"/>
            </w:tcMar>
          </w:tcPr>
          <w:p w14:paraId="6133BBC5" w14:textId="77777777" w:rsidR="009103CC" w:rsidRPr="00AF25C4" w:rsidRDefault="009103CC" w:rsidP="002718DF">
            <w:pPr>
              <w:pStyle w:val="Tabletext"/>
              <w:jc w:val="right"/>
              <w:rPr>
                <w:sz w:val="15"/>
              </w:rPr>
            </w:pPr>
            <w:r w:rsidRPr="00AF25C4">
              <w:rPr>
                <w:sz w:val="15"/>
              </w:rPr>
              <w:t>$1.94</w:t>
            </w:r>
          </w:p>
        </w:tc>
        <w:tc>
          <w:tcPr>
            <w:tcW w:w="850" w:type="dxa"/>
            <w:tcMar>
              <w:top w:w="0" w:type="dxa"/>
              <w:left w:w="0" w:type="dxa"/>
              <w:bottom w:w="0" w:type="dxa"/>
              <w:right w:w="0" w:type="dxa"/>
            </w:tcMar>
          </w:tcPr>
          <w:p w14:paraId="18B76E8D" w14:textId="77777777" w:rsidR="009103CC" w:rsidRPr="00AF25C4" w:rsidRDefault="009103CC" w:rsidP="002718DF">
            <w:pPr>
              <w:pStyle w:val="Tabletext"/>
              <w:jc w:val="right"/>
              <w:rPr>
                <w:sz w:val="15"/>
              </w:rPr>
            </w:pPr>
            <w:r w:rsidRPr="00AF25C4">
              <w:rPr>
                <w:sz w:val="15"/>
              </w:rPr>
              <w:t>$1.41</w:t>
            </w:r>
          </w:p>
        </w:tc>
        <w:tc>
          <w:tcPr>
            <w:tcW w:w="850" w:type="dxa"/>
            <w:tcMar>
              <w:top w:w="0" w:type="dxa"/>
              <w:left w:w="0" w:type="dxa"/>
              <w:bottom w:w="0" w:type="dxa"/>
              <w:right w:w="0" w:type="dxa"/>
            </w:tcMar>
          </w:tcPr>
          <w:p w14:paraId="5018E5F9" w14:textId="77777777" w:rsidR="009103CC" w:rsidRPr="00AF25C4" w:rsidRDefault="009103CC" w:rsidP="002718DF">
            <w:pPr>
              <w:pStyle w:val="Tabletext"/>
              <w:jc w:val="right"/>
              <w:rPr>
                <w:sz w:val="15"/>
              </w:rPr>
            </w:pPr>
            <w:r w:rsidRPr="00AF25C4">
              <w:rPr>
                <w:sz w:val="15"/>
              </w:rPr>
              <w:t>$8.79</w:t>
            </w:r>
          </w:p>
        </w:tc>
        <w:tc>
          <w:tcPr>
            <w:tcW w:w="851" w:type="dxa"/>
            <w:tcMar>
              <w:top w:w="0" w:type="dxa"/>
              <w:left w:w="0" w:type="dxa"/>
              <w:bottom w:w="0" w:type="dxa"/>
              <w:right w:w="0" w:type="dxa"/>
            </w:tcMar>
          </w:tcPr>
          <w:p w14:paraId="663B579F" w14:textId="77777777" w:rsidR="009103CC" w:rsidRPr="00AF25C4" w:rsidRDefault="009103CC" w:rsidP="002718DF">
            <w:pPr>
              <w:pStyle w:val="Tabletext"/>
              <w:jc w:val="right"/>
              <w:rPr>
                <w:sz w:val="15"/>
              </w:rPr>
            </w:pPr>
            <w:r w:rsidRPr="00AF25C4">
              <w:rPr>
                <w:sz w:val="15"/>
              </w:rPr>
              <w:t>$1.76</w:t>
            </w:r>
          </w:p>
        </w:tc>
      </w:tr>
      <w:tr w:rsidR="009103CC" w:rsidRPr="001814D2" w14:paraId="260597DD" w14:textId="77777777" w:rsidTr="002718DF">
        <w:trPr>
          <w:cantSplit/>
          <w:trHeight w:val="170"/>
        </w:trPr>
        <w:tc>
          <w:tcPr>
            <w:tcW w:w="3127" w:type="dxa"/>
            <w:tcMar>
              <w:top w:w="0" w:type="dxa"/>
              <w:left w:w="0" w:type="dxa"/>
              <w:bottom w:w="0" w:type="dxa"/>
              <w:right w:w="0" w:type="dxa"/>
            </w:tcMar>
          </w:tcPr>
          <w:p w14:paraId="6B1012E7" w14:textId="77777777" w:rsidR="009103CC" w:rsidRPr="00AF25C4" w:rsidRDefault="009103CC" w:rsidP="002718DF">
            <w:pPr>
              <w:pStyle w:val="Tabletext"/>
              <w:rPr>
                <w:sz w:val="15"/>
              </w:rPr>
            </w:pPr>
            <w:r w:rsidRPr="00AF25C4">
              <w:rPr>
                <w:sz w:val="15"/>
              </w:rPr>
              <w:t>Other operating expenses ($ millions)</w:t>
            </w:r>
          </w:p>
        </w:tc>
        <w:tc>
          <w:tcPr>
            <w:tcW w:w="850" w:type="dxa"/>
            <w:tcMar>
              <w:top w:w="0" w:type="dxa"/>
              <w:left w:w="0" w:type="dxa"/>
              <w:bottom w:w="0" w:type="dxa"/>
              <w:right w:w="0" w:type="dxa"/>
            </w:tcMar>
          </w:tcPr>
          <w:p w14:paraId="62B20A26" w14:textId="77777777" w:rsidR="009103CC" w:rsidRPr="00AF25C4" w:rsidRDefault="009103CC" w:rsidP="002718DF">
            <w:pPr>
              <w:pStyle w:val="Tabletext"/>
              <w:jc w:val="right"/>
              <w:rPr>
                <w:sz w:val="15"/>
              </w:rPr>
            </w:pPr>
            <w:r w:rsidRPr="00AF25C4">
              <w:rPr>
                <w:sz w:val="15"/>
              </w:rPr>
              <w:t>$21.90</w:t>
            </w:r>
          </w:p>
        </w:tc>
        <w:tc>
          <w:tcPr>
            <w:tcW w:w="850" w:type="dxa"/>
            <w:tcMar>
              <w:top w:w="0" w:type="dxa"/>
              <w:left w:w="0" w:type="dxa"/>
              <w:bottom w:w="0" w:type="dxa"/>
              <w:right w:w="0" w:type="dxa"/>
            </w:tcMar>
          </w:tcPr>
          <w:p w14:paraId="633C32BD" w14:textId="77777777" w:rsidR="009103CC" w:rsidRPr="00AF25C4" w:rsidRDefault="009103CC" w:rsidP="002718DF">
            <w:pPr>
              <w:pStyle w:val="Tabletext"/>
              <w:jc w:val="right"/>
              <w:rPr>
                <w:sz w:val="15"/>
              </w:rPr>
            </w:pPr>
            <w:r w:rsidRPr="00AF25C4">
              <w:rPr>
                <w:sz w:val="15"/>
              </w:rPr>
              <w:t>$25.50</w:t>
            </w:r>
          </w:p>
        </w:tc>
        <w:tc>
          <w:tcPr>
            <w:tcW w:w="850" w:type="dxa"/>
            <w:tcMar>
              <w:top w:w="0" w:type="dxa"/>
              <w:left w:w="0" w:type="dxa"/>
              <w:bottom w:w="0" w:type="dxa"/>
              <w:right w:w="0" w:type="dxa"/>
            </w:tcMar>
          </w:tcPr>
          <w:p w14:paraId="17735BD2" w14:textId="77777777" w:rsidR="009103CC" w:rsidRPr="00AF25C4" w:rsidRDefault="009103CC" w:rsidP="002718DF">
            <w:pPr>
              <w:pStyle w:val="Tabletext"/>
              <w:jc w:val="right"/>
              <w:rPr>
                <w:sz w:val="15"/>
              </w:rPr>
            </w:pPr>
            <w:r w:rsidRPr="00AF25C4">
              <w:rPr>
                <w:sz w:val="15"/>
              </w:rPr>
              <w:t>$30.57</w:t>
            </w:r>
          </w:p>
        </w:tc>
        <w:tc>
          <w:tcPr>
            <w:tcW w:w="850" w:type="dxa"/>
            <w:tcMar>
              <w:top w:w="0" w:type="dxa"/>
              <w:left w:w="0" w:type="dxa"/>
              <w:bottom w:w="0" w:type="dxa"/>
              <w:right w:w="0" w:type="dxa"/>
            </w:tcMar>
          </w:tcPr>
          <w:p w14:paraId="3F9654FD" w14:textId="77777777" w:rsidR="009103CC" w:rsidRPr="00AF25C4" w:rsidRDefault="009103CC" w:rsidP="002718DF">
            <w:pPr>
              <w:pStyle w:val="Tabletext"/>
              <w:jc w:val="right"/>
              <w:rPr>
                <w:sz w:val="15"/>
              </w:rPr>
            </w:pPr>
            <w:r w:rsidRPr="00AF25C4">
              <w:rPr>
                <w:sz w:val="15"/>
              </w:rPr>
              <w:t>$22.64</w:t>
            </w:r>
          </w:p>
        </w:tc>
        <w:tc>
          <w:tcPr>
            <w:tcW w:w="850" w:type="dxa"/>
            <w:tcMar>
              <w:top w:w="0" w:type="dxa"/>
              <w:left w:w="0" w:type="dxa"/>
              <w:bottom w:w="0" w:type="dxa"/>
              <w:right w:w="0" w:type="dxa"/>
            </w:tcMar>
          </w:tcPr>
          <w:p w14:paraId="0547559D" w14:textId="77777777" w:rsidR="009103CC" w:rsidRPr="00AF25C4" w:rsidRDefault="009103CC" w:rsidP="002718DF">
            <w:pPr>
              <w:pStyle w:val="Tabletext"/>
              <w:jc w:val="right"/>
              <w:rPr>
                <w:sz w:val="15"/>
              </w:rPr>
            </w:pPr>
            <w:r w:rsidRPr="00AF25C4">
              <w:rPr>
                <w:sz w:val="15"/>
              </w:rPr>
              <w:t>$19.50</w:t>
            </w:r>
          </w:p>
        </w:tc>
        <w:tc>
          <w:tcPr>
            <w:tcW w:w="850" w:type="dxa"/>
            <w:tcMar>
              <w:top w:w="0" w:type="dxa"/>
              <w:left w:w="0" w:type="dxa"/>
              <w:bottom w:w="0" w:type="dxa"/>
              <w:right w:w="0" w:type="dxa"/>
            </w:tcMar>
          </w:tcPr>
          <w:p w14:paraId="1CAC2A80" w14:textId="77777777" w:rsidR="009103CC" w:rsidRPr="00AF25C4" w:rsidRDefault="009103CC" w:rsidP="002718DF">
            <w:pPr>
              <w:pStyle w:val="Tabletext"/>
              <w:jc w:val="right"/>
              <w:rPr>
                <w:sz w:val="15"/>
              </w:rPr>
            </w:pPr>
            <w:r w:rsidRPr="00AF25C4">
              <w:rPr>
                <w:sz w:val="15"/>
              </w:rPr>
              <w:t>$120.10</w:t>
            </w:r>
          </w:p>
        </w:tc>
        <w:tc>
          <w:tcPr>
            <w:tcW w:w="851" w:type="dxa"/>
            <w:tcMar>
              <w:top w:w="0" w:type="dxa"/>
              <w:left w:w="0" w:type="dxa"/>
              <w:bottom w:w="0" w:type="dxa"/>
              <w:right w:w="0" w:type="dxa"/>
            </w:tcMar>
          </w:tcPr>
          <w:p w14:paraId="13E72866" w14:textId="77777777" w:rsidR="009103CC" w:rsidRPr="00AF25C4" w:rsidRDefault="009103CC" w:rsidP="002718DF">
            <w:pPr>
              <w:pStyle w:val="Tabletext"/>
              <w:jc w:val="right"/>
              <w:rPr>
                <w:sz w:val="15"/>
              </w:rPr>
            </w:pPr>
            <w:r w:rsidRPr="00AF25C4">
              <w:rPr>
                <w:sz w:val="15"/>
              </w:rPr>
              <w:t>$24.02</w:t>
            </w:r>
          </w:p>
        </w:tc>
      </w:tr>
      <w:tr w:rsidR="009103CC" w:rsidRPr="00AF25C4" w14:paraId="19A971F1" w14:textId="77777777" w:rsidTr="002718DF">
        <w:trPr>
          <w:cantSplit/>
          <w:trHeight w:val="170"/>
        </w:trPr>
        <w:tc>
          <w:tcPr>
            <w:tcW w:w="3127" w:type="dxa"/>
            <w:tcMar>
              <w:top w:w="0" w:type="dxa"/>
              <w:left w:w="0" w:type="dxa"/>
              <w:bottom w:w="0" w:type="dxa"/>
              <w:right w:w="0" w:type="dxa"/>
            </w:tcMar>
          </w:tcPr>
          <w:p w14:paraId="3F9FC5B6" w14:textId="77777777" w:rsidR="009103CC" w:rsidRPr="00AF25C4" w:rsidRDefault="009103CC" w:rsidP="002718DF">
            <w:pPr>
              <w:pStyle w:val="Tabletext"/>
              <w:rPr>
                <w:b/>
                <w:bCs/>
                <w:sz w:val="15"/>
              </w:rPr>
            </w:pPr>
            <w:r w:rsidRPr="00AF25C4">
              <w:rPr>
                <w:b/>
                <w:bCs/>
                <w:sz w:val="15"/>
              </w:rPr>
              <w:t>Total operating expenses ($ millions)</w:t>
            </w:r>
          </w:p>
        </w:tc>
        <w:tc>
          <w:tcPr>
            <w:tcW w:w="850" w:type="dxa"/>
            <w:tcMar>
              <w:top w:w="0" w:type="dxa"/>
              <w:left w:w="0" w:type="dxa"/>
              <w:bottom w:w="0" w:type="dxa"/>
              <w:right w:w="0" w:type="dxa"/>
            </w:tcMar>
          </w:tcPr>
          <w:p w14:paraId="6F70BB72" w14:textId="77777777" w:rsidR="009103CC" w:rsidRPr="00AF25C4" w:rsidRDefault="009103CC" w:rsidP="002718DF">
            <w:pPr>
              <w:pStyle w:val="Tabletext"/>
              <w:jc w:val="right"/>
              <w:rPr>
                <w:b/>
                <w:bCs/>
                <w:sz w:val="15"/>
              </w:rPr>
            </w:pPr>
            <w:r w:rsidRPr="00AF25C4">
              <w:rPr>
                <w:b/>
                <w:bCs/>
                <w:sz w:val="15"/>
              </w:rPr>
              <w:t>$51.80</w:t>
            </w:r>
          </w:p>
        </w:tc>
        <w:tc>
          <w:tcPr>
            <w:tcW w:w="850" w:type="dxa"/>
            <w:tcMar>
              <w:top w:w="0" w:type="dxa"/>
              <w:left w:w="0" w:type="dxa"/>
              <w:bottom w:w="0" w:type="dxa"/>
              <w:right w:w="0" w:type="dxa"/>
            </w:tcMar>
          </w:tcPr>
          <w:p w14:paraId="52D3E692" w14:textId="77777777" w:rsidR="009103CC" w:rsidRPr="00AF25C4" w:rsidRDefault="009103CC" w:rsidP="002718DF">
            <w:pPr>
              <w:pStyle w:val="Tabletext"/>
              <w:jc w:val="right"/>
              <w:rPr>
                <w:b/>
                <w:bCs/>
                <w:sz w:val="15"/>
              </w:rPr>
            </w:pPr>
            <w:r w:rsidRPr="00AF25C4">
              <w:rPr>
                <w:b/>
                <w:bCs/>
                <w:sz w:val="15"/>
              </w:rPr>
              <w:t>$58.70</w:t>
            </w:r>
          </w:p>
        </w:tc>
        <w:tc>
          <w:tcPr>
            <w:tcW w:w="850" w:type="dxa"/>
            <w:tcMar>
              <w:top w:w="0" w:type="dxa"/>
              <w:left w:w="0" w:type="dxa"/>
              <w:bottom w:w="0" w:type="dxa"/>
              <w:right w:w="0" w:type="dxa"/>
            </w:tcMar>
          </w:tcPr>
          <w:p w14:paraId="26414715" w14:textId="77777777" w:rsidR="009103CC" w:rsidRPr="00AF25C4" w:rsidRDefault="009103CC" w:rsidP="002718DF">
            <w:pPr>
              <w:pStyle w:val="Tabletext"/>
              <w:jc w:val="right"/>
              <w:rPr>
                <w:b/>
                <w:bCs/>
                <w:sz w:val="15"/>
              </w:rPr>
            </w:pPr>
            <w:r w:rsidRPr="00AF25C4">
              <w:rPr>
                <w:b/>
                <w:bCs/>
                <w:sz w:val="15"/>
              </w:rPr>
              <w:t>$64.30</w:t>
            </w:r>
          </w:p>
        </w:tc>
        <w:tc>
          <w:tcPr>
            <w:tcW w:w="850" w:type="dxa"/>
            <w:tcMar>
              <w:top w:w="0" w:type="dxa"/>
              <w:left w:w="0" w:type="dxa"/>
              <w:bottom w:w="0" w:type="dxa"/>
              <w:right w:w="0" w:type="dxa"/>
            </w:tcMar>
          </w:tcPr>
          <w:p w14:paraId="3150B484" w14:textId="77777777" w:rsidR="009103CC" w:rsidRPr="00AF25C4" w:rsidRDefault="009103CC" w:rsidP="002718DF">
            <w:pPr>
              <w:pStyle w:val="Tabletext"/>
              <w:jc w:val="right"/>
              <w:rPr>
                <w:b/>
                <w:bCs/>
                <w:sz w:val="15"/>
              </w:rPr>
            </w:pPr>
            <w:r w:rsidRPr="00AF25C4">
              <w:rPr>
                <w:b/>
                <w:bCs/>
                <w:sz w:val="15"/>
              </w:rPr>
              <w:t>$63.10</w:t>
            </w:r>
          </w:p>
        </w:tc>
        <w:tc>
          <w:tcPr>
            <w:tcW w:w="850" w:type="dxa"/>
            <w:tcMar>
              <w:top w:w="0" w:type="dxa"/>
              <w:left w:w="0" w:type="dxa"/>
              <w:bottom w:w="0" w:type="dxa"/>
              <w:right w:w="0" w:type="dxa"/>
            </w:tcMar>
          </w:tcPr>
          <w:p w14:paraId="0029F52A" w14:textId="77777777" w:rsidR="009103CC" w:rsidRPr="00AF25C4" w:rsidRDefault="009103CC" w:rsidP="002718DF">
            <w:pPr>
              <w:pStyle w:val="Tabletext"/>
              <w:jc w:val="right"/>
              <w:rPr>
                <w:b/>
                <w:bCs/>
                <w:sz w:val="15"/>
              </w:rPr>
            </w:pPr>
            <w:r w:rsidRPr="00AF25C4">
              <w:rPr>
                <w:b/>
                <w:bCs/>
                <w:sz w:val="15"/>
              </w:rPr>
              <w:t>$51.49</w:t>
            </w:r>
          </w:p>
        </w:tc>
        <w:tc>
          <w:tcPr>
            <w:tcW w:w="850" w:type="dxa"/>
            <w:tcMar>
              <w:top w:w="0" w:type="dxa"/>
              <w:left w:w="0" w:type="dxa"/>
              <w:bottom w:w="0" w:type="dxa"/>
              <w:right w:w="0" w:type="dxa"/>
            </w:tcMar>
          </w:tcPr>
          <w:p w14:paraId="64AEEB20" w14:textId="77777777" w:rsidR="009103CC" w:rsidRPr="00AF25C4" w:rsidRDefault="009103CC" w:rsidP="002718DF">
            <w:pPr>
              <w:pStyle w:val="Tabletext"/>
              <w:jc w:val="right"/>
              <w:rPr>
                <w:b/>
                <w:bCs/>
                <w:sz w:val="15"/>
              </w:rPr>
            </w:pPr>
            <w:r w:rsidRPr="00AF25C4">
              <w:rPr>
                <w:b/>
                <w:bCs/>
                <w:sz w:val="15"/>
              </w:rPr>
              <w:t>$289.38</w:t>
            </w:r>
          </w:p>
        </w:tc>
        <w:tc>
          <w:tcPr>
            <w:tcW w:w="851" w:type="dxa"/>
            <w:tcMar>
              <w:top w:w="0" w:type="dxa"/>
              <w:left w:w="0" w:type="dxa"/>
              <w:bottom w:w="0" w:type="dxa"/>
              <w:right w:w="0" w:type="dxa"/>
            </w:tcMar>
          </w:tcPr>
          <w:p w14:paraId="257F2489" w14:textId="77777777" w:rsidR="009103CC" w:rsidRPr="00AF25C4" w:rsidRDefault="009103CC" w:rsidP="002718DF">
            <w:pPr>
              <w:pStyle w:val="Tabletext"/>
              <w:jc w:val="right"/>
              <w:rPr>
                <w:b/>
                <w:bCs/>
                <w:sz w:val="15"/>
              </w:rPr>
            </w:pPr>
            <w:r w:rsidRPr="00AF25C4">
              <w:rPr>
                <w:b/>
                <w:bCs/>
                <w:sz w:val="15"/>
              </w:rPr>
              <w:t>$57.88</w:t>
            </w:r>
          </w:p>
        </w:tc>
      </w:tr>
      <w:tr w:rsidR="009103CC" w:rsidRPr="001814D2" w14:paraId="75533E8D" w14:textId="77777777" w:rsidTr="002718DF">
        <w:trPr>
          <w:cantSplit/>
          <w:trHeight w:val="170"/>
        </w:trPr>
        <w:tc>
          <w:tcPr>
            <w:tcW w:w="3127" w:type="dxa"/>
            <w:tcMar>
              <w:top w:w="0" w:type="dxa"/>
              <w:left w:w="0" w:type="dxa"/>
              <w:bottom w:w="0" w:type="dxa"/>
              <w:right w:w="0" w:type="dxa"/>
            </w:tcMar>
          </w:tcPr>
          <w:p w14:paraId="1484D9AF" w14:textId="77777777" w:rsidR="009103CC" w:rsidRPr="00AF25C4" w:rsidRDefault="009103CC" w:rsidP="002718DF">
            <w:pPr>
              <w:pStyle w:val="Tabletext"/>
              <w:rPr>
                <w:sz w:val="15"/>
              </w:rPr>
            </w:pPr>
            <w:r w:rsidRPr="00AF25C4">
              <w:rPr>
                <w:sz w:val="15"/>
              </w:rPr>
              <w:t>Recurrent appropriation ($ millions)</w:t>
            </w:r>
          </w:p>
        </w:tc>
        <w:tc>
          <w:tcPr>
            <w:tcW w:w="850" w:type="dxa"/>
            <w:tcMar>
              <w:top w:w="0" w:type="dxa"/>
              <w:left w:w="0" w:type="dxa"/>
              <w:bottom w:w="0" w:type="dxa"/>
              <w:right w:w="0" w:type="dxa"/>
            </w:tcMar>
          </w:tcPr>
          <w:p w14:paraId="479FCBB7" w14:textId="77777777" w:rsidR="009103CC" w:rsidRPr="00AF25C4" w:rsidRDefault="009103CC" w:rsidP="002718DF">
            <w:pPr>
              <w:pStyle w:val="Tabletext"/>
              <w:jc w:val="right"/>
              <w:rPr>
                <w:sz w:val="15"/>
              </w:rPr>
            </w:pPr>
            <w:r w:rsidRPr="00AF25C4">
              <w:rPr>
                <w:sz w:val="15"/>
              </w:rPr>
              <w:t>$23.90</w:t>
            </w:r>
          </w:p>
        </w:tc>
        <w:tc>
          <w:tcPr>
            <w:tcW w:w="850" w:type="dxa"/>
            <w:tcMar>
              <w:top w:w="0" w:type="dxa"/>
              <w:left w:w="0" w:type="dxa"/>
              <w:bottom w:w="0" w:type="dxa"/>
              <w:right w:w="0" w:type="dxa"/>
            </w:tcMar>
          </w:tcPr>
          <w:p w14:paraId="58570DB6" w14:textId="77777777" w:rsidR="009103CC" w:rsidRPr="00AF25C4" w:rsidRDefault="009103CC" w:rsidP="002718DF">
            <w:pPr>
              <w:pStyle w:val="Tabletext"/>
              <w:jc w:val="right"/>
              <w:rPr>
                <w:sz w:val="15"/>
              </w:rPr>
            </w:pPr>
            <w:r w:rsidRPr="00AF25C4">
              <w:rPr>
                <w:sz w:val="15"/>
              </w:rPr>
              <w:t>$24.00</w:t>
            </w:r>
          </w:p>
        </w:tc>
        <w:tc>
          <w:tcPr>
            <w:tcW w:w="850" w:type="dxa"/>
            <w:tcMar>
              <w:top w:w="0" w:type="dxa"/>
              <w:left w:w="0" w:type="dxa"/>
              <w:bottom w:w="0" w:type="dxa"/>
              <w:right w:w="0" w:type="dxa"/>
            </w:tcMar>
          </w:tcPr>
          <w:p w14:paraId="1EB5DDFB" w14:textId="77777777" w:rsidR="009103CC" w:rsidRPr="00AF25C4" w:rsidRDefault="009103CC" w:rsidP="002718DF">
            <w:pPr>
              <w:pStyle w:val="Tabletext"/>
              <w:jc w:val="right"/>
              <w:rPr>
                <w:sz w:val="15"/>
              </w:rPr>
            </w:pPr>
            <w:r w:rsidRPr="00AF25C4">
              <w:rPr>
                <w:sz w:val="15"/>
              </w:rPr>
              <w:t>$25.41</w:t>
            </w:r>
          </w:p>
        </w:tc>
        <w:tc>
          <w:tcPr>
            <w:tcW w:w="850" w:type="dxa"/>
            <w:tcMar>
              <w:top w:w="0" w:type="dxa"/>
              <w:left w:w="0" w:type="dxa"/>
              <w:bottom w:w="0" w:type="dxa"/>
              <w:right w:w="0" w:type="dxa"/>
            </w:tcMar>
          </w:tcPr>
          <w:p w14:paraId="42119803" w14:textId="77777777" w:rsidR="009103CC" w:rsidRPr="00AF25C4" w:rsidRDefault="009103CC" w:rsidP="002718DF">
            <w:pPr>
              <w:pStyle w:val="Tabletext"/>
              <w:jc w:val="right"/>
              <w:rPr>
                <w:sz w:val="15"/>
              </w:rPr>
            </w:pPr>
            <w:r w:rsidRPr="00AF25C4">
              <w:rPr>
                <w:sz w:val="15"/>
              </w:rPr>
              <w:t>$29.36</w:t>
            </w:r>
          </w:p>
        </w:tc>
        <w:tc>
          <w:tcPr>
            <w:tcW w:w="850" w:type="dxa"/>
            <w:tcMar>
              <w:top w:w="0" w:type="dxa"/>
              <w:left w:w="0" w:type="dxa"/>
              <w:bottom w:w="0" w:type="dxa"/>
              <w:right w:w="0" w:type="dxa"/>
            </w:tcMar>
          </w:tcPr>
          <w:p w14:paraId="38017CEA" w14:textId="77777777" w:rsidR="009103CC" w:rsidRPr="00AF25C4" w:rsidRDefault="009103CC" w:rsidP="002718DF">
            <w:pPr>
              <w:pStyle w:val="Tabletext"/>
              <w:jc w:val="right"/>
              <w:rPr>
                <w:sz w:val="15"/>
              </w:rPr>
            </w:pPr>
            <w:r w:rsidRPr="00AF25C4">
              <w:rPr>
                <w:sz w:val="15"/>
              </w:rPr>
              <w:t>$33.02</w:t>
            </w:r>
          </w:p>
        </w:tc>
        <w:tc>
          <w:tcPr>
            <w:tcW w:w="850" w:type="dxa"/>
            <w:tcMar>
              <w:top w:w="0" w:type="dxa"/>
              <w:left w:w="0" w:type="dxa"/>
              <w:bottom w:w="0" w:type="dxa"/>
              <w:right w:w="0" w:type="dxa"/>
            </w:tcMar>
          </w:tcPr>
          <w:p w14:paraId="2C21DDF9" w14:textId="77777777" w:rsidR="009103CC" w:rsidRPr="00AF25C4" w:rsidRDefault="009103CC" w:rsidP="002718DF">
            <w:pPr>
              <w:pStyle w:val="Tabletext"/>
              <w:jc w:val="right"/>
              <w:rPr>
                <w:sz w:val="15"/>
              </w:rPr>
            </w:pPr>
            <w:r w:rsidRPr="00AF25C4">
              <w:rPr>
                <w:sz w:val="15"/>
              </w:rPr>
              <w:t>$135.69</w:t>
            </w:r>
          </w:p>
        </w:tc>
        <w:tc>
          <w:tcPr>
            <w:tcW w:w="851" w:type="dxa"/>
            <w:tcMar>
              <w:top w:w="0" w:type="dxa"/>
              <w:left w:w="0" w:type="dxa"/>
              <w:bottom w:w="0" w:type="dxa"/>
              <w:right w:w="0" w:type="dxa"/>
            </w:tcMar>
          </w:tcPr>
          <w:p w14:paraId="2A4D5F71" w14:textId="77777777" w:rsidR="009103CC" w:rsidRPr="00AF25C4" w:rsidRDefault="009103CC" w:rsidP="002718DF">
            <w:pPr>
              <w:pStyle w:val="Tabletext"/>
              <w:jc w:val="right"/>
              <w:rPr>
                <w:sz w:val="15"/>
              </w:rPr>
            </w:pPr>
            <w:r w:rsidRPr="00AF25C4">
              <w:rPr>
                <w:sz w:val="15"/>
              </w:rPr>
              <w:t>$27.14</w:t>
            </w:r>
          </w:p>
        </w:tc>
      </w:tr>
      <w:tr w:rsidR="009103CC" w:rsidRPr="001814D2" w14:paraId="22F5818E" w14:textId="77777777" w:rsidTr="002718DF">
        <w:trPr>
          <w:cantSplit/>
          <w:trHeight w:val="170"/>
        </w:trPr>
        <w:tc>
          <w:tcPr>
            <w:tcW w:w="3127" w:type="dxa"/>
            <w:tcMar>
              <w:top w:w="0" w:type="dxa"/>
              <w:left w:w="0" w:type="dxa"/>
              <w:bottom w:w="0" w:type="dxa"/>
              <w:right w:w="0" w:type="dxa"/>
            </w:tcMar>
          </w:tcPr>
          <w:p w14:paraId="15939286" w14:textId="77777777" w:rsidR="009103CC" w:rsidRPr="00AF25C4" w:rsidRDefault="009103CC" w:rsidP="002718DF">
            <w:pPr>
              <w:pStyle w:val="Tabletext"/>
              <w:rPr>
                <w:sz w:val="15"/>
              </w:rPr>
            </w:pPr>
            <w:r w:rsidRPr="00AF25C4">
              <w:rPr>
                <w:sz w:val="15"/>
              </w:rPr>
              <w:t>Liabilities assumed by government ($ millions)</w:t>
            </w:r>
          </w:p>
        </w:tc>
        <w:tc>
          <w:tcPr>
            <w:tcW w:w="850" w:type="dxa"/>
            <w:tcMar>
              <w:top w:w="0" w:type="dxa"/>
              <w:left w:w="0" w:type="dxa"/>
              <w:bottom w:w="0" w:type="dxa"/>
              <w:right w:w="0" w:type="dxa"/>
            </w:tcMar>
          </w:tcPr>
          <w:p w14:paraId="5968D65A" w14:textId="77777777" w:rsidR="009103CC" w:rsidRPr="00AF25C4" w:rsidRDefault="009103CC" w:rsidP="002718DF">
            <w:pPr>
              <w:pStyle w:val="Tabletext"/>
              <w:jc w:val="right"/>
              <w:rPr>
                <w:sz w:val="15"/>
              </w:rPr>
            </w:pPr>
            <w:r w:rsidRPr="00AF25C4">
              <w:rPr>
                <w:sz w:val="15"/>
              </w:rPr>
              <w:t>$1.70</w:t>
            </w:r>
          </w:p>
          <w:p w14:paraId="25F412F6"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1F884029" w14:textId="77777777" w:rsidR="009103CC" w:rsidRPr="00AF25C4" w:rsidRDefault="009103CC" w:rsidP="002718DF">
            <w:pPr>
              <w:pStyle w:val="Tabletext"/>
              <w:jc w:val="right"/>
              <w:rPr>
                <w:sz w:val="15"/>
              </w:rPr>
            </w:pPr>
            <w:r w:rsidRPr="00AF25C4">
              <w:rPr>
                <w:sz w:val="15"/>
              </w:rPr>
              <w:t>$1.00</w:t>
            </w:r>
          </w:p>
          <w:p w14:paraId="491221BC"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57A51604" w14:textId="77777777" w:rsidR="009103CC" w:rsidRPr="00AF25C4" w:rsidRDefault="009103CC" w:rsidP="002718DF">
            <w:pPr>
              <w:pStyle w:val="Tabletext"/>
              <w:jc w:val="right"/>
              <w:rPr>
                <w:sz w:val="15"/>
              </w:rPr>
            </w:pPr>
            <w:r w:rsidRPr="00AF25C4">
              <w:rPr>
                <w:sz w:val="15"/>
              </w:rPr>
              <w:t>$1.50</w:t>
            </w:r>
          </w:p>
          <w:p w14:paraId="734A86CB"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0D2216CE" w14:textId="77777777" w:rsidR="009103CC" w:rsidRPr="00AF25C4" w:rsidRDefault="009103CC" w:rsidP="002718DF">
            <w:pPr>
              <w:pStyle w:val="Tabletext"/>
              <w:jc w:val="right"/>
              <w:rPr>
                <w:sz w:val="15"/>
              </w:rPr>
            </w:pPr>
            <w:r w:rsidRPr="00AF25C4">
              <w:rPr>
                <w:sz w:val="15"/>
              </w:rPr>
              <w:t>$4.97</w:t>
            </w:r>
          </w:p>
          <w:p w14:paraId="6FD19674"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5685D421" w14:textId="77777777" w:rsidR="009103CC" w:rsidRPr="00AF25C4" w:rsidRDefault="009103CC" w:rsidP="002718DF">
            <w:pPr>
              <w:pStyle w:val="Tabletext"/>
              <w:jc w:val="right"/>
              <w:rPr>
                <w:sz w:val="15"/>
              </w:rPr>
            </w:pPr>
            <w:r w:rsidRPr="00AF25C4">
              <w:rPr>
                <w:sz w:val="15"/>
              </w:rPr>
              <w:t>-$2.73</w:t>
            </w:r>
          </w:p>
          <w:p w14:paraId="6727D6B8" w14:textId="77777777" w:rsidR="009103CC" w:rsidRPr="00AF25C4" w:rsidRDefault="009103CC" w:rsidP="002718DF">
            <w:pPr>
              <w:pStyle w:val="Tabletext"/>
              <w:jc w:val="right"/>
              <w:rPr>
                <w:sz w:val="15"/>
              </w:rPr>
            </w:pPr>
          </w:p>
        </w:tc>
        <w:tc>
          <w:tcPr>
            <w:tcW w:w="850" w:type="dxa"/>
            <w:tcMar>
              <w:top w:w="0" w:type="dxa"/>
              <w:left w:w="0" w:type="dxa"/>
              <w:bottom w:w="0" w:type="dxa"/>
              <w:right w:w="0" w:type="dxa"/>
            </w:tcMar>
          </w:tcPr>
          <w:p w14:paraId="7E653DC9" w14:textId="77777777" w:rsidR="009103CC" w:rsidRPr="00AF25C4" w:rsidRDefault="009103CC" w:rsidP="002718DF">
            <w:pPr>
              <w:pStyle w:val="Tabletext"/>
              <w:jc w:val="right"/>
              <w:rPr>
                <w:sz w:val="15"/>
              </w:rPr>
            </w:pPr>
            <w:r w:rsidRPr="00AF25C4">
              <w:rPr>
                <w:sz w:val="15"/>
              </w:rPr>
              <w:t>$6.44</w:t>
            </w:r>
          </w:p>
          <w:p w14:paraId="0D004C45" w14:textId="77777777" w:rsidR="009103CC" w:rsidRPr="00AF25C4" w:rsidRDefault="009103CC" w:rsidP="002718DF">
            <w:pPr>
              <w:pStyle w:val="Tabletext"/>
              <w:jc w:val="right"/>
              <w:rPr>
                <w:sz w:val="15"/>
              </w:rPr>
            </w:pPr>
          </w:p>
        </w:tc>
        <w:tc>
          <w:tcPr>
            <w:tcW w:w="851" w:type="dxa"/>
            <w:tcMar>
              <w:top w:w="0" w:type="dxa"/>
              <w:left w:w="0" w:type="dxa"/>
              <w:bottom w:w="0" w:type="dxa"/>
              <w:right w:w="0" w:type="dxa"/>
            </w:tcMar>
          </w:tcPr>
          <w:p w14:paraId="5F7ABD78" w14:textId="77777777" w:rsidR="009103CC" w:rsidRPr="00AF25C4" w:rsidRDefault="009103CC" w:rsidP="002718DF">
            <w:pPr>
              <w:pStyle w:val="Tabletext"/>
              <w:jc w:val="right"/>
              <w:rPr>
                <w:sz w:val="15"/>
              </w:rPr>
            </w:pPr>
            <w:r w:rsidRPr="00AF25C4">
              <w:rPr>
                <w:sz w:val="15"/>
              </w:rPr>
              <w:t>$1.29</w:t>
            </w:r>
          </w:p>
          <w:p w14:paraId="02C38C99" w14:textId="77777777" w:rsidR="009103CC" w:rsidRPr="00AF25C4" w:rsidRDefault="009103CC" w:rsidP="002718DF">
            <w:pPr>
              <w:pStyle w:val="Tabletext"/>
              <w:jc w:val="right"/>
              <w:rPr>
                <w:sz w:val="15"/>
              </w:rPr>
            </w:pPr>
          </w:p>
        </w:tc>
      </w:tr>
      <w:tr w:rsidR="009103CC" w:rsidRPr="001814D2" w14:paraId="37D8DBD3" w14:textId="77777777" w:rsidTr="002718DF">
        <w:trPr>
          <w:cantSplit/>
          <w:trHeight w:val="370"/>
        </w:trPr>
        <w:tc>
          <w:tcPr>
            <w:tcW w:w="3127" w:type="dxa"/>
            <w:tcMar>
              <w:top w:w="0" w:type="dxa"/>
              <w:left w:w="0" w:type="dxa"/>
              <w:bottom w:w="0" w:type="dxa"/>
              <w:right w:w="0" w:type="dxa"/>
            </w:tcMar>
          </w:tcPr>
          <w:p w14:paraId="3F77F25D" w14:textId="77777777" w:rsidR="009103CC" w:rsidRPr="00AF25C4" w:rsidRDefault="009103CC" w:rsidP="002718DF">
            <w:pPr>
              <w:pStyle w:val="Tabletext"/>
              <w:rPr>
                <w:sz w:val="15"/>
              </w:rPr>
            </w:pPr>
            <w:r w:rsidRPr="00AF25C4">
              <w:rPr>
                <w:sz w:val="15"/>
              </w:rPr>
              <w:t>Capital appropriation / other ($ millions)</w:t>
            </w:r>
          </w:p>
        </w:tc>
        <w:tc>
          <w:tcPr>
            <w:tcW w:w="850" w:type="dxa"/>
            <w:tcMar>
              <w:top w:w="0" w:type="dxa"/>
              <w:left w:w="0" w:type="dxa"/>
              <w:bottom w:w="0" w:type="dxa"/>
              <w:right w:w="0" w:type="dxa"/>
            </w:tcMar>
          </w:tcPr>
          <w:p w14:paraId="7799B917" w14:textId="77777777" w:rsidR="009103CC" w:rsidRPr="00AF25C4" w:rsidRDefault="009103CC" w:rsidP="002718DF">
            <w:pPr>
              <w:pStyle w:val="Tabletext"/>
              <w:jc w:val="right"/>
              <w:rPr>
                <w:sz w:val="15"/>
              </w:rPr>
            </w:pPr>
            <w:r w:rsidRPr="00AF25C4">
              <w:rPr>
                <w:sz w:val="15"/>
              </w:rPr>
              <w:t>$5.50</w:t>
            </w:r>
          </w:p>
        </w:tc>
        <w:tc>
          <w:tcPr>
            <w:tcW w:w="850" w:type="dxa"/>
            <w:tcMar>
              <w:top w:w="0" w:type="dxa"/>
              <w:left w:w="0" w:type="dxa"/>
              <w:bottom w:w="0" w:type="dxa"/>
              <w:right w:w="0" w:type="dxa"/>
            </w:tcMar>
          </w:tcPr>
          <w:p w14:paraId="5F5EA95B" w14:textId="77777777" w:rsidR="009103CC" w:rsidRPr="00AF25C4" w:rsidRDefault="009103CC" w:rsidP="002718DF">
            <w:pPr>
              <w:pStyle w:val="Tabletext"/>
              <w:jc w:val="right"/>
              <w:rPr>
                <w:sz w:val="15"/>
              </w:rPr>
            </w:pPr>
            <w:r w:rsidRPr="00AF25C4">
              <w:rPr>
                <w:sz w:val="15"/>
              </w:rPr>
              <w:t>$21.20</w:t>
            </w:r>
          </w:p>
        </w:tc>
        <w:tc>
          <w:tcPr>
            <w:tcW w:w="850" w:type="dxa"/>
            <w:tcMar>
              <w:top w:w="0" w:type="dxa"/>
              <w:left w:w="0" w:type="dxa"/>
              <w:bottom w:w="0" w:type="dxa"/>
              <w:right w:w="0" w:type="dxa"/>
            </w:tcMar>
          </w:tcPr>
          <w:p w14:paraId="4D93E797" w14:textId="77777777" w:rsidR="009103CC" w:rsidRPr="00AF25C4" w:rsidRDefault="009103CC" w:rsidP="002718DF">
            <w:pPr>
              <w:pStyle w:val="Tabletext"/>
              <w:jc w:val="right"/>
              <w:rPr>
                <w:sz w:val="15"/>
              </w:rPr>
            </w:pPr>
            <w:r w:rsidRPr="00AF25C4">
              <w:rPr>
                <w:sz w:val="15"/>
              </w:rPr>
              <w:t>$13.48</w:t>
            </w:r>
          </w:p>
        </w:tc>
        <w:tc>
          <w:tcPr>
            <w:tcW w:w="850" w:type="dxa"/>
            <w:tcMar>
              <w:top w:w="0" w:type="dxa"/>
              <w:left w:w="0" w:type="dxa"/>
              <w:bottom w:w="0" w:type="dxa"/>
              <w:right w:w="0" w:type="dxa"/>
            </w:tcMar>
          </w:tcPr>
          <w:p w14:paraId="3E287C66" w14:textId="77777777" w:rsidR="009103CC" w:rsidRPr="00AF25C4" w:rsidRDefault="009103CC" w:rsidP="002718DF">
            <w:pPr>
              <w:pStyle w:val="Tabletext"/>
              <w:jc w:val="right"/>
              <w:rPr>
                <w:sz w:val="15"/>
              </w:rPr>
            </w:pPr>
            <w:r w:rsidRPr="00AF25C4">
              <w:rPr>
                <w:sz w:val="15"/>
              </w:rPr>
              <w:t>$41.09</w:t>
            </w:r>
          </w:p>
        </w:tc>
        <w:tc>
          <w:tcPr>
            <w:tcW w:w="850" w:type="dxa"/>
            <w:tcMar>
              <w:top w:w="0" w:type="dxa"/>
              <w:left w:w="0" w:type="dxa"/>
              <w:bottom w:w="0" w:type="dxa"/>
              <w:right w:w="0" w:type="dxa"/>
            </w:tcMar>
          </w:tcPr>
          <w:p w14:paraId="32392827" w14:textId="77777777" w:rsidR="009103CC" w:rsidRPr="00AF25C4" w:rsidRDefault="009103CC" w:rsidP="002718DF">
            <w:pPr>
              <w:pStyle w:val="Tabletext"/>
              <w:jc w:val="right"/>
              <w:rPr>
                <w:sz w:val="15"/>
              </w:rPr>
            </w:pPr>
            <w:r w:rsidRPr="00AF25C4">
              <w:rPr>
                <w:sz w:val="15"/>
              </w:rPr>
              <w:t>$113.14</w:t>
            </w:r>
          </w:p>
        </w:tc>
        <w:tc>
          <w:tcPr>
            <w:tcW w:w="850" w:type="dxa"/>
            <w:tcMar>
              <w:top w:w="0" w:type="dxa"/>
              <w:left w:w="0" w:type="dxa"/>
              <w:bottom w:w="0" w:type="dxa"/>
              <w:right w:w="0" w:type="dxa"/>
            </w:tcMar>
          </w:tcPr>
          <w:p w14:paraId="55C62480" w14:textId="77777777" w:rsidR="009103CC" w:rsidRPr="00AF25C4" w:rsidRDefault="009103CC" w:rsidP="002718DF">
            <w:pPr>
              <w:pStyle w:val="Tabletext"/>
              <w:jc w:val="right"/>
              <w:rPr>
                <w:sz w:val="15"/>
              </w:rPr>
            </w:pPr>
            <w:r w:rsidRPr="00AF25C4">
              <w:rPr>
                <w:sz w:val="15"/>
              </w:rPr>
              <w:t>$194.42</w:t>
            </w:r>
          </w:p>
        </w:tc>
        <w:tc>
          <w:tcPr>
            <w:tcW w:w="851" w:type="dxa"/>
            <w:tcMar>
              <w:top w:w="0" w:type="dxa"/>
              <w:left w:w="0" w:type="dxa"/>
              <w:bottom w:w="0" w:type="dxa"/>
              <w:right w:w="0" w:type="dxa"/>
            </w:tcMar>
          </w:tcPr>
          <w:p w14:paraId="2D733584" w14:textId="77777777" w:rsidR="009103CC" w:rsidRPr="00AF25C4" w:rsidRDefault="009103CC" w:rsidP="002718DF">
            <w:pPr>
              <w:pStyle w:val="Tabletext"/>
              <w:jc w:val="right"/>
              <w:rPr>
                <w:sz w:val="15"/>
              </w:rPr>
            </w:pPr>
            <w:r w:rsidRPr="00AF25C4">
              <w:rPr>
                <w:sz w:val="15"/>
              </w:rPr>
              <w:t>$38.88</w:t>
            </w:r>
          </w:p>
        </w:tc>
      </w:tr>
      <w:tr w:rsidR="009103CC" w:rsidRPr="00AF25C4" w14:paraId="0533947E" w14:textId="77777777" w:rsidTr="002718DF">
        <w:trPr>
          <w:cantSplit/>
          <w:trHeight w:val="170"/>
        </w:trPr>
        <w:tc>
          <w:tcPr>
            <w:tcW w:w="3127" w:type="dxa"/>
            <w:tcMar>
              <w:top w:w="0" w:type="dxa"/>
              <w:left w:w="0" w:type="dxa"/>
              <w:bottom w:w="0" w:type="dxa"/>
              <w:right w:w="0" w:type="dxa"/>
            </w:tcMar>
          </w:tcPr>
          <w:p w14:paraId="15760373" w14:textId="77777777" w:rsidR="009103CC" w:rsidRPr="00AF25C4" w:rsidRDefault="009103CC" w:rsidP="002718DF">
            <w:pPr>
              <w:pStyle w:val="Tabletext"/>
              <w:rPr>
                <w:b/>
                <w:bCs/>
                <w:sz w:val="15"/>
              </w:rPr>
            </w:pPr>
            <w:r w:rsidRPr="00AF25C4">
              <w:rPr>
                <w:b/>
                <w:bCs/>
                <w:sz w:val="15"/>
              </w:rPr>
              <w:t>Total government grants ($ millions)</w:t>
            </w:r>
          </w:p>
        </w:tc>
        <w:tc>
          <w:tcPr>
            <w:tcW w:w="850" w:type="dxa"/>
            <w:tcMar>
              <w:top w:w="0" w:type="dxa"/>
              <w:left w:w="0" w:type="dxa"/>
              <w:bottom w:w="0" w:type="dxa"/>
              <w:right w:w="0" w:type="dxa"/>
            </w:tcMar>
          </w:tcPr>
          <w:p w14:paraId="6B6F056D" w14:textId="77777777" w:rsidR="009103CC" w:rsidRPr="00AF25C4" w:rsidRDefault="009103CC" w:rsidP="002718DF">
            <w:pPr>
              <w:pStyle w:val="Tabletext"/>
              <w:jc w:val="right"/>
              <w:rPr>
                <w:b/>
                <w:bCs/>
                <w:sz w:val="15"/>
              </w:rPr>
            </w:pPr>
            <w:r w:rsidRPr="00AF25C4">
              <w:rPr>
                <w:b/>
                <w:bCs/>
                <w:sz w:val="15"/>
              </w:rPr>
              <w:t>$31.10</w:t>
            </w:r>
          </w:p>
        </w:tc>
        <w:tc>
          <w:tcPr>
            <w:tcW w:w="850" w:type="dxa"/>
            <w:tcMar>
              <w:top w:w="0" w:type="dxa"/>
              <w:left w:w="0" w:type="dxa"/>
              <w:bottom w:w="0" w:type="dxa"/>
              <w:right w:w="0" w:type="dxa"/>
            </w:tcMar>
          </w:tcPr>
          <w:p w14:paraId="1D301EB6" w14:textId="77777777" w:rsidR="009103CC" w:rsidRPr="00AF25C4" w:rsidRDefault="009103CC" w:rsidP="002718DF">
            <w:pPr>
              <w:pStyle w:val="Tabletext"/>
              <w:jc w:val="right"/>
              <w:rPr>
                <w:b/>
                <w:bCs/>
                <w:sz w:val="15"/>
              </w:rPr>
            </w:pPr>
            <w:r w:rsidRPr="00AF25C4">
              <w:rPr>
                <w:b/>
                <w:bCs/>
                <w:sz w:val="15"/>
              </w:rPr>
              <w:t>$46.20</w:t>
            </w:r>
          </w:p>
        </w:tc>
        <w:tc>
          <w:tcPr>
            <w:tcW w:w="850" w:type="dxa"/>
            <w:tcMar>
              <w:top w:w="0" w:type="dxa"/>
              <w:left w:w="0" w:type="dxa"/>
              <w:bottom w:w="0" w:type="dxa"/>
              <w:right w:w="0" w:type="dxa"/>
            </w:tcMar>
          </w:tcPr>
          <w:p w14:paraId="5A16E62F" w14:textId="77777777" w:rsidR="009103CC" w:rsidRPr="00AF25C4" w:rsidRDefault="009103CC" w:rsidP="002718DF">
            <w:pPr>
              <w:pStyle w:val="Tabletext"/>
              <w:jc w:val="right"/>
              <w:rPr>
                <w:b/>
                <w:bCs/>
                <w:sz w:val="15"/>
              </w:rPr>
            </w:pPr>
            <w:r w:rsidRPr="00AF25C4">
              <w:rPr>
                <w:b/>
                <w:bCs/>
                <w:sz w:val="15"/>
              </w:rPr>
              <w:t>$40.39</w:t>
            </w:r>
          </w:p>
        </w:tc>
        <w:tc>
          <w:tcPr>
            <w:tcW w:w="850" w:type="dxa"/>
            <w:tcMar>
              <w:top w:w="0" w:type="dxa"/>
              <w:left w:w="0" w:type="dxa"/>
              <w:bottom w:w="0" w:type="dxa"/>
              <w:right w:w="0" w:type="dxa"/>
            </w:tcMar>
          </w:tcPr>
          <w:p w14:paraId="3B899083" w14:textId="77777777" w:rsidR="009103CC" w:rsidRPr="00AF25C4" w:rsidRDefault="009103CC" w:rsidP="002718DF">
            <w:pPr>
              <w:pStyle w:val="Tabletext"/>
              <w:jc w:val="right"/>
              <w:rPr>
                <w:b/>
                <w:bCs/>
                <w:sz w:val="15"/>
              </w:rPr>
            </w:pPr>
            <w:r w:rsidRPr="00AF25C4">
              <w:rPr>
                <w:b/>
                <w:bCs/>
                <w:sz w:val="15"/>
              </w:rPr>
              <w:t>$75.42</w:t>
            </w:r>
          </w:p>
        </w:tc>
        <w:tc>
          <w:tcPr>
            <w:tcW w:w="850" w:type="dxa"/>
            <w:tcMar>
              <w:top w:w="0" w:type="dxa"/>
              <w:left w:w="0" w:type="dxa"/>
              <w:bottom w:w="0" w:type="dxa"/>
              <w:right w:w="0" w:type="dxa"/>
            </w:tcMar>
          </w:tcPr>
          <w:p w14:paraId="2779B999" w14:textId="77777777" w:rsidR="009103CC" w:rsidRPr="00AF25C4" w:rsidRDefault="009103CC" w:rsidP="002718DF">
            <w:pPr>
              <w:pStyle w:val="Tabletext"/>
              <w:jc w:val="right"/>
              <w:rPr>
                <w:b/>
                <w:bCs/>
                <w:sz w:val="15"/>
              </w:rPr>
            </w:pPr>
            <w:r w:rsidRPr="00AF25C4">
              <w:rPr>
                <w:b/>
                <w:bCs/>
                <w:sz w:val="15"/>
              </w:rPr>
              <w:t>$143.44</w:t>
            </w:r>
          </w:p>
        </w:tc>
        <w:tc>
          <w:tcPr>
            <w:tcW w:w="850" w:type="dxa"/>
            <w:tcMar>
              <w:top w:w="0" w:type="dxa"/>
              <w:left w:w="0" w:type="dxa"/>
              <w:bottom w:w="0" w:type="dxa"/>
              <w:right w:w="0" w:type="dxa"/>
            </w:tcMar>
          </w:tcPr>
          <w:p w14:paraId="03D1EB6B" w14:textId="77777777" w:rsidR="009103CC" w:rsidRPr="00AF25C4" w:rsidRDefault="009103CC" w:rsidP="002718DF">
            <w:pPr>
              <w:pStyle w:val="Tabletext"/>
              <w:jc w:val="right"/>
              <w:rPr>
                <w:b/>
                <w:bCs/>
                <w:sz w:val="15"/>
              </w:rPr>
            </w:pPr>
            <w:r w:rsidRPr="00AF25C4">
              <w:rPr>
                <w:b/>
                <w:bCs/>
                <w:sz w:val="15"/>
              </w:rPr>
              <w:t>$336.55</w:t>
            </w:r>
          </w:p>
        </w:tc>
        <w:tc>
          <w:tcPr>
            <w:tcW w:w="851" w:type="dxa"/>
            <w:tcMar>
              <w:top w:w="0" w:type="dxa"/>
              <w:left w:w="0" w:type="dxa"/>
              <w:bottom w:w="0" w:type="dxa"/>
              <w:right w:w="0" w:type="dxa"/>
            </w:tcMar>
          </w:tcPr>
          <w:p w14:paraId="27410A44" w14:textId="77777777" w:rsidR="009103CC" w:rsidRPr="00AF25C4" w:rsidRDefault="009103CC" w:rsidP="002718DF">
            <w:pPr>
              <w:pStyle w:val="Tabletext"/>
              <w:jc w:val="right"/>
              <w:rPr>
                <w:b/>
                <w:bCs/>
                <w:sz w:val="15"/>
              </w:rPr>
            </w:pPr>
            <w:r w:rsidRPr="00AF25C4">
              <w:rPr>
                <w:b/>
                <w:bCs/>
                <w:sz w:val="15"/>
              </w:rPr>
              <w:t>$67.31</w:t>
            </w:r>
          </w:p>
        </w:tc>
      </w:tr>
      <w:tr w:rsidR="009103CC" w:rsidRPr="00AF25C4" w14:paraId="3569B7F1" w14:textId="77777777" w:rsidTr="002718DF">
        <w:trPr>
          <w:cantSplit/>
          <w:trHeight w:val="170"/>
        </w:trPr>
        <w:tc>
          <w:tcPr>
            <w:tcW w:w="3127" w:type="dxa"/>
            <w:tcMar>
              <w:top w:w="0" w:type="dxa"/>
              <w:left w:w="0" w:type="dxa"/>
              <w:bottom w:w="0" w:type="dxa"/>
              <w:right w:w="0" w:type="dxa"/>
            </w:tcMar>
          </w:tcPr>
          <w:p w14:paraId="26D46BAF" w14:textId="77777777" w:rsidR="009103CC" w:rsidRPr="00AF25C4" w:rsidRDefault="009103CC" w:rsidP="002718DF">
            <w:pPr>
              <w:pStyle w:val="Tabletext"/>
              <w:rPr>
                <w:b/>
                <w:bCs/>
                <w:sz w:val="15"/>
              </w:rPr>
            </w:pPr>
            <w:r w:rsidRPr="00AF25C4">
              <w:rPr>
                <w:b/>
                <w:bCs/>
                <w:sz w:val="15"/>
              </w:rPr>
              <w:t>Total revenue ($ millions)</w:t>
            </w:r>
          </w:p>
        </w:tc>
        <w:tc>
          <w:tcPr>
            <w:tcW w:w="850" w:type="dxa"/>
            <w:tcMar>
              <w:top w:w="0" w:type="dxa"/>
              <w:left w:w="0" w:type="dxa"/>
              <w:bottom w:w="0" w:type="dxa"/>
              <w:right w:w="0" w:type="dxa"/>
            </w:tcMar>
          </w:tcPr>
          <w:p w14:paraId="3E33DE1C" w14:textId="77777777" w:rsidR="009103CC" w:rsidRPr="00AF25C4" w:rsidRDefault="009103CC" w:rsidP="002718DF">
            <w:pPr>
              <w:pStyle w:val="Tabletext"/>
              <w:jc w:val="right"/>
              <w:rPr>
                <w:b/>
                <w:bCs/>
                <w:sz w:val="15"/>
              </w:rPr>
            </w:pPr>
            <w:r w:rsidRPr="00AF25C4">
              <w:rPr>
                <w:b/>
                <w:bCs/>
                <w:sz w:val="15"/>
              </w:rPr>
              <w:t>$86.70</w:t>
            </w:r>
          </w:p>
        </w:tc>
        <w:tc>
          <w:tcPr>
            <w:tcW w:w="850" w:type="dxa"/>
            <w:tcMar>
              <w:top w:w="0" w:type="dxa"/>
              <w:left w:w="0" w:type="dxa"/>
              <w:bottom w:w="0" w:type="dxa"/>
              <w:right w:w="0" w:type="dxa"/>
            </w:tcMar>
          </w:tcPr>
          <w:p w14:paraId="66DCA13A" w14:textId="77777777" w:rsidR="009103CC" w:rsidRPr="00AF25C4" w:rsidRDefault="009103CC" w:rsidP="002718DF">
            <w:pPr>
              <w:pStyle w:val="Tabletext"/>
              <w:jc w:val="right"/>
              <w:rPr>
                <w:b/>
                <w:bCs/>
                <w:sz w:val="15"/>
              </w:rPr>
            </w:pPr>
            <w:r w:rsidRPr="00AF25C4">
              <w:rPr>
                <w:b/>
                <w:bCs/>
                <w:sz w:val="15"/>
              </w:rPr>
              <w:t>$103.30</w:t>
            </w:r>
          </w:p>
        </w:tc>
        <w:tc>
          <w:tcPr>
            <w:tcW w:w="850" w:type="dxa"/>
            <w:tcMar>
              <w:top w:w="0" w:type="dxa"/>
              <w:left w:w="0" w:type="dxa"/>
              <w:bottom w:w="0" w:type="dxa"/>
              <w:right w:w="0" w:type="dxa"/>
            </w:tcMar>
          </w:tcPr>
          <w:p w14:paraId="39220BBB" w14:textId="77777777" w:rsidR="009103CC" w:rsidRPr="00AF25C4" w:rsidRDefault="009103CC" w:rsidP="002718DF">
            <w:pPr>
              <w:pStyle w:val="Tabletext"/>
              <w:jc w:val="right"/>
              <w:rPr>
                <w:b/>
                <w:bCs/>
                <w:sz w:val="15"/>
              </w:rPr>
            </w:pPr>
            <w:r w:rsidRPr="00AF25C4">
              <w:rPr>
                <w:b/>
                <w:bCs/>
                <w:sz w:val="15"/>
              </w:rPr>
              <w:t>$116.11</w:t>
            </w:r>
          </w:p>
        </w:tc>
        <w:tc>
          <w:tcPr>
            <w:tcW w:w="850" w:type="dxa"/>
            <w:tcMar>
              <w:top w:w="0" w:type="dxa"/>
              <w:left w:w="0" w:type="dxa"/>
              <w:bottom w:w="0" w:type="dxa"/>
              <w:right w:w="0" w:type="dxa"/>
            </w:tcMar>
          </w:tcPr>
          <w:p w14:paraId="6A28E0B8" w14:textId="77777777" w:rsidR="009103CC" w:rsidRPr="00AF25C4" w:rsidRDefault="009103CC" w:rsidP="002718DF">
            <w:pPr>
              <w:pStyle w:val="Tabletext"/>
              <w:jc w:val="right"/>
              <w:rPr>
                <w:b/>
                <w:bCs/>
                <w:sz w:val="15"/>
              </w:rPr>
            </w:pPr>
            <w:r w:rsidRPr="00AF25C4">
              <w:rPr>
                <w:b/>
                <w:bCs/>
                <w:sz w:val="15"/>
              </w:rPr>
              <w:t>$143.34</w:t>
            </w:r>
          </w:p>
        </w:tc>
        <w:tc>
          <w:tcPr>
            <w:tcW w:w="850" w:type="dxa"/>
            <w:tcMar>
              <w:top w:w="0" w:type="dxa"/>
              <w:left w:w="0" w:type="dxa"/>
              <w:bottom w:w="0" w:type="dxa"/>
              <w:right w:w="0" w:type="dxa"/>
            </w:tcMar>
          </w:tcPr>
          <w:p w14:paraId="3D41E03D" w14:textId="77777777" w:rsidR="009103CC" w:rsidRPr="00AF25C4" w:rsidRDefault="009103CC" w:rsidP="002718DF">
            <w:pPr>
              <w:pStyle w:val="Tabletext"/>
              <w:jc w:val="right"/>
              <w:rPr>
                <w:b/>
                <w:bCs/>
                <w:sz w:val="15"/>
              </w:rPr>
            </w:pPr>
            <w:r w:rsidRPr="00AF25C4">
              <w:rPr>
                <w:b/>
                <w:bCs/>
                <w:sz w:val="15"/>
              </w:rPr>
              <w:t>$206.45</w:t>
            </w:r>
          </w:p>
        </w:tc>
        <w:tc>
          <w:tcPr>
            <w:tcW w:w="850" w:type="dxa"/>
            <w:tcMar>
              <w:top w:w="0" w:type="dxa"/>
              <w:left w:w="0" w:type="dxa"/>
              <w:bottom w:w="0" w:type="dxa"/>
              <w:right w:w="0" w:type="dxa"/>
            </w:tcMar>
          </w:tcPr>
          <w:p w14:paraId="2344657E" w14:textId="77777777" w:rsidR="009103CC" w:rsidRPr="00AF25C4" w:rsidRDefault="009103CC" w:rsidP="002718DF">
            <w:pPr>
              <w:pStyle w:val="Tabletext"/>
              <w:jc w:val="right"/>
              <w:rPr>
                <w:b/>
                <w:bCs/>
                <w:sz w:val="15"/>
              </w:rPr>
            </w:pPr>
            <w:r w:rsidRPr="00AF25C4">
              <w:rPr>
                <w:b/>
                <w:bCs/>
                <w:sz w:val="15"/>
              </w:rPr>
              <w:t>$655.90</w:t>
            </w:r>
          </w:p>
        </w:tc>
        <w:tc>
          <w:tcPr>
            <w:tcW w:w="851" w:type="dxa"/>
            <w:tcMar>
              <w:top w:w="0" w:type="dxa"/>
              <w:left w:w="0" w:type="dxa"/>
              <w:bottom w:w="0" w:type="dxa"/>
              <w:right w:w="0" w:type="dxa"/>
            </w:tcMar>
          </w:tcPr>
          <w:p w14:paraId="11F66ABE" w14:textId="77777777" w:rsidR="009103CC" w:rsidRPr="00AF25C4" w:rsidRDefault="009103CC" w:rsidP="002718DF">
            <w:pPr>
              <w:pStyle w:val="Tabletext"/>
              <w:jc w:val="right"/>
              <w:rPr>
                <w:b/>
                <w:bCs/>
                <w:sz w:val="15"/>
              </w:rPr>
            </w:pPr>
            <w:r w:rsidRPr="00AF25C4">
              <w:rPr>
                <w:b/>
                <w:bCs/>
                <w:sz w:val="15"/>
              </w:rPr>
              <w:t>$131.18</w:t>
            </w:r>
          </w:p>
        </w:tc>
      </w:tr>
      <w:tr w:rsidR="009103CC" w:rsidRPr="001814D2" w14:paraId="0808ECD3" w14:textId="77777777" w:rsidTr="002718DF">
        <w:trPr>
          <w:cantSplit/>
          <w:trHeight w:val="170"/>
        </w:trPr>
        <w:tc>
          <w:tcPr>
            <w:tcW w:w="3127" w:type="dxa"/>
            <w:tcMar>
              <w:top w:w="0" w:type="dxa"/>
              <w:left w:w="0" w:type="dxa"/>
              <w:bottom w:w="0" w:type="dxa"/>
              <w:right w:w="0" w:type="dxa"/>
            </w:tcMar>
          </w:tcPr>
          <w:p w14:paraId="33C265E1" w14:textId="77777777" w:rsidR="009103CC" w:rsidRPr="00AF25C4" w:rsidRDefault="009103CC" w:rsidP="002718DF">
            <w:pPr>
              <w:pStyle w:val="Tabletext"/>
              <w:rPr>
                <w:sz w:val="15"/>
              </w:rPr>
            </w:pPr>
            <w:r w:rsidRPr="00AF25C4">
              <w:rPr>
                <w:sz w:val="15"/>
              </w:rPr>
              <w:t>Government recurrent contribution as a % of operating revenues (%)</w:t>
            </w:r>
          </w:p>
        </w:tc>
        <w:tc>
          <w:tcPr>
            <w:tcW w:w="850" w:type="dxa"/>
            <w:tcMar>
              <w:top w:w="0" w:type="dxa"/>
              <w:left w:w="0" w:type="dxa"/>
              <w:bottom w:w="0" w:type="dxa"/>
              <w:right w:w="0" w:type="dxa"/>
            </w:tcMar>
          </w:tcPr>
          <w:p w14:paraId="43CB2D99" w14:textId="77777777" w:rsidR="009103CC" w:rsidRPr="00AF25C4" w:rsidRDefault="009103CC" w:rsidP="002718DF">
            <w:pPr>
              <w:pStyle w:val="Tabletext"/>
              <w:jc w:val="right"/>
              <w:rPr>
                <w:sz w:val="15"/>
              </w:rPr>
            </w:pPr>
            <w:r w:rsidRPr="00AF25C4">
              <w:rPr>
                <w:sz w:val="15"/>
              </w:rPr>
              <w:t>30%</w:t>
            </w:r>
          </w:p>
        </w:tc>
        <w:tc>
          <w:tcPr>
            <w:tcW w:w="850" w:type="dxa"/>
            <w:tcMar>
              <w:top w:w="0" w:type="dxa"/>
              <w:left w:w="0" w:type="dxa"/>
              <w:bottom w:w="0" w:type="dxa"/>
              <w:right w:w="0" w:type="dxa"/>
            </w:tcMar>
          </w:tcPr>
          <w:p w14:paraId="64A11DA6" w14:textId="77777777" w:rsidR="009103CC" w:rsidRPr="00AF25C4" w:rsidRDefault="009103CC" w:rsidP="002718DF">
            <w:pPr>
              <w:pStyle w:val="Tabletext"/>
              <w:jc w:val="right"/>
              <w:rPr>
                <w:sz w:val="15"/>
              </w:rPr>
            </w:pPr>
            <w:r w:rsidRPr="00AF25C4">
              <w:rPr>
                <w:sz w:val="15"/>
              </w:rPr>
              <w:t>30%</w:t>
            </w:r>
          </w:p>
        </w:tc>
        <w:tc>
          <w:tcPr>
            <w:tcW w:w="850" w:type="dxa"/>
            <w:tcMar>
              <w:top w:w="0" w:type="dxa"/>
              <w:left w:w="0" w:type="dxa"/>
              <w:bottom w:w="0" w:type="dxa"/>
              <w:right w:w="0" w:type="dxa"/>
            </w:tcMar>
          </w:tcPr>
          <w:p w14:paraId="13FB45B2" w14:textId="77777777" w:rsidR="009103CC" w:rsidRPr="00AF25C4" w:rsidRDefault="009103CC" w:rsidP="002718DF">
            <w:pPr>
              <w:pStyle w:val="Tabletext"/>
              <w:jc w:val="right"/>
              <w:rPr>
                <w:sz w:val="15"/>
              </w:rPr>
            </w:pPr>
            <w:r w:rsidRPr="00AF25C4">
              <w:rPr>
                <w:sz w:val="15"/>
              </w:rPr>
              <w:t>25%</w:t>
            </w:r>
          </w:p>
        </w:tc>
        <w:tc>
          <w:tcPr>
            <w:tcW w:w="850" w:type="dxa"/>
            <w:tcMar>
              <w:top w:w="0" w:type="dxa"/>
              <w:left w:w="0" w:type="dxa"/>
              <w:bottom w:w="0" w:type="dxa"/>
              <w:right w:w="0" w:type="dxa"/>
            </w:tcMar>
          </w:tcPr>
          <w:p w14:paraId="29AD6FB8" w14:textId="77777777" w:rsidR="009103CC" w:rsidRPr="00AF25C4" w:rsidRDefault="009103CC" w:rsidP="002718DF">
            <w:pPr>
              <w:pStyle w:val="Tabletext"/>
              <w:jc w:val="right"/>
              <w:rPr>
                <w:sz w:val="15"/>
              </w:rPr>
            </w:pPr>
            <w:r w:rsidRPr="00AF25C4">
              <w:rPr>
                <w:sz w:val="15"/>
              </w:rPr>
              <w:t>29%</w:t>
            </w:r>
          </w:p>
        </w:tc>
        <w:tc>
          <w:tcPr>
            <w:tcW w:w="850" w:type="dxa"/>
            <w:tcMar>
              <w:top w:w="0" w:type="dxa"/>
              <w:left w:w="0" w:type="dxa"/>
              <w:bottom w:w="0" w:type="dxa"/>
              <w:right w:w="0" w:type="dxa"/>
            </w:tcMar>
          </w:tcPr>
          <w:p w14:paraId="7DA3A634" w14:textId="77777777" w:rsidR="009103CC" w:rsidRPr="00AF25C4" w:rsidRDefault="009103CC" w:rsidP="002718DF">
            <w:pPr>
              <w:pStyle w:val="Tabletext"/>
              <w:jc w:val="right"/>
              <w:rPr>
                <w:sz w:val="15"/>
              </w:rPr>
            </w:pPr>
            <w:r w:rsidRPr="00AF25C4">
              <w:rPr>
                <w:sz w:val="15"/>
              </w:rPr>
              <w:t>35%</w:t>
            </w:r>
          </w:p>
        </w:tc>
        <w:tc>
          <w:tcPr>
            <w:tcW w:w="850" w:type="dxa"/>
            <w:tcMar>
              <w:top w:w="0" w:type="dxa"/>
              <w:left w:w="0" w:type="dxa"/>
              <w:bottom w:w="0" w:type="dxa"/>
              <w:right w:w="0" w:type="dxa"/>
            </w:tcMar>
          </w:tcPr>
          <w:p w14:paraId="0A2C1A38" w14:textId="77777777" w:rsidR="009103CC" w:rsidRPr="00AF25C4" w:rsidRDefault="009103CC" w:rsidP="002718DF">
            <w:pPr>
              <w:pStyle w:val="Tabletext"/>
              <w:jc w:val="right"/>
              <w:rPr>
                <w:sz w:val="15"/>
              </w:rPr>
            </w:pPr>
            <w:r w:rsidRPr="00AF25C4">
              <w:rPr>
                <w:sz w:val="15"/>
              </w:rPr>
              <w:t>N/A</w:t>
            </w:r>
          </w:p>
        </w:tc>
        <w:tc>
          <w:tcPr>
            <w:tcW w:w="851" w:type="dxa"/>
            <w:tcMar>
              <w:top w:w="0" w:type="dxa"/>
              <w:left w:w="0" w:type="dxa"/>
              <w:bottom w:w="0" w:type="dxa"/>
              <w:right w:w="0" w:type="dxa"/>
            </w:tcMar>
          </w:tcPr>
          <w:p w14:paraId="58F69D99" w14:textId="77777777" w:rsidR="009103CC" w:rsidRPr="00AF25C4" w:rsidRDefault="009103CC" w:rsidP="002718DF">
            <w:pPr>
              <w:pStyle w:val="Tabletext"/>
              <w:jc w:val="right"/>
              <w:rPr>
                <w:sz w:val="15"/>
              </w:rPr>
            </w:pPr>
            <w:r w:rsidRPr="00AF25C4">
              <w:rPr>
                <w:sz w:val="15"/>
              </w:rPr>
              <w:t>31%</w:t>
            </w:r>
          </w:p>
        </w:tc>
      </w:tr>
      <w:tr w:rsidR="009103CC" w:rsidRPr="001814D2" w14:paraId="418441CB" w14:textId="77777777" w:rsidTr="002718DF">
        <w:trPr>
          <w:cantSplit/>
          <w:trHeight w:val="170"/>
        </w:trPr>
        <w:tc>
          <w:tcPr>
            <w:tcW w:w="3127" w:type="dxa"/>
            <w:tcMar>
              <w:top w:w="0" w:type="dxa"/>
              <w:left w:w="0" w:type="dxa"/>
              <w:bottom w:w="0" w:type="dxa"/>
              <w:right w:w="0" w:type="dxa"/>
            </w:tcMar>
          </w:tcPr>
          <w:p w14:paraId="5971FFE4" w14:textId="77777777" w:rsidR="009103CC" w:rsidRPr="00AF25C4" w:rsidRDefault="009103CC" w:rsidP="002718DF">
            <w:pPr>
              <w:pStyle w:val="Tabletext"/>
              <w:rPr>
                <w:sz w:val="15"/>
              </w:rPr>
            </w:pPr>
            <w:r w:rsidRPr="00AF25C4">
              <w:rPr>
                <w:sz w:val="15"/>
              </w:rPr>
              <w:t>Government contribution as % of total revenue (%)</w:t>
            </w:r>
          </w:p>
        </w:tc>
        <w:tc>
          <w:tcPr>
            <w:tcW w:w="850" w:type="dxa"/>
            <w:tcMar>
              <w:top w:w="0" w:type="dxa"/>
              <w:left w:w="0" w:type="dxa"/>
              <w:bottom w:w="0" w:type="dxa"/>
              <w:right w:w="0" w:type="dxa"/>
            </w:tcMar>
          </w:tcPr>
          <w:p w14:paraId="0572B23C" w14:textId="77777777" w:rsidR="009103CC" w:rsidRPr="00AF25C4" w:rsidRDefault="009103CC" w:rsidP="002718DF">
            <w:pPr>
              <w:pStyle w:val="Tabletext"/>
              <w:jc w:val="right"/>
              <w:rPr>
                <w:sz w:val="15"/>
              </w:rPr>
            </w:pPr>
            <w:r w:rsidRPr="00AF25C4">
              <w:rPr>
                <w:sz w:val="15"/>
              </w:rPr>
              <w:t>36%</w:t>
            </w:r>
          </w:p>
        </w:tc>
        <w:tc>
          <w:tcPr>
            <w:tcW w:w="850" w:type="dxa"/>
            <w:tcMar>
              <w:top w:w="0" w:type="dxa"/>
              <w:left w:w="0" w:type="dxa"/>
              <w:bottom w:w="0" w:type="dxa"/>
              <w:right w:w="0" w:type="dxa"/>
            </w:tcMar>
          </w:tcPr>
          <w:p w14:paraId="1C2C6A8F" w14:textId="77777777" w:rsidR="009103CC" w:rsidRPr="00AF25C4" w:rsidRDefault="009103CC" w:rsidP="002718DF">
            <w:pPr>
              <w:pStyle w:val="Tabletext"/>
              <w:jc w:val="right"/>
              <w:rPr>
                <w:sz w:val="15"/>
              </w:rPr>
            </w:pPr>
            <w:r w:rsidRPr="00AF25C4">
              <w:rPr>
                <w:sz w:val="15"/>
              </w:rPr>
              <w:t>45%</w:t>
            </w:r>
          </w:p>
        </w:tc>
        <w:tc>
          <w:tcPr>
            <w:tcW w:w="850" w:type="dxa"/>
            <w:tcMar>
              <w:top w:w="0" w:type="dxa"/>
              <w:left w:w="0" w:type="dxa"/>
              <w:bottom w:w="0" w:type="dxa"/>
              <w:right w:w="0" w:type="dxa"/>
            </w:tcMar>
          </w:tcPr>
          <w:p w14:paraId="6F00C3B7" w14:textId="77777777" w:rsidR="009103CC" w:rsidRPr="00AF25C4" w:rsidRDefault="009103CC" w:rsidP="002718DF">
            <w:pPr>
              <w:pStyle w:val="Tabletext"/>
              <w:jc w:val="right"/>
              <w:rPr>
                <w:sz w:val="15"/>
              </w:rPr>
            </w:pPr>
            <w:r w:rsidRPr="00AF25C4">
              <w:rPr>
                <w:sz w:val="15"/>
              </w:rPr>
              <w:t>35%</w:t>
            </w:r>
          </w:p>
        </w:tc>
        <w:tc>
          <w:tcPr>
            <w:tcW w:w="850" w:type="dxa"/>
            <w:tcMar>
              <w:top w:w="0" w:type="dxa"/>
              <w:left w:w="0" w:type="dxa"/>
              <w:bottom w:w="0" w:type="dxa"/>
              <w:right w:w="0" w:type="dxa"/>
            </w:tcMar>
          </w:tcPr>
          <w:p w14:paraId="0B614689" w14:textId="77777777" w:rsidR="009103CC" w:rsidRPr="00AF25C4" w:rsidRDefault="009103CC" w:rsidP="002718DF">
            <w:pPr>
              <w:pStyle w:val="Tabletext"/>
              <w:jc w:val="right"/>
              <w:rPr>
                <w:sz w:val="15"/>
              </w:rPr>
            </w:pPr>
            <w:r w:rsidRPr="00AF25C4">
              <w:rPr>
                <w:sz w:val="15"/>
              </w:rPr>
              <w:t>53%</w:t>
            </w:r>
          </w:p>
        </w:tc>
        <w:tc>
          <w:tcPr>
            <w:tcW w:w="850" w:type="dxa"/>
            <w:tcMar>
              <w:top w:w="0" w:type="dxa"/>
              <w:left w:w="0" w:type="dxa"/>
              <w:bottom w:w="0" w:type="dxa"/>
              <w:right w:w="0" w:type="dxa"/>
            </w:tcMar>
          </w:tcPr>
          <w:p w14:paraId="2DDB9D68" w14:textId="77777777" w:rsidR="009103CC" w:rsidRPr="00AF25C4" w:rsidRDefault="009103CC" w:rsidP="002718DF">
            <w:pPr>
              <w:pStyle w:val="Tabletext"/>
              <w:jc w:val="right"/>
              <w:rPr>
                <w:sz w:val="15"/>
              </w:rPr>
            </w:pPr>
            <w:r w:rsidRPr="00AF25C4">
              <w:rPr>
                <w:sz w:val="15"/>
              </w:rPr>
              <w:t>69%</w:t>
            </w:r>
          </w:p>
        </w:tc>
        <w:tc>
          <w:tcPr>
            <w:tcW w:w="850" w:type="dxa"/>
            <w:tcMar>
              <w:top w:w="0" w:type="dxa"/>
              <w:left w:w="0" w:type="dxa"/>
              <w:bottom w:w="0" w:type="dxa"/>
              <w:right w:w="0" w:type="dxa"/>
            </w:tcMar>
          </w:tcPr>
          <w:p w14:paraId="5D327BFE" w14:textId="77777777" w:rsidR="009103CC" w:rsidRPr="00AF25C4" w:rsidRDefault="009103CC" w:rsidP="002718DF">
            <w:pPr>
              <w:pStyle w:val="Tabletext"/>
              <w:jc w:val="right"/>
              <w:rPr>
                <w:sz w:val="15"/>
              </w:rPr>
            </w:pPr>
            <w:r w:rsidRPr="00AF25C4">
              <w:rPr>
                <w:sz w:val="15"/>
              </w:rPr>
              <w:t>N/A</w:t>
            </w:r>
          </w:p>
        </w:tc>
        <w:tc>
          <w:tcPr>
            <w:tcW w:w="851" w:type="dxa"/>
            <w:tcMar>
              <w:top w:w="0" w:type="dxa"/>
              <w:left w:w="0" w:type="dxa"/>
              <w:bottom w:w="0" w:type="dxa"/>
              <w:right w:w="0" w:type="dxa"/>
            </w:tcMar>
          </w:tcPr>
          <w:p w14:paraId="74CB979C" w14:textId="77777777" w:rsidR="009103CC" w:rsidRPr="00AF25C4" w:rsidRDefault="009103CC" w:rsidP="002718DF">
            <w:pPr>
              <w:pStyle w:val="Tabletext"/>
              <w:jc w:val="right"/>
              <w:rPr>
                <w:sz w:val="15"/>
              </w:rPr>
            </w:pPr>
            <w:r w:rsidRPr="00AF25C4">
              <w:rPr>
                <w:sz w:val="15"/>
              </w:rPr>
              <w:t>45%</w:t>
            </w:r>
          </w:p>
        </w:tc>
      </w:tr>
      <w:tr w:rsidR="009103CC" w:rsidRPr="00AF25C4" w14:paraId="13D0B930" w14:textId="77777777" w:rsidTr="002718DF">
        <w:trPr>
          <w:cantSplit/>
          <w:trHeight w:val="170"/>
        </w:trPr>
        <w:tc>
          <w:tcPr>
            <w:tcW w:w="3127" w:type="dxa"/>
            <w:tcMar>
              <w:top w:w="0" w:type="dxa"/>
              <w:left w:w="0" w:type="dxa"/>
              <w:bottom w:w="0" w:type="dxa"/>
              <w:right w:w="0" w:type="dxa"/>
            </w:tcMar>
          </w:tcPr>
          <w:p w14:paraId="09DCE7FC" w14:textId="77777777" w:rsidR="009103CC" w:rsidRPr="00AF25C4" w:rsidRDefault="009103CC" w:rsidP="002718DF">
            <w:pPr>
              <w:pStyle w:val="Tabletext"/>
              <w:rPr>
                <w:b/>
                <w:bCs/>
                <w:sz w:val="15"/>
              </w:rPr>
            </w:pPr>
            <w:r w:rsidRPr="00AF25C4">
              <w:rPr>
                <w:b/>
                <w:bCs/>
                <w:sz w:val="15"/>
              </w:rPr>
              <w:t>Net surplus ($ millions)</w:t>
            </w:r>
          </w:p>
        </w:tc>
        <w:tc>
          <w:tcPr>
            <w:tcW w:w="850" w:type="dxa"/>
            <w:tcMar>
              <w:top w:w="0" w:type="dxa"/>
              <w:left w:w="0" w:type="dxa"/>
              <w:bottom w:w="0" w:type="dxa"/>
              <w:right w:w="0" w:type="dxa"/>
            </w:tcMar>
          </w:tcPr>
          <w:p w14:paraId="7ABC5CD9" w14:textId="77777777" w:rsidR="009103CC" w:rsidRPr="00AF25C4" w:rsidRDefault="009103CC" w:rsidP="002718DF">
            <w:pPr>
              <w:pStyle w:val="Tabletext"/>
              <w:jc w:val="right"/>
              <w:rPr>
                <w:b/>
                <w:bCs/>
                <w:sz w:val="15"/>
              </w:rPr>
            </w:pPr>
            <w:r w:rsidRPr="00AF25C4">
              <w:rPr>
                <w:b/>
                <w:bCs/>
                <w:sz w:val="15"/>
              </w:rPr>
              <w:t>$34.90</w:t>
            </w:r>
          </w:p>
        </w:tc>
        <w:tc>
          <w:tcPr>
            <w:tcW w:w="850" w:type="dxa"/>
            <w:tcMar>
              <w:top w:w="0" w:type="dxa"/>
              <w:left w:w="0" w:type="dxa"/>
              <w:bottom w:w="0" w:type="dxa"/>
              <w:right w:w="0" w:type="dxa"/>
            </w:tcMar>
          </w:tcPr>
          <w:p w14:paraId="2742FAC7" w14:textId="77777777" w:rsidR="009103CC" w:rsidRPr="00AF25C4" w:rsidRDefault="009103CC" w:rsidP="002718DF">
            <w:pPr>
              <w:pStyle w:val="Tabletext"/>
              <w:jc w:val="right"/>
              <w:rPr>
                <w:b/>
                <w:bCs/>
                <w:sz w:val="15"/>
              </w:rPr>
            </w:pPr>
            <w:r w:rsidRPr="00AF25C4">
              <w:rPr>
                <w:b/>
                <w:bCs/>
                <w:sz w:val="15"/>
              </w:rPr>
              <w:t>$44.60</w:t>
            </w:r>
          </w:p>
        </w:tc>
        <w:tc>
          <w:tcPr>
            <w:tcW w:w="850" w:type="dxa"/>
            <w:tcMar>
              <w:top w:w="0" w:type="dxa"/>
              <w:left w:w="0" w:type="dxa"/>
              <w:bottom w:w="0" w:type="dxa"/>
              <w:right w:w="0" w:type="dxa"/>
            </w:tcMar>
          </w:tcPr>
          <w:p w14:paraId="4F9B6734" w14:textId="77777777" w:rsidR="009103CC" w:rsidRPr="00AF25C4" w:rsidRDefault="009103CC" w:rsidP="002718DF">
            <w:pPr>
              <w:pStyle w:val="Tabletext"/>
              <w:jc w:val="right"/>
              <w:rPr>
                <w:b/>
                <w:bCs/>
                <w:sz w:val="15"/>
              </w:rPr>
            </w:pPr>
            <w:r w:rsidRPr="00AF25C4">
              <w:rPr>
                <w:b/>
                <w:bCs/>
                <w:sz w:val="15"/>
              </w:rPr>
              <w:t>$51.81</w:t>
            </w:r>
          </w:p>
        </w:tc>
        <w:tc>
          <w:tcPr>
            <w:tcW w:w="850" w:type="dxa"/>
            <w:tcMar>
              <w:top w:w="0" w:type="dxa"/>
              <w:left w:w="0" w:type="dxa"/>
              <w:bottom w:w="0" w:type="dxa"/>
              <w:right w:w="0" w:type="dxa"/>
            </w:tcMar>
          </w:tcPr>
          <w:p w14:paraId="17D3179A" w14:textId="77777777" w:rsidR="009103CC" w:rsidRPr="00AF25C4" w:rsidRDefault="009103CC" w:rsidP="002718DF">
            <w:pPr>
              <w:pStyle w:val="Tabletext"/>
              <w:jc w:val="right"/>
              <w:rPr>
                <w:b/>
                <w:bCs/>
                <w:sz w:val="15"/>
              </w:rPr>
            </w:pPr>
            <w:r w:rsidRPr="00AF25C4">
              <w:rPr>
                <w:b/>
                <w:bCs/>
                <w:sz w:val="15"/>
              </w:rPr>
              <w:t>$80.24</w:t>
            </w:r>
          </w:p>
        </w:tc>
        <w:tc>
          <w:tcPr>
            <w:tcW w:w="850" w:type="dxa"/>
            <w:tcMar>
              <w:top w:w="0" w:type="dxa"/>
              <w:left w:w="0" w:type="dxa"/>
              <w:bottom w:w="0" w:type="dxa"/>
              <w:right w:w="0" w:type="dxa"/>
            </w:tcMar>
          </w:tcPr>
          <w:p w14:paraId="183D1D07" w14:textId="77777777" w:rsidR="009103CC" w:rsidRPr="00AF25C4" w:rsidRDefault="009103CC" w:rsidP="002718DF">
            <w:pPr>
              <w:pStyle w:val="Tabletext"/>
              <w:jc w:val="right"/>
              <w:rPr>
                <w:b/>
                <w:bCs/>
                <w:sz w:val="15"/>
              </w:rPr>
            </w:pPr>
            <w:r w:rsidRPr="00AF25C4">
              <w:rPr>
                <w:b/>
                <w:bCs/>
                <w:sz w:val="15"/>
              </w:rPr>
              <w:t>$154.96</w:t>
            </w:r>
          </w:p>
        </w:tc>
        <w:tc>
          <w:tcPr>
            <w:tcW w:w="850" w:type="dxa"/>
            <w:tcMar>
              <w:top w:w="0" w:type="dxa"/>
              <w:left w:w="0" w:type="dxa"/>
              <w:bottom w:w="0" w:type="dxa"/>
              <w:right w:w="0" w:type="dxa"/>
            </w:tcMar>
          </w:tcPr>
          <w:p w14:paraId="7B8F6437" w14:textId="77777777" w:rsidR="009103CC" w:rsidRPr="00AF25C4" w:rsidRDefault="009103CC" w:rsidP="002718DF">
            <w:pPr>
              <w:pStyle w:val="Tabletext"/>
              <w:jc w:val="right"/>
              <w:rPr>
                <w:b/>
                <w:bCs/>
                <w:sz w:val="15"/>
              </w:rPr>
            </w:pPr>
            <w:r w:rsidRPr="00AF25C4">
              <w:rPr>
                <w:b/>
                <w:bCs/>
                <w:sz w:val="15"/>
              </w:rPr>
              <w:t>$366.51</w:t>
            </w:r>
          </w:p>
        </w:tc>
        <w:tc>
          <w:tcPr>
            <w:tcW w:w="851" w:type="dxa"/>
            <w:tcMar>
              <w:top w:w="0" w:type="dxa"/>
              <w:left w:w="0" w:type="dxa"/>
              <w:bottom w:w="0" w:type="dxa"/>
              <w:right w:w="0" w:type="dxa"/>
            </w:tcMar>
          </w:tcPr>
          <w:p w14:paraId="4704878B" w14:textId="77777777" w:rsidR="009103CC" w:rsidRPr="00AF25C4" w:rsidRDefault="009103CC" w:rsidP="002718DF">
            <w:pPr>
              <w:pStyle w:val="Tabletext"/>
              <w:jc w:val="right"/>
              <w:rPr>
                <w:b/>
                <w:bCs/>
                <w:sz w:val="15"/>
              </w:rPr>
            </w:pPr>
            <w:r w:rsidRPr="00AF25C4">
              <w:rPr>
                <w:b/>
                <w:bCs/>
                <w:sz w:val="15"/>
              </w:rPr>
              <w:t>$73.30</w:t>
            </w:r>
          </w:p>
        </w:tc>
      </w:tr>
      <w:tr w:rsidR="009103CC" w:rsidRPr="001814D2" w14:paraId="1E8E4AB8" w14:textId="77777777" w:rsidTr="002718DF">
        <w:trPr>
          <w:cantSplit/>
          <w:trHeight w:val="170"/>
        </w:trPr>
        <w:tc>
          <w:tcPr>
            <w:tcW w:w="3127" w:type="dxa"/>
            <w:tcMar>
              <w:top w:w="0" w:type="dxa"/>
              <w:left w:w="0" w:type="dxa"/>
              <w:bottom w:w="0" w:type="dxa"/>
              <w:right w:w="0" w:type="dxa"/>
            </w:tcMar>
          </w:tcPr>
          <w:p w14:paraId="495D2A2C" w14:textId="77777777" w:rsidR="009103CC" w:rsidRPr="00AF25C4" w:rsidRDefault="009103CC" w:rsidP="002718DF">
            <w:pPr>
              <w:pStyle w:val="Tabletext"/>
              <w:rPr>
                <w:sz w:val="15"/>
              </w:rPr>
            </w:pPr>
            <w:r w:rsidRPr="00AF25C4">
              <w:rPr>
                <w:sz w:val="15"/>
              </w:rPr>
              <w:t>Employees – effective full time (FTE) (number)</w:t>
            </w:r>
          </w:p>
        </w:tc>
        <w:tc>
          <w:tcPr>
            <w:tcW w:w="850" w:type="dxa"/>
            <w:tcMar>
              <w:top w:w="0" w:type="dxa"/>
              <w:left w:w="0" w:type="dxa"/>
              <w:bottom w:w="0" w:type="dxa"/>
              <w:right w:w="0" w:type="dxa"/>
            </w:tcMar>
          </w:tcPr>
          <w:p w14:paraId="1627BB9E" w14:textId="77777777" w:rsidR="009103CC" w:rsidRPr="00AF25C4" w:rsidRDefault="009103CC" w:rsidP="002718DF">
            <w:pPr>
              <w:pStyle w:val="Tabletext"/>
              <w:jc w:val="right"/>
              <w:rPr>
                <w:sz w:val="15"/>
              </w:rPr>
            </w:pPr>
            <w:r w:rsidRPr="00AF25C4">
              <w:rPr>
                <w:sz w:val="15"/>
              </w:rPr>
              <w:t>212</w:t>
            </w:r>
          </w:p>
        </w:tc>
        <w:tc>
          <w:tcPr>
            <w:tcW w:w="850" w:type="dxa"/>
            <w:tcMar>
              <w:top w:w="0" w:type="dxa"/>
              <w:left w:w="0" w:type="dxa"/>
              <w:bottom w:w="0" w:type="dxa"/>
              <w:right w:w="0" w:type="dxa"/>
            </w:tcMar>
          </w:tcPr>
          <w:p w14:paraId="0D5569E1" w14:textId="77777777" w:rsidR="009103CC" w:rsidRPr="00AF25C4" w:rsidRDefault="009103CC" w:rsidP="002718DF">
            <w:pPr>
              <w:pStyle w:val="Tabletext"/>
              <w:jc w:val="right"/>
              <w:rPr>
                <w:sz w:val="15"/>
              </w:rPr>
            </w:pPr>
            <w:r w:rsidRPr="00AF25C4">
              <w:rPr>
                <w:sz w:val="15"/>
              </w:rPr>
              <w:t>218</w:t>
            </w:r>
          </w:p>
        </w:tc>
        <w:tc>
          <w:tcPr>
            <w:tcW w:w="850" w:type="dxa"/>
            <w:tcMar>
              <w:top w:w="0" w:type="dxa"/>
              <w:left w:w="0" w:type="dxa"/>
              <w:bottom w:w="0" w:type="dxa"/>
              <w:right w:w="0" w:type="dxa"/>
            </w:tcMar>
          </w:tcPr>
          <w:p w14:paraId="20CB892C" w14:textId="77777777" w:rsidR="009103CC" w:rsidRPr="00AF25C4" w:rsidRDefault="009103CC" w:rsidP="002718DF">
            <w:pPr>
              <w:pStyle w:val="Tabletext"/>
              <w:jc w:val="right"/>
              <w:rPr>
                <w:sz w:val="15"/>
              </w:rPr>
            </w:pPr>
            <w:r w:rsidRPr="00AF25C4">
              <w:rPr>
                <w:sz w:val="15"/>
              </w:rPr>
              <w:t>234</w:t>
            </w:r>
          </w:p>
        </w:tc>
        <w:tc>
          <w:tcPr>
            <w:tcW w:w="850" w:type="dxa"/>
            <w:tcMar>
              <w:top w:w="0" w:type="dxa"/>
              <w:left w:w="0" w:type="dxa"/>
              <w:bottom w:w="0" w:type="dxa"/>
              <w:right w:w="0" w:type="dxa"/>
            </w:tcMar>
          </w:tcPr>
          <w:p w14:paraId="3B5A2BCF" w14:textId="77777777" w:rsidR="009103CC" w:rsidRPr="00AF25C4" w:rsidRDefault="009103CC" w:rsidP="002718DF">
            <w:pPr>
              <w:pStyle w:val="Tabletext"/>
              <w:jc w:val="right"/>
              <w:rPr>
                <w:sz w:val="15"/>
              </w:rPr>
            </w:pPr>
            <w:r w:rsidRPr="00AF25C4">
              <w:rPr>
                <w:sz w:val="15"/>
              </w:rPr>
              <w:t>247</w:t>
            </w:r>
          </w:p>
        </w:tc>
        <w:tc>
          <w:tcPr>
            <w:tcW w:w="850" w:type="dxa"/>
            <w:tcMar>
              <w:top w:w="0" w:type="dxa"/>
              <w:left w:w="0" w:type="dxa"/>
              <w:bottom w:w="0" w:type="dxa"/>
              <w:right w:w="0" w:type="dxa"/>
            </w:tcMar>
          </w:tcPr>
          <w:p w14:paraId="0D4F8157" w14:textId="77777777" w:rsidR="009103CC" w:rsidRPr="00AF25C4" w:rsidRDefault="009103CC" w:rsidP="002718DF">
            <w:pPr>
              <w:pStyle w:val="Tabletext"/>
              <w:jc w:val="right"/>
              <w:rPr>
                <w:sz w:val="15"/>
              </w:rPr>
            </w:pPr>
            <w:r w:rsidRPr="00AF25C4">
              <w:rPr>
                <w:sz w:val="15"/>
              </w:rPr>
              <w:t>266</w:t>
            </w:r>
          </w:p>
        </w:tc>
        <w:tc>
          <w:tcPr>
            <w:tcW w:w="850" w:type="dxa"/>
            <w:tcMar>
              <w:top w:w="0" w:type="dxa"/>
              <w:left w:w="0" w:type="dxa"/>
              <w:bottom w:w="0" w:type="dxa"/>
              <w:right w:w="0" w:type="dxa"/>
            </w:tcMar>
          </w:tcPr>
          <w:p w14:paraId="3E21919D" w14:textId="77777777" w:rsidR="009103CC" w:rsidRPr="00AF25C4" w:rsidRDefault="009103CC" w:rsidP="002718DF">
            <w:pPr>
              <w:pStyle w:val="Tabletext"/>
              <w:jc w:val="right"/>
              <w:rPr>
                <w:sz w:val="15"/>
              </w:rPr>
            </w:pPr>
            <w:r w:rsidRPr="00AF25C4">
              <w:rPr>
                <w:sz w:val="15"/>
              </w:rPr>
              <w:t>N/A</w:t>
            </w:r>
          </w:p>
        </w:tc>
        <w:tc>
          <w:tcPr>
            <w:tcW w:w="851" w:type="dxa"/>
            <w:tcMar>
              <w:top w:w="0" w:type="dxa"/>
              <w:left w:w="0" w:type="dxa"/>
              <w:bottom w:w="0" w:type="dxa"/>
              <w:right w:w="0" w:type="dxa"/>
            </w:tcMar>
          </w:tcPr>
          <w:p w14:paraId="28DC17EB" w14:textId="77777777" w:rsidR="009103CC" w:rsidRPr="00AF25C4" w:rsidRDefault="009103CC" w:rsidP="002718DF">
            <w:pPr>
              <w:pStyle w:val="Tabletext"/>
              <w:jc w:val="right"/>
              <w:rPr>
                <w:sz w:val="15"/>
              </w:rPr>
            </w:pPr>
            <w:r w:rsidRPr="00AF25C4">
              <w:rPr>
                <w:sz w:val="15"/>
              </w:rPr>
              <w:t>225</w:t>
            </w:r>
          </w:p>
        </w:tc>
      </w:tr>
      <w:tr w:rsidR="009103CC" w:rsidRPr="001814D2" w14:paraId="653D82CF" w14:textId="77777777" w:rsidTr="002718DF">
        <w:trPr>
          <w:cantSplit/>
          <w:trHeight w:val="170"/>
        </w:trPr>
        <w:tc>
          <w:tcPr>
            <w:tcW w:w="3127" w:type="dxa"/>
            <w:tcMar>
              <w:top w:w="0" w:type="dxa"/>
              <w:left w:w="0" w:type="dxa"/>
              <w:bottom w:w="0" w:type="dxa"/>
              <w:right w:w="0" w:type="dxa"/>
            </w:tcMar>
          </w:tcPr>
          <w:p w14:paraId="53D53F19" w14:textId="77777777" w:rsidR="009103CC" w:rsidRPr="00AF25C4" w:rsidRDefault="009103CC" w:rsidP="002718DF">
            <w:pPr>
              <w:pStyle w:val="Tabletext"/>
              <w:rPr>
                <w:sz w:val="15"/>
              </w:rPr>
            </w:pPr>
            <w:r w:rsidRPr="00AF25C4">
              <w:rPr>
                <w:sz w:val="15"/>
              </w:rPr>
              <w:t>Average salary per head ($ thousands)</w:t>
            </w:r>
          </w:p>
        </w:tc>
        <w:tc>
          <w:tcPr>
            <w:tcW w:w="850" w:type="dxa"/>
            <w:tcMar>
              <w:top w:w="0" w:type="dxa"/>
              <w:left w:w="0" w:type="dxa"/>
              <w:bottom w:w="0" w:type="dxa"/>
              <w:right w:w="0" w:type="dxa"/>
            </w:tcMar>
          </w:tcPr>
          <w:p w14:paraId="36E27C26" w14:textId="77777777" w:rsidR="009103CC" w:rsidRPr="00AF25C4" w:rsidRDefault="009103CC" w:rsidP="002718DF">
            <w:pPr>
              <w:pStyle w:val="Tabletext"/>
              <w:jc w:val="right"/>
              <w:rPr>
                <w:sz w:val="15"/>
              </w:rPr>
            </w:pPr>
            <w:r w:rsidRPr="00AF25C4">
              <w:rPr>
                <w:sz w:val="15"/>
              </w:rPr>
              <w:t>110</w:t>
            </w:r>
          </w:p>
        </w:tc>
        <w:tc>
          <w:tcPr>
            <w:tcW w:w="850" w:type="dxa"/>
            <w:tcMar>
              <w:top w:w="0" w:type="dxa"/>
              <w:left w:w="0" w:type="dxa"/>
              <w:bottom w:w="0" w:type="dxa"/>
              <w:right w:w="0" w:type="dxa"/>
            </w:tcMar>
          </w:tcPr>
          <w:p w14:paraId="29C17E05" w14:textId="77777777" w:rsidR="009103CC" w:rsidRPr="00AF25C4" w:rsidRDefault="009103CC" w:rsidP="002718DF">
            <w:pPr>
              <w:pStyle w:val="Tabletext"/>
              <w:jc w:val="right"/>
              <w:rPr>
                <w:sz w:val="15"/>
              </w:rPr>
            </w:pPr>
            <w:r w:rsidRPr="00AF25C4">
              <w:rPr>
                <w:sz w:val="15"/>
              </w:rPr>
              <w:t>107</w:t>
            </w:r>
          </w:p>
        </w:tc>
        <w:tc>
          <w:tcPr>
            <w:tcW w:w="850" w:type="dxa"/>
            <w:tcMar>
              <w:top w:w="0" w:type="dxa"/>
              <w:left w:w="0" w:type="dxa"/>
              <w:bottom w:w="0" w:type="dxa"/>
              <w:right w:w="0" w:type="dxa"/>
            </w:tcMar>
          </w:tcPr>
          <w:p w14:paraId="7F0C52D7" w14:textId="77777777" w:rsidR="009103CC" w:rsidRPr="00AF25C4" w:rsidRDefault="009103CC" w:rsidP="002718DF">
            <w:pPr>
              <w:pStyle w:val="Tabletext"/>
              <w:jc w:val="right"/>
              <w:rPr>
                <w:sz w:val="15"/>
              </w:rPr>
            </w:pPr>
            <w:r w:rsidRPr="00AF25C4">
              <w:rPr>
                <w:sz w:val="15"/>
              </w:rPr>
              <w:t>96</w:t>
            </w:r>
          </w:p>
        </w:tc>
        <w:tc>
          <w:tcPr>
            <w:tcW w:w="850" w:type="dxa"/>
            <w:tcMar>
              <w:top w:w="0" w:type="dxa"/>
              <w:left w:w="0" w:type="dxa"/>
              <w:bottom w:w="0" w:type="dxa"/>
              <w:right w:w="0" w:type="dxa"/>
            </w:tcMar>
          </w:tcPr>
          <w:p w14:paraId="16D2F7D2" w14:textId="77777777" w:rsidR="009103CC" w:rsidRPr="00AF25C4" w:rsidRDefault="009103CC" w:rsidP="002718DF">
            <w:pPr>
              <w:pStyle w:val="Tabletext"/>
              <w:jc w:val="right"/>
              <w:rPr>
                <w:sz w:val="15"/>
              </w:rPr>
            </w:pPr>
            <w:r w:rsidRPr="00AF25C4">
              <w:rPr>
                <w:sz w:val="15"/>
              </w:rPr>
              <w:t>100</w:t>
            </w:r>
          </w:p>
        </w:tc>
        <w:tc>
          <w:tcPr>
            <w:tcW w:w="850" w:type="dxa"/>
            <w:tcMar>
              <w:top w:w="0" w:type="dxa"/>
              <w:left w:w="0" w:type="dxa"/>
              <w:bottom w:w="0" w:type="dxa"/>
              <w:right w:w="0" w:type="dxa"/>
            </w:tcMar>
          </w:tcPr>
          <w:p w14:paraId="3679F48D" w14:textId="77777777" w:rsidR="009103CC" w:rsidRPr="00AF25C4" w:rsidRDefault="009103CC" w:rsidP="002718DF">
            <w:pPr>
              <w:pStyle w:val="Tabletext"/>
              <w:jc w:val="right"/>
              <w:rPr>
                <w:sz w:val="15"/>
              </w:rPr>
            </w:pPr>
            <w:r w:rsidRPr="00AF25C4">
              <w:rPr>
                <w:sz w:val="15"/>
              </w:rPr>
              <w:t>98</w:t>
            </w:r>
          </w:p>
        </w:tc>
        <w:tc>
          <w:tcPr>
            <w:tcW w:w="850" w:type="dxa"/>
            <w:tcMar>
              <w:top w:w="0" w:type="dxa"/>
              <w:left w:w="0" w:type="dxa"/>
              <w:bottom w:w="0" w:type="dxa"/>
              <w:right w:w="0" w:type="dxa"/>
            </w:tcMar>
          </w:tcPr>
          <w:p w14:paraId="7FA7A713" w14:textId="77777777" w:rsidR="009103CC" w:rsidRPr="00AF25C4" w:rsidRDefault="009103CC" w:rsidP="002718DF">
            <w:pPr>
              <w:pStyle w:val="Tabletext"/>
              <w:jc w:val="right"/>
              <w:rPr>
                <w:sz w:val="15"/>
              </w:rPr>
            </w:pPr>
            <w:r w:rsidRPr="00AF25C4">
              <w:rPr>
                <w:sz w:val="15"/>
              </w:rPr>
              <w:t>N/A</w:t>
            </w:r>
          </w:p>
        </w:tc>
        <w:tc>
          <w:tcPr>
            <w:tcW w:w="851" w:type="dxa"/>
            <w:tcMar>
              <w:top w:w="0" w:type="dxa"/>
              <w:left w:w="0" w:type="dxa"/>
              <w:bottom w:w="0" w:type="dxa"/>
              <w:right w:w="0" w:type="dxa"/>
            </w:tcMar>
          </w:tcPr>
          <w:p w14:paraId="5DC18CA5" w14:textId="77777777" w:rsidR="009103CC" w:rsidRPr="00AF25C4" w:rsidRDefault="009103CC" w:rsidP="002718DF">
            <w:pPr>
              <w:pStyle w:val="Tabletext"/>
              <w:jc w:val="right"/>
              <w:rPr>
                <w:sz w:val="15"/>
              </w:rPr>
            </w:pPr>
            <w:r w:rsidRPr="00AF25C4">
              <w:rPr>
                <w:sz w:val="15"/>
              </w:rPr>
              <w:t>104.53</w:t>
            </w:r>
          </w:p>
        </w:tc>
      </w:tr>
      <w:tr w:rsidR="009103CC" w:rsidRPr="00AF25C4" w14:paraId="57298A16" w14:textId="77777777" w:rsidTr="002718DF">
        <w:trPr>
          <w:cantSplit/>
          <w:trHeight w:val="170"/>
        </w:trPr>
        <w:tc>
          <w:tcPr>
            <w:tcW w:w="3127" w:type="dxa"/>
            <w:tcMar>
              <w:top w:w="0" w:type="dxa"/>
              <w:left w:w="0" w:type="dxa"/>
              <w:bottom w:w="0" w:type="dxa"/>
              <w:right w:w="0" w:type="dxa"/>
            </w:tcMar>
          </w:tcPr>
          <w:p w14:paraId="03D03C7C" w14:textId="77777777" w:rsidR="009103CC" w:rsidRPr="00AF25C4" w:rsidRDefault="009103CC" w:rsidP="002718DF">
            <w:pPr>
              <w:pStyle w:val="Tabletext"/>
              <w:rPr>
                <w:b/>
                <w:bCs/>
                <w:sz w:val="15"/>
              </w:rPr>
            </w:pPr>
            <w:r w:rsidRPr="00AF25C4">
              <w:rPr>
                <w:b/>
                <w:bCs/>
                <w:sz w:val="15"/>
              </w:rPr>
              <w:t>Net assets ($ millions)</w:t>
            </w:r>
          </w:p>
        </w:tc>
        <w:tc>
          <w:tcPr>
            <w:tcW w:w="850" w:type="dxa"/>
            <w:tcMar>
              <w:top w:w="0" w:type="dxa"/>
              <w:left w:w="0" w:type="dxa"/>
              <w:bottom w:w="0" w:type="dxa"/>
              <w:right w:w="0" w:type="dxa"/>
            </w:tcMar>
          </w:tcPr>
          <w:p w14:paraId="66AD0922" w14:textId="77777777" w:rsidR="009103CC" w:rsidRPr="00AF25C4" w:rsidRDefault="009103CC" w:rsidP="002718DF">
            <w:pPr>
              <w:pStyle w:val="Tabletext"/>
              <w:jc w:val="right"/>
              <w:rPr>
                <w:b/>
                <w:bCs/>
                <w:sz w:val="15"/>
              </w:rPr>
            </w:pPr>
            <w:r w:rsidRPr="00AF25C4">
              <w:rPr>
                <w:b/>
                <w:bCs/>
                <w:sz w:val="15"/>
              </w:rPr>
              <w:t>$1,657.60</w:t>
            </w:r>
          </w:p>
        </w:tc>
        <w:tc>
          <w:tcPr>
            <w:tcW w:w="850" w:type="dxa"/>
            <w:tcMar>
              <w:top w:w="0" w:type="dxa"/>
              <w:left w:w="0" w:type="dxa"/>
              <w:bottom w:w="0" w:type="dxa"/>
              <w:right w:w="0" w:type="dxa"/>
            </w:tcMar>
          </w:tcPr>
          <w:p w14:paraId="17443E03" w14:textId="77777777" w:rsidR="009103CC" w:rsidRPr="00AF25C4" w:rsidRDefault="009103CC" w:rsidP="002718DF">
            <w:pPr>
              <w:pStyle w:val="Tabletext"/>
              <w:jc w:val="right"/>
              <w:rPr>
                <w:b/>
                <w:bCs/>
                <w:sz w:val="15"/>
              </w:rPr>
            </w:pPr>
            <w:r w:rsidRPr="00AF25C4">
              <w:rPr>
                <w:b/>
                <w:bCs/>
                <w:sz w:val="15"/>
              </w:rPr>
              <w:t>$1,706.70</w:t>
            </w:r>
          </w:p>
        </w:tc>
        <w:tc>
          <w:tcPr>
            <w:tcW w:w="850" w:type="dxa"/>
            <w:tcMar>
              <w:top w:w="0" w:type="dxa"/>
              <w:left w:w="0" w:type="dxa"/>
              <w:bottom w:w="0" w:type="dxa"/>
              <w:right w:w="0" w:type="dxa"/>
            </w:tcMar>
          </w:tcPr>
          <w:p w14:paraId="300BB8B5" w14:textId="77777777" w:rsidR="009103CC" w:rsidRPr="00AF25C4" w:rsidRDefault="009103CC" w:rsidP="002718DF">
            <w:pPr>
              <w:pStyle w:val="Tabletext"/>
              <w:jc w:val="right"/>
              <w:rPr>
                <w:b/>
                <w:bCs/>
                <w:sz w:val="15"/>
              </w:rPr>
            </w:pPr>
            <w:r w:rsidRPr="00AF25C4">
              <w:rPr>
                <w:b/>
                <w:bCs/>
                <w:sz w:val="15"/>
              </w:rPr>
              <w:t>$1,762.58</w:t>
            </w:r>
          </w:p>
        </w:tc>
        <w:tc>
          <w:tcPr>
            <w:tcW w:w="850" w:type="dxa"/>
            <w:tcMar>
              <w:top w:w="0" w:type="dxa"/>
              <w:left w:w="0" w:type="dxa"/>
              <w:bottom w:w="0" w:type="dxa"/>
              <w:right w:w="0" w:type="dxa"/>
            </w:tcMar>
          </w:tcPr>
          <w:p w14:paraId="4CB9B365" w14:textId="77777777" w:rsidR="009103CC" w:rsidRPr="00AF25C4" w:rsidRDefault="009103CC" w:rsidP="002718DF">
            <w:pPr>
              <w:pStyle w:val="Tabletext"/>
              <w:jc w:val="right"/>
              <w:rPr>
                <w:b/>
                <w:bCs/>
                <w:sz w:val="15"/>
              </w:rPr>
            </w:pPr>
            <w:r w:rsidRPr="00AF25C4">
              <w:rPr>
                <w:b/>
                <w:bCs/>
                <w:sz w:val="15"/>
              </w:rPr>
              <w:t>$2,228.46</w:t>
            </w:r>
          </w:p>
        </w:tc>
        <w:tc>
          <w:tcPr>
            <w:tcW w:w="850" w:type="dxa"/>
            <w:tcMar>
              <w:top w:w="0" w:type="dxa"/>
              <w:left w:w="0" w:type="dxa"/>
              <w:bottom w:w="0" w:type="dxa"/>
              <w:right w:w="0" w:type="dxa"/>
            </w:tcMar>
          </w:tcPr>
          <w:p w14:paraId="0B241A03" w14:textId="77777777" w:rsidR="009103CC" w:rsidRPr="00AF25C4" w:rsidRDefault="009103CC" w:rsidP="002718DF">
            <w:pPr>
              <w:pStyle w:val="Tabletext"/>
              <w:jc w:val="right"/>
              <w:rPr>
                <w:b/>
                <w:bCs/>
                <w:sz w:val="15"/>
              </w:rPr>
            </w:pPr>
            <w:r w:rsidRPr="00AF25C4">
              <w:rPr>
                <w:b/>
                <w:bCs/>
                <w:sz w:val="15"/>
              </w:rPr>
              <w:t>$2,384.92</w:t>
            </w:r>
          </w:p>
        </w:tc>
        <w:tc>
          <w:tcPr>
            <w:tcW w:w="850" w:type="dxa"/>
            <w:tcMar>
              <w:top w:w="0" w:type="dxa"/>
              <w:left w:w="0" w:type="dxa"/>
              <w:bottom w:w="0" w:type="dxa"/>
              <w:right w:w="0" w:type="dxa"/>
            </w:tcMar>
          </w:tcPr>
          <w:p w14:paraId="0306A349" w14:textId="77777777" w:rsidR="009103CC" w:rsidRPr="00AF25C4" w:rsidRDefault="009103CC" w:rsidP="002718DF">
            <w:pPr>
              <w:pStyle w:val="Tabletext"/>
              <w:jc w:val="right"/>
              <w:rPr>
                <w:b/>
                <w:bCs/>
                <w:sz w:val="15"/>
              </w:rPr>
            </w:pPr>
            <w:r w:rsidRPr="00AF25C4">
              <w:rPr>
                <w:b/>
                <w:bCs/>
                <w:sz w:val="15"/>
              </w:rPr>
              <w:t>NA</w:t>
            </w:r>
          </w:p>
        </w:tc>
        <w:tc>
          <w:tcPr>
            <w:tcW w:w="851" w:type="dxa"/>
            <w:tcMar>
              <w:top w:w="0" w:type="dxa"/>
              <w:left w:w="0" w:type="dxa"/>
              <w:bottom w:w="0" w:type="dxa"/>
              <w:right w:w="0" w:type="dxa"/>
            </w:tcMar>
          </w:tcPr>
          <w:p w14:paraId="30B2D1DB" w14:textId="77777777" w:rsidR="009103CC" w:rsidRPr="00AF25C4" w:rsidRDefault="009103CC" w:rsidP="002718DF">
            <w:pPr>
              <w:pStyle w:val="Tabletext"/>
              <w:jc w:val="right"/>
              <w:rPr>
                <w:b/>
                <w:bCs/>
                <w:sz w:val="15"/>
              </w:rPr>
            </w:pPr>
            <w:r w:rsidRPr="00AF25C4">
              <w:rPr>
                <w:b/>
                <w:bCs/>
                <w:sz w:val="15"/>
              </w:rPr>
              <w:t>$1,795.09</w:t>
            </w:r>
          </w:p>
        </w:tc>
      </w:tr>
    </w:tbl>
    <w:p w14:paraId="6FA3626E" w14:textId="77777777" w:rsidR="009103CC" w:rsidRPr="001814D2" w:rsidRDefault="009103CC" w:rsidP="009103CC">
      <w:pPr>
        <w:pStyle w:val="Tabletext"/>
      </w:pPr>
    </w:p>
    <w:p w14:paraId="6A03FA23" w14:textId="77777777" w:rsidR="009103CC" w:rsidRPr="001814D2" w:rsidRDefault="009103CC" w:rsidP="009103CC">
      <w:pPr>
        <w:pStyle w:val="ARheading4"/>
      </w:pPr>
      <w:r w:rsidRPr="001814D2">
        <w:lastRenderedPageBreak/>
        <w:t>Payment of accounts 2020–21</w:t>
      </w:r>
    </w:p>
    <w:tbl>
      <w:tblPr>
        <w:tblW w:w="9271" w:type="dxa"/>
        <w:tblInd w:w="-8" w:type="dxa"/>
        <w:tblLayout w:type="fixed"/>
        <w:tblCellMar>
          <w:left w:w="0" w:type="dxa"/>
          <w:right w:w="0" w:type="dxa"/>
        </w:tblCellMar>
        <w:tblLook w:val="0000" w:firstRow="0" w:lastRow="0" w:firstColumn="0" w:lastColumn="0" w:noHBand="0" w:noVBand="0"/>
        <w:tblCaption w:val="Payment of accounts 2020-21: all suppliers by quarter"/>
        <w:tblDescription w:val="This table provides dollar figures for each quarter for payments to all suppliers that were made within the due date or within four ranges, from less than 30 days overdue to more than 90 days overdue."/>
      </w:tblPr>
      <w:tblGrid>
        <w:gridCol w:w="1545"/>
        <w:gridCol w:w="1545"/>
        <w:gridCol w:w="1545"/>
        <w:gridCol w:w="1545"/>
        <w:gridCol w:w="1545"/>
        <w:gridCol w:w="1546"/>
      </w:tblGrid>
      <w:tr w:rsidR="009103CC" w:rsidRPr="001814D2" w14:paraId="4CDAC77E" w14:textId="77777777" w:rsidTr="002718DF">
        <w:trPr>
          <w:trHeight w:val="119"/>
          <w:tblHeader/>
        </w:trPr>
        <w:tc>
          <w:tcPr>
            <w:tcW w:w="154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5A00B60" w14:textId="77777777" w:rsidR="009103CC" w:rsidRPr="001814D2" w:rsidRDefault="009103CC" w:rsidP="002718DF">
            <w:pPr>
              <w:pStyle w:val="Tabletext"/>
              <w:rPr>
                <w:rFonts w:cs="Arial"/>
                <w:b/>
                <w:bCs/>
                <w:sz w:val="16"/>
                <w:lang w:val="en-GB"/>
              </w:rPr>
            </w:pPr>
            <w:r w:rsidRPr="001814D2">
              <w:rPr>
                <w:rFonts w:cs="Arial"/>
                <w:b/>
                <w:bCs/>
                <w:lang w:val="en-GB"/>
              </w:rPr>
              <w:t xml:space="preserve">All suppliers, </w:t>
            </w:r>
            <w:r w:rsidRPr="001814D2">
              <w:rPr>
                <w:rFonts w:cs="Arial"/>
                <w:b/>
                <w:bCs/>
                <w:lang w:val="en-GB"/>
              </w:rPr>
              <w:br/>
              <w:t>by quarter</w:t>
            </w:r>
          </w:p>
        </w:tc>
        <w:tc>
          <w:tcPr>
            <w:tcW w:w="154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57E1229D" w14:textId="77777777" w:rsidR="009103CC" w:rsidRPr="001814D2" w:rsidRDefault="009103CC" w:rsidP="002718DF">
            <w:pPr>
              <w:pStyle w:val="Tabletext"/>
              <w:jc w:val="right"/>
              <w:rPr>
                <w:rFonts w:cs="Arial"/>
                <w:b/>
                <w:bCs/>
                <w:sz w:val="16"/>
                <w:lang w:val="en-GB"/>
              </w:rPr>
            </w:pPr>
            <w:r w:rsidRPr="001814D2">
              <w:rPr>
                <w:rFonts w:cs="Arial"/>
                <w:b/>
                <w:bCs/>
                <w:lang w:val="en-GB"/>
              </w:rPr>
              <w:t xml:space="preserve">Current within due date ($) </w:t>
            </w:r>
          </w:p>
        </w:tc>
        <w:tc>
          <w:tcPr>
            <w:tcW w:w="154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2F9B879" w14:textId="77777777" w:rsidR="009103CC" w:rsidRPr="001814D2" w:rsidRDefault="009103CC" w:rsidP="002718DF">
            <w:pPr>
              <w:pStyle w:val="Tabletext"/>
              <w:jc w:val="right"/>
              <w:rPr>
                <w:rFonts w:cs="Arial"/>
                <w:b/>
                <w:bCs/>
                <w:sz w:val="16"/>
                <w:lang w:val="en-GB"/>
              </w:rPr>
            </w:pPr>
            <w:r w:rsidRPr="001814D2">
              <w:rPr>
                <w:rFonts w:cs="Arial"/>
                <w:b/>
                <w:bCs/>
                <w:lang w:val="en-GB"/>
              </w:rPr>
              <w:t>Less than 30 days overdue ($)</w:t>
            </w:r>
          </w:p>
        </w:tc>
        <w:tc>
          <w:tcPr>
            <w:tcW w:w="154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126F92F" w14:textId="77777777" w:rsidR="009103CC" w:rsidRPr="001814D2" w:rsidRDefault="009103CC" w:rsidP="002718DF">
            <w:pPr>
              <w:pStyle w:val="Tabletext"/>
              <w:jc w:val="right"/>
              <w:rPr>
                <w:rFonts w:cs="Arial"/>
                <w:b/>
                <w:bCs/>
                <w:sz w:val="16"/>
                <w:lang w:val="en-GB"/>
              </w:rPr>
            </w:pPr>
            <w:r w:rsidRPr="001814D2">
              <w:rPr>
                <w:rFonts w:cs="Arial"/>
                <w:b/>
                <w:bCs/>
                <w:lang w:val="en-GB"/>
              </w:rPr>
              <w:t xml:space="preserve">Between 30 and </w:t>
            </w:r>
            <w:r w:rsidRPr="001814D2">
              <w:rPr>
                <w:rFonts w:cs="Arial"/>
                <w:b/>
                <w:bCs/>
                <w:lang w:val="en-GB"/>
              </w:rPr>
              <w:br/>
              <w:t>60 days overdue ($)</w:t>
            </w:r>
          </w:p>
        </w:tc>
        <w:tc>
          <w:tcPr>
            <w:tcW w:w="1545"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F326A65" w14:textId="77777777" w:rsidR="009103CC" w:rsidRPr="001814D2" w:rsidRDefault="009103CC" w:rsidP="002718DF">
            <w:pPr>
              <w:pStyle w:val="Tabletext"/>
              <w:jc w:val="right"/>
              <w:rPr>
                <w:rFonts w:cs="Arial"/>
                <w:b/>
                <w:bCs/>
                <w:sz w:val="16"/>
                <w:lang w:val="en-GB"/>
              </w:rPr>
            </w:pPr>
            <w:r w:rsidRPr="001814D2">
              <w:rPr>
                <w:rFonts w:cs="Arial"/>
                <w:b/>
                <w:bCs/>
                <w:lang w:val="en-GB"/>
              </w:rPr>
              <w:t xml:space="preserve">Between 60 and </w:t>
            </w:r>
            <w:r w:rsidRPr="001814D2">
              <w:rPr>
                <w:rFonts w:cs="Arial"/>
                <w:b/>
                <w:bCs/>
                <w:lang w:val="en-GB"/>
              </w:rPr>
              <w:br/>
              <w:t>90 days overdue ($)</w:t>
            </w:r>
          </w:p>
        </w:tc>
        <w:tc>
          <w:tcPr>
            <w:tcW w:w="1546"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C289B4D" w14:textId="77777777" w:rsidR="009103CC" w:rsidRPr="001814D2" w:rsidRDefault="009103CC" w:rsidP="002718DF">
            <w:pPr>
              <w:pStyle w:val="Tabletext"/>
              <w:jc w:val="right"/>
              <w:rPr>
                <w:rFonts w:cs="Arial"/>
                <w:b/>
                <w:bCs/>
                <w:sz w:val="16"/>
                <w:lang w:val="en-GB"/>
              </w:rPr>
            </w:pPr>
            <w:r w:rsidRPr="001814D2">
              <w:rPr>
                <w:rFonts w:cs="Arial"/>
                <w:b/>
                <w:bCs/>
                <w:lang w:val="en-GB"/>
              </w:rPr>
              <w:t>More than 90 days overdue ($)</w:t>
            </w:r>
          </w:p>
        </w:tc>
      </w:tr>
      <w:tr w:rsidR="009103CC" w:rsidRPr="001814D2" w14:paraId="225D2A04" w14:textId="77777777" w:rsidTr="002718DF">
        <w:trPr>
          <w:trHeight w:hRule="exact" w:val="342"/>
        </w:trPr>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024038B" w14:textId="77777777" w:rsidR="009103CC" w:rsidRPr="001814D2" w:rsidRDefault="009103CC" w:rsidP="002718DF">
            <w:pPr>
              <w:pStyle w:val="Tabletext"/>
              <w:rPr>
                <w:rFonts w:cs="Arial"/>
              </w:rPr>
            </w:pPr>
            <w:r w:rsidRPr="001814D2">
              <w:rPr>
                <w:rFonts w:cs="Arial"/>
              </w:rPr>
              <w:t>September 2020</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00A8AC03" w14:textId="77777777" w:rsidR="009103CC" w:rsidRPr="001814D2" w:rsidRDefault="009103CC" w:rsidP="002718DF">
            <w:pPr>
              <w:pStyle w:val="Tabletext"/>
              <w:jc w:val="right"/>
            </w:pPr>
            <w:r w:rsidRPr="001814D2">
              <w:t>5,938,583.93</w:t>
            </w:r>
          </w:p>
          <w:p w14:paraId="61DBB1A0" w14:textId="77777777" w:rsidR="009103CC" w:rsidRPr="001814D2" w:rsidRDefault="009103CC" w:rsidP="002718DF">
            <w:pPr>
              <w:pStyle w:val="Tabletext"/>
              <w:jc w:val="right"/>
              <w:rPr>
                <w:rFonts w:cs="Arial"/>
              </w:rPr>
            </w:pP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443A3ABA" w14:textId="77777777" w:rsidR="009103CC" w:rsidRPr="001814D2" w:rsidRDefault="009103CC" w:rsidP="002718DF">
            <w:pPr>
              <w:pStyle w:val="Tabletext"/>
              <w:jc w:val="right"/>
              <w:rPr>
                <w:rFonts w:cs="Arial"/>
              </w:rPr>
            </w:pPr>
            <w:r w:rsidRPr="001814D2">
              <w:rPr>
                <w:rFonts w:cs="Arial"/>
              </w:rPr>
              <w:t>296,929.20</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8EBCA70" w14:textId="77777777" w:rsidR="009103CC" w:rsidRPr="001814D2" w:rsidRDefault="009103CC" w:rsidP="002718DF">
            <w:pPr>
              <w:pStyle w:val="Tabletext"/>
              <w:jc w:val="right"/>
              <w:rPr>
                <w:rFonts w:cs="Arial"/>
              </w:rPr>
            </w:pPr>
            <w:r w:rsidRPr="001814D2">
              <w:rPr>
                <w:rFonts w:cs="Arial"/>
              </w:rPr>
              <w:t>0.00</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8C1EE7F" w14:textId="77777777" w:rsidR="009103CC" w:rsidRPr="001814D2" w:rsidRDefault="009103CC" w:rsidP="002718DF">
            <w:pPr>
              <w:pStyle w:val="Tabletext"/>
              <w:jc w:val="right"/>
              <w:rPr>
                <w:rFonts w:cs="Arial"/>
              </w:rPr>
            </w:pPr>
            <w:r w:rsidRPr="001814D2">
              <w:rPr>
                <w:rFonts w:cs="Arial"/>
              </w:rPr>
              <w:t>0.00</w:t>
            </w:r>
          </w:p>
        </w:tc>
        <w:tc>
          <w:tcPr>
            <w:tcW w:w="15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2E766BD" w14:textId="77777777" w:rsidR="009103CC" w:rsidRPr="001814D2" w:rsidRDefault="009103CC" w:rsidP="002718DF">
            <w:pPr>
              <w:pStyle w:val="Tabletext"/>
              <w:jc w:val="right"/>
              <w:rPr>
                <w:rFonts w:cs="Arial"/>
              </w:rPr>
            </w:pPr>
            <w:r w:rsidRPr="001814D2">
              <w:rPr>
                <w:rFonts w:cs="Arial"/>
              </w:rPr>
              <w:t>0.00</w:t>
            </w:r>
          </w:p>
        </w:tc>
      </w:tr>
      <w:tr w:rsidR="009103CC" w:rsidRPr="001814D2" w14:paraId="35CBB631" w14:textId="77777777" w:rsidTr="002718DF">
        <w:trPr>
          <w:trHeight w:hRule="exact" w:val="342"/>
        </w:trPr>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B21AE9F" w14:textId="77777777" w:rsidR="009103CC" w:rsidRPr="001814D2" w:rsidRDefault="009103CC" w:rsidP="002718DF">
            <w:pPr>
              <w:pStyle w:val="Tabletext"/>
              <w:rPr>
                <w:rFonts w:cs="Arial"/>
              </w:rPr>
            </w:pPr>
            <w:r w:rsidRPr="001814D2">
              <w:rPr>
                <w:rFonts w:cs="Arial"/>
              </w:rPr>
              <w:t>December 2020</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0634FB6F" w14:textId="77777777" w:rsidR="009103CC" w:rsidRPr="001814D2" w:rsidRDefault="009103CC" w:rsidP="002718DF">
            <w:pPr>
              <w:pStyle w:val="Tabletext"/>
              <w:jc w:val="right"/>
              <w:rPr>
                <w:rFonts w:cs="Arial"/>
              </w:rPr>
            </w:pPr>
            <w:r w:rsidRPr="001814D2">
              <w:rPr>
                <w:rFonts w:cs="Arial"/>
              </w:rPr>
              <w:t>63,132,980.69</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399E7391" w14:textId="77777777" w:rsidR="009103CC" w:rsidRPr="001814D2" w:rsidRDefault="009103CC" w:rsidP="002718DF">
            <w:pPr>
              <w:pStyle w:val="Tabletext"/>
              <w:jc w:val="right"/>
              <w:rPr>
                <w:rFonts w:cs="Arial"/>
              </w:rPr>
            </w:pPr>
            <w:r w:rsidRPr="001814D2">
              <w:rPr>
                <w:rFonts w:cs="Arial"/>
              </w:rPr>
              <w:t>3,156,649.03</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EC45BE5" w14:textId="77777777" w:rsidR="009103CC" w:rsidRPr="001814D2" w:rsidRDefault="009103CC" w:rsidP="002718DF">
            <w:pPr>
              <w:pStyle w:val="Tabletext"/>
              <w:jc w:val="right"/>
              <w:rPr>
                <w:rFonts w:cs="Arial"/>
              </w:rPr>
            </w:pPr>
            <w:r w:rsidRPr="001814D2">
              <w:rPr>
                <w:rFonts w:cs="Arial"/>
              </w:rPr>
              <w:t>0.00</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E0607FB" w14:textId="77777777" w:rsidR="009103CC" w:rsidRPr="001814D2" w:rsidRDefault="009103CC" w:rsidP="002718DF">
            <w:pPr>
              <w:pStyle w:val="Tabletext"/>
              <w:jc w:val="right"/>
              <w:rPr>
                <w:rFonts w:cs="Arial"/>
              </w:rPr>
            </w:pPr>
            <w:r w:rsidRPr="001814D2">
              <w:rPr>
                <w:rFonts w:cs="Arial"/>
              </w:rPr>
              <w:t>0.00</w:t>
            </w:r>
          </w:p>
        </w:tc>
        <w:tc>
          <w:tcPr>
            <w:tcW w:w="15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86CECF7" w14:textId="77777777" w:rsidR="009103CC" w:rsidRPr="001814D2" w:rsidRDefault="009103CC" w:rsidP="002718DF">
            <w:pPr>
              <w:pStyle w:val="Tabletext"/>
              <w:jc w:val="right"/>
              <w:rPr>
                <w:rFonts w:cs="Arial"/>
              </w:rPr>
            </w:pPr>
            <w:r w:rsidRPr="001814D2">
              <w:rPr>
                <w:rFonts w:cs="Arial"/>
              </w:rPr>
              <w:t>0.00</w:t>
            </w:r>
          </w:p>
        </w:tc>
      </w:tr>
      <w:tr w:rsidR="009103CC" w:rsidRPr="001814D2" w14:paraId="446BDD02" w14:textId="77777777" w:rsidTr="002718DF">
        <w:trPr>
          <w:trHeight w:hRule="exact" w:val="342"/>
        </w:trPr>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319564E" w14:textId="77777777" w:rsidR="009103CC" w:rsidRPr="001814D2" w:rsidRDefault="009103CC" w:rsidP="002718DF">
            <w:pPr>
              <w:pStyle w:val="Tabletext"/>
              <w:rPr>
                <w:rFonts w:cs="Arial"/>
              </w:rPr>
            </w:pPr>
            <w:r w:rsidRPr="001814D2">
              <w:rPr>
                <w:rFonts w:cs="Arial"/>
              </w:rPr>
              <w:t>March 2021</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5E10ECBD" w14:textId="77777777" w:rsidR="009103CC" w:rsidRPr="001814D2" w:rsidRDefault="009103CC" w:rsidP="002718DF">
            <w:pPr>
              <w:pStyle w:val="Tabletext"/>
              <w:jc w:val="right"/>
              <w:rPr>
                <w:rFonts w:cs="Arial"/>
              </w:rPr>
            </w:pPr>
            <w:r w:rsidRPr="001814D2">
              <w:rPr>
                <w:rFonts w:cs="Arial"/>
              </w:rPr>
              <w:t>19,671,870.87</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4A56F8E8" w14:textId="77777777" w:rsidR="009103CC" w:rsidRPr="001814D2" w:rsidRDefault="009103CC" w:rsidP="002718DF">
            <w:pPr>
              <w:pStyle w:val="Tabletext"/>
              <w:jc w:val="right"/>
              <w:rPr>
                <w:rFonts w:cs="Arial"/>
              </w:rPr>
            </w:pPr>
            <w:r w:rsidRPr="001814D2">
              <w:rPr>
                <w:rFonts w:cs="Arial"/>
              </w:rPr>
              <w:t>240,350.27</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597CBDA" w14:textId="77777777" w:rsidR="009103CC" w:rsidRPr="001814D2" w:rsidRDefault="009103CC" w:rsidP="002718DF">
            <w:pPr>
              <w:pStyle w:val="Tabletext"/>
              <w:jc w:val="right"/>
              <w:rPr>
                <w:rFonts w:cs="Arial"/>
              </w:rPr>
            </w:pPr>
            <w:r w:rsidRPr="001814D2">
              <w:rPr>
                <w:rFonts w:cs="Arial"/>
              </w:rPr>
              <w:t>0.00</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B742F6E" w14:textId="77777777" w:rsidR="009103CC" w:rsidRPr="001814D2" w:rsidRDefault="009103CC" w:rsidP="002718DF">
            <w:pPr>
              <w:pStyle w:val="Tabletext"/>
              <w:jc w:val="right"/>
              <w:rPr>
                <w:rFonts w:cs="Arial"/>
              </w:rPr>
            </w:pPr>
            <w:r w:rsidRPr="001814D2">
              <w:rPr>
                <w:rFonts w:cs="Arial"/>
              </w:rPr>
              <w:t>0.00</w:t>
            </w:r>
          </w:p>
        </w:tc>
        <w:tc>
          <w:tcPr>
            <w:tcW w:w="15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34C6282" w14:textId="77777777" w:rsidR="009103CC" w:rsidRPr="001814D2" w:rsidRDefault="009103CC" w:rsidP="002718DF">
            <w:pPr>
              <w:pStyle w:val="Tabletext"/>
              <w:jc w:val="right"/>
              <w:rPr>
                <w:rFonts w:cs="Arial"/>
              </w:rPr>
            </w:pPr>
            <w:r w:rsidRPr="001814D2">
              <w:rPr>
                <w:rFonts w:cs="Arial"/>
              </w:rPr>
              <w:t>0.00</w:t>
            </w:r>
          </w:p>
        </w:tc>
      </w:tr>
      <w:tr w:rsidR="009103CC" w:rsidRPr="001814D2" w14:paraId="5D4F3E55" w14:textId="77777777" w:rsidTr="002718DF">
        <w:trPr>
          <w:trHeight w:hRule="exact" w:val="342"/>
        </w:trPr>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90A7003" w14:textId="77777777" w:rsidR="009103CC" w:rsidRPr="001814D2" w:rsidRDefault="009103CC" w:rsidP="002718DF">
            <w:pPr>
              <w:pStyle w:val="Tabletext"/>
              <w:rPr>
                <w:rFonts w:cs="Arial"/>
              </w:rPr>
            </w:pPr>
            <w:r w:rsidRPr="001814D2">
              <w:rPr>
                <w:rFonts w:cs="Arial"/>
              </w:rPr>
              <w:t>June 2021</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20781E93" w14:textId="77777777" w:rsidR="009103CC" w:rsidRPr="001814D2" w:rsidRDefault="009103CC" w:rsidP="002718DF">
            <w:pPr>
              <w:pStyle w:val="Tabletext"/>
              <w:jc w:val="right"/>
              <w:rPr>
                <w:rFonts w:cs="Arial"/>
              </w:rPr>
            </w:pPr>
            <w:r w:rsidRPr="001814D2">
              <w:rPr>
                <w:rFonts w:cs="Arial"/>
              </w:rPr>
              <w:t>46,485,959.49</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3B39AE11" w14:textId="77777777" w:rsidR="009103CC" w:rsidRPr="001814D2" w:rsidRDefault="009103CC" w:rsidP="002718DF">
            <w:pPr>
              <w:pStyle w:val="Tabletext"/>
              <w:jc w:val="right"/>
              <w:rPr>
                <w:rFonts w:cs="Arial"/>
              </w:rPr>
            </w:pP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ED792A6" w14:textId="77777777" w:rsidR="009103CC" w:rsidRPr="001814D2" w:rsidRDefault="009103CC" w:rsidP="002718DF">
            <w:pPr>
              <w:pStyle w:val="Tabletext"/>
              <w:jc w:val="right"/>
              <w:rPr>
                <w:rFonts w:cs="Arial"/>
              </w:rPr>
            </w:pPr>
            <w:r w:rsidRPr="001814D2">
              <w:rPr>
                <w:rFonts w:cs="Arial"/>
              </w:rPr>
              <w:t>0.00</w:t>
            </w:r>
          </w:p>
        </w:tc>
        <w:tc>
          <w:tcPr>
            <w:tcW w:w="1545"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F21C74B" w14:textId="77777777" w:rsidR="009103CC" w:rsidRPr="001814D2" w:rsidRDefault="009103CC" w:rsidP="002718DF">
            <w:pPr>
              <w:pStyle w:val="Tabletext"/>
              <w:jc w:val="right"/>
              <w:rPr>
                <w:rFonts w:cs="Arial"/>
              </w:rPr>
            </w:pPr>
            <w:r w:rsidRPr="001814D2">
              <w:rPr>
                <w:rFonts w:cs="Arial"/>
              </w:rPr>
              <w:t>0.00</w:t>
            </w:r>
          </w:p>
        </w:tc>
        <w:tc>
          <w:tcPr>
            <w:tcW w:w="1546"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DE74BAE" w14:textId="77777777" w:rsidR="009103CC" w:rsidRPr="001814D2" w:rsidRDefault="009103CC" w:rsidP="002718DF">
            <w:pPr>
              <w:pStyle w:val="Tabletext"/>
              <w:jc w:val="right"/>
              <w:rPr>
                <w:rFonts w:cs="Arial"/>
              </w:rPr>
            </w:pPr>
            <w:r w:rsidRPr="001814D2">
              <w:rPr>
                <w:rFonts w:cs="Arial"/>
              </w:rPr>
              <w:t>0.00</w:t>
            </w:r>
          </w:p>
        </w:tc>
      </w:tr>
    </w:tbl>
    <w:p w14:paraId="441720EA" w14:textId="77777777" w:rsidR="009103CC" w:rsidRPr="001814D2" w:rsidRDefault="009103CC" w:rsidP="009103CC">
      <w:pPr>
        <w:pStyle w:val="Tabletext"/>
      </w:pPr>
    </w:p>
    <w:tbl>
      <w:tblPr>
        <w:tblW w:w="9307" w:type="dxa"/>
        <w:tblInd w:w="-8" w:type="dxa"/>
        <w:tblLayout w:type="fixed"/>
        <w:tblCellMar>
          <w:left w:w="0" w:type="dxa"/>
          <w:right w:w="0" w:type="dxa"/>
        </w:tblCellMar>
        <w:tblLook w:val="0000" w:firstRow="0" w:lastRow="0" w:firstColumn="0" w:lastColumn="0" w:noHBand="0" w:noVBand="0"/>
        <w:tblCaption w:val="Payment of accounts 2020-21: small business by quarter"/>
        <w:tblDescription w:val="This table provides dollar figures for each quarter for payments to small business suppliers that were made within the due date or within four ranges, from less than 30 days overdue to more than 90 days overdue."/>
      </w:tblPr>
      <w:tblGrid>
        <w:gridCol w:w="1551"/>
        <w:gridCol w:w="1551"/>
        <w:gridCol w:w="1551"/>
        <w:gridCol w:w="1551"/>
        <w:gridCol w:w="1551"/>
        <w:gridCol w:w="1552"/>
      </w:tblGrid>
      <w:tr w:rsidR="009103CC" w:rsidRPr="001814D2" w14:paraId="39356D9E" w14:textId="77777777" w:rsidTr="002718DF">
        <w:trPr>
          <w:trHeight w:val="306"/>
          <w:tblHeader/>
        </w:trPr>
        <w:tc>
          <w:tcPr>
            <w:tcW w:w="1551"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6568946" w14:textId="77777777" w:rsidR="009103CC" w:rsidRPr="001814D2" w:rsidRDefault="009103CC" w:rsidP="002718DF">
            <w:pPr>
              <w:pStyle w:val="Tabletext"/>
              <w:rPr>
                <w:rFonts w:cs="Arial"/>
                <w:b/>
                <w:bCs/>
                <w:sz w:val="16"/>
                <w:lang w:val="en-GB"/>
              </w:rPr>
            </w:pPr>
            <w:r w:rsidRPr="001814D2">
              <w:rPr>
                <w:rFonts w:cs="Arial"/>
                <w:b/>
                <w:bCs/>
                <w:lang w:val="en-GB"/>
              </w:rPr>
              <w:t xml:space="preserve">Small business, </w:t>
            </w:r>
            <w:r w:rsidRPr="001814D2">
              <w:rPr>
                <w:rFonts w:cs="Arial"/>
                <w:b/>
                <w:bCs/>
                <w:lang w:val="en-GB"/>
              </w:rPr>
              <w:br/>
              <w:t>by quarter</w:t>
            </w:r>
          </w:p>
        </w:tc>
        <w:tc>
          <w:tcPr>
            <w:tcW w:w="1551"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0DD1B39" w14:textId="77777777" w:rsidR="009103CC" w:rsidRPr="001814D2" w:rsidRDefault="009103CC" w:rsidP="002718DF">
            <w:pPr>
              <w:pStyle w:val="Tabletext"/>
              <w:jc w:val="right"/>
              <w:rPr>
                <w:rFonts w:cs="Arial"/>
                <w:b/>
                <w:bCs/>
                <w:sz w:val="16"/>
                <w:lang w:val="en-GB"/>
              </w:rPr>
            </w:pPr>
            <w:r w:rsidRPr="001814D2">
              <w:rPr>
                <w:rFonts w:cs="Arial"/>
                <w:b/>
                <w:bCs/>
                <w:lang w:val="en-GB"/>
              </w:rPr>
              <w:t xml:space="preserve">Current within due date ($) </w:t>
            </w:r>
          </w:p>
        </w:tc>
        <w:tc>
          <w:tcPr>
            <w:tcW w:w="1551"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3D6A168D" w14:textId="77777777" w:rsidR="009103CC" w:rsidRPr="001814D2" w:rsidRDefault="009103CC" w:rsidP="002718DF">
            <w:pPr>
              <w:pStyle w:val="Tabletext"/>
              <w:jc w:val="right"/>
              <w:rPr>
                <w:rFonts w:cs="Arial"/>
                <w:b/>
                <w:bCs/>
                <w:sz w:val="16"/>
                <w:lang w:val="en-GB"/>
              </w:rPr>
            </w:pPr>
            <w:r w:rsidRPr="001814D2">
              <w:rPr>
                <w:rFonts w:cs="Arial"/>
                <w:b/>
                <w:bCs/>
                <w:lang w:val="en-GB"/>
              </w:rPr>
              <w:t>Less than 30 days overdue ($)</w:t>
            </w:r>
          </w:p>
        </w:tc>
        <w:tc>
          <w:tcPr>
            <w:tcW w:w="1551"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9EFE595" w14:textId="77777777" w:rsidR="009103CC" w:rsidRPr="001814D2" w:rsidRDefault="009103CC" w:rsidP="002718DF">
            <w:pPr>
              <w:pStyle w:val="Tabletext"/>
              <w:jc w:val="right"/>
              <w:rPr>
                <w:rFonts w:cs="Arial"/>
                <w:b/>
                <w:bCs/>
                <w:sz w:val="16"/>
                <w:lang w:val="en-GB"/>
              </w:rPr>
            </w:pPr>
            <w:r w:rsidRPr="001814D2">
              <w:rPr>
                <w:rFonts w:cs="Arial"/>
                <w:b/>
                <w:bCs/>
                <w:lang w:val="en-GB"/>
              </w:rPr>
              <w:t xml:space="preserve">Between 30 and </w:t>
            </w:r>
            <w:r w:rsidRPr="001814D2">
              <w:rPr>
                <w:rFonts w:cs="Arial"/>
                <w:b/>
                <w:bCs/>
                <w:lang w:val="en-GB"/>
              </w:rPr>
              <w:br/>
              <w:t>60 days overdue ($)</w:t>
            </w:r>
          </w:p>
        </w:tc>
        <w:tc>
          <w:tcPr>
            <w:tcW w:w="1551"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73475992" w14:textId="77777777" w:rsidR="009103CC" w:rsidRPr="001814D2" w:rsidRDefault="009103CC" w:rsidP="002718DF">
            <w:pPr>
              <w:pStyle w:val="Tabletext"/>
              <w:jc w:val="right"/>
              <w:rPr>
                <w:rFonts w:cs="Arial"/>
                <w:b/>
                <w:bCs/>
                <w:sz w:val="16"/>
                <w:lang w:val="en-GB"/>
              </w:rPr>
            </w:pPr>
            <w:r w:rsidRPr="001814D2">
              <w:rPr>
                <w:rFonts w:cs="Arial"/>
                <w:b/>
                <w:bCs/>
                <w:lang w:val="en-GB"/>
              </w:rPr>
              <w:t xml:space="preserve">Between 60 and </w:t>
            </w:r>
            <w:r w:rsidRPr="001814D2">
              <w:rPr>
                <w:rFonts w:cs="Arial"/>
                <w:b/>
                <w:bCs/>
                <w:lang w:val="en-GB"/>
              </w:rPr>
              <w:br/>
              <w:t>90 days overdue ($)</w:t>
            </w:r>
          </w:p>
        </w:tc>
        <w:tc>
          <w:tcPr>
            <w:tcW w:w="1552"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13442B15" w14:textId="77777777" w:rsidR="009103CC" w:rsidRPr="001814D2" w:rsidRDefault="009103CC" w:rsidP="002718DF">
            <w:pPr>
              <w:pStyle w:val="Tabletext"/>
              <w:jc w:val="right"/>
              <w:rPr>
                <w:rFonts w:cs="Arial"/>
                <w:b/>
                <w:bCs/>
                <w:sz w:val="16"/>
                <w:lang w:val="en-GB"/>
              </w:rPr>
            </w:pPr>
            <w:r w:rsidRPr="001814D2">
              <w:rPr>
                <w:rFonts w:cs="Arial"/>
                <w:b/>
                <w:bCs/>
                <w:lang w:val="en-GB"/>
              </w:rPr>
              <w:t>More than 90 days overdue ($)</w:t>
            </w:r>
          </w:p>
        </w:tc>
      </w:tr>
      <w:tr w:rsidR="009103CC" w:rsidRPr="001814D2" w14:paraId="5F50CB76" w14:textId="77777777" w:rsidTr="002718DF">
        <w:trPr>
          <w:trHeight w:hRule="exact" w:val="877"/>
        </w:trPr>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51BB0796" w14:textId="77777777" w:rsidR="009103CC" w:rsidRPr="001814D2" w:rsidRDefault="009103CC" w:rsidP="002718DF">
            <w:pPr>
              <w:pStyle w:val="Tabletext"/>
              <w:rPr>
                <w:rFonts w:cs="Arial"/>
              </w:rPr>
            </w:pPr>
            <w:r w:rsidRPr="001814D2">
              <w:rPr>
                <w:rFonts w:cs="Arial"/>
              </w:rPr>
              <w:t>September 2020</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0F1EE062" w14:textId="77777777" w:rsidR="009103CC" w:rsidRPr="001814D2" w:rsidRDefault="009103CC" w:rsidP="002718DF">
            <w:pPr>
              <w:pStyle w:val="Tabletext"/>
              <w:jc w:val="right"/>
              <w:rPr>
                <w:rFonts w:cs="Arial"/>
              </w:rPr>
            </w:pPr>
            <w:r w:rsidRPr="001814D2">
              <w:rPr>
                <w:rFonts w:cs="Arial"/>
              </w:rPr>
              <w:t>5,344,725.54</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2E92CFBE" w14:textId="77777777" w:rsidR="009103CC" w:rsidRPr="001814D2" w:rsidRDefault="009103CC" w:rsidP="002718DF">
            <w:pPr>
              <w:pStyle w:val="Tabletext"/>
              <w:jc w:val="right"/>
              <w:rPr>
                <w:rFonts w:cs="Arial"/>
              </w:rPr>
            </w:pPr>
            <w:r w:rsidRPr="001814D2">
              <w:rPr>
                <w:rFonts w:cs="Arial"/>
              </w:rPr>
              <w:t>267,236.28</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51387215" w14:textId="77777777" w:rsidR="009103CC" w:rsidRPr="001814D2" w:rsidRDefault="009103CC" w:rsidP="002718DF">
            <w:pPr>
              <w:pStyle w:val="Tabletext"/>
              <w:jc w:val="right"/>
              <w:rPr>
                <w:rFonts w:cs="Arial"/>
              </w:rPr>
            </w:pPr>
            <w:r w:rsidRPr="001814D2">
              <w:rPr>
                <w:rFonts w:cs="Arial"/>
              </w:rPr>
              <w:t>0.00</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7D7D6318" w14:textId="77777777" w:rsidR="009103CC" w:rsidRPr="001814D2" w:rsidRDefault="009103CC" w:rsidP="002718DF">
            <w:pPr>
              <w:pStyle w:val="Tabletext"/>
              <w:jc w:val="right"/>
              <w:rPr>
                <w:rFonts w:cs="Arial"/>
              </w:rPr>
            </w:pPr>
            <w:r w:rsidRPr="001814D2">
              <w:rPr>
                <w:rFonts w:cs="Arial"/>
              </w:rPr>
              <w:t>0.00</w:t>
            </w:r>
          </w:p>
        </w:tc>
        <w:tc>
          <w:tcPr>
            <w:tcW w:w="1552"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4E4F9D42" w14:textId="77777777" w:rsidR="009103CC" w:rsidRPr="001814D2" w:rsidRDefault="009103CC" w:rsidP="002718DF">
            <w:pPr>
              <w:pStyle w:val="Tabletext"/>
              <w:jc w:val="right"/>
              <w:rPr>
                <w:rFonts w:cs="Arial"/>
              </w:rPr>
            </w:pPr>
            <w:r w:rsidRPr="001814D2">
              <w:rPr>
                <w:rFonts w:cs="Arial"/>
              </w:rPr>
              <w:t>0.00</w:t>
            </w:r>
          </w:p>
        </w:tc>
      </w:tr>
      <w:tr w:rsidR="009103CC" w:rsidRPr="001814D2" w14:paraId="2ECF7D31" w14:textId="77777777" w:rsidTr="002718DF">
        <w:trPr>
          <w:trHeight w:hRule="exact" w:val="877"/>
        </w:trPr>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399A4995" w14:textId="77777777" w:rsidR="009103CC" w:rsidRPr="001814D2" w:rsidRDefault="009103CC" w:rsidP="002718DF">
            <w:pPr>
              <w:pStyle w:val="Tabletext"/>
              <w:rPr>
                <w:rFonts w:cs="Arial"/>
              </w:rPr>
            </w:pPr>
            <w:r w:rsidRPr="001814D2">
              <w:rPr>
                <w:rFonts w:cs="Arial"/>
              </w:rPr>
              <w:t>December 2020</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6F059931" w14:textId="77777777" w:rsidR="009103CC" w:rsidRPr="001814D2" w:rsidRDefault="009103CC" w:rsidP="002718DF">
            <w:pPr>
              <w:pStyle w:val="Tabletext"/>
              <w:jc w:val="right"/>
              <w:rPr>
                <w:rFonts w:cs="Arial"/>
              </w:rPr>
            </w:pPr>
            <w:r w:rsidRPr="001814D2">
              <w:rPr>
                <w:rFonts w:cs="Arial"/>
              </w:rPr>
              <w:t>56,819,682.62</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44D2D241" w14:textId="77777777" w:rsidR="009103CC" w:rsidRPr="001814D2" w:rsidRDefault="009103CC" w:rsidP="002718DF">
            <w:pPr>
              <w:pStyle w:val="Tabletext"/>
              <w:jc w:val="right"/>
              <w:rPr>
                <w:rFonts w:cs="Arial"/>
              </w:rPr>
            </w:pPr>
            <w:r w:rsidRPr="001814D2">
              <w:rPr>
                <w:rFonts w:cs="Arial"/>
              </w:rPr>
              <w:t>2,840,984.13</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66D8DF5A" w14:textId="77777777" w:rsidR="009103CC" w:rsidRPr="001814D2" w:rsidRDefault="009103CC" w:rsidP="002718DF">
            <w:pPr>
              <w:pStyle w:val="Tabletext"/>
              <w:jc w:val="right"/>
              <w:rPr>
                <w:rFonts w:cs="Arial"/>
              </w:rPr>
            </w:pPr>
            <w:r w:rsidRPr="001814D2">
              <w:rPr>
                <w:rFonts w:cs="Arial"/>
              </w:rPr>
              <w:t>0.00</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28FD746F" w14:textId="77777777" w:rsidR="009103CC" w:rsidRPr="001814D2" w:rsidRDefault="009103CC" w:rsidP="002718DF">
            <w:pPr>
              <w:pStyle w:val="Tabletext"/>
              <w:jc w:val="right"/>
              <w:rPr>
                <w:rFonts w:cs="Arial"/>
              </w:rPr>
            </w:pPr>
            <w:r w:rsidRPr="001814D2">
              <w:rPr>
                <w:rFonts w:cs="Arial"/>
              </w:rPr>
              <w:t>0.00</w:t>
            </w:r>
          </w:p>
        </w:tc>
        <w:tc>
          <w:tcPr>
            <w:tcW w:w="1552"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1E68A004" w14:textId="77777777" w:rsidR="009103CC" w:rsidRPr="001814D2" w:rsidRDefault="009103CC" w:rsidP="002718DF">
            <w:pPr>
              <w:pStyle w:val="Tabletext"/>
              <w:jc w:val="right"/>
              <w:rPr>
                <w:rFonts w:cs="Arial"/>
              </w:rPr>
            </w:pPr>
            <w:r w:rsidRPr="001814D2">
              <w:rPr>
                <w:rFonts w:cs="Arial"/>
              </w:rPr>
              <w:t>0.00</w:t>
            </w:r>
          </w:p>
        </w:tc>
      </w:tr>
      <w:tr w:rsidR="009103CC" w:rsidRPr="001814D2" w14:paraId="68DB233E" w14:textId="77777777" w:rsidTr="002718DF">
        <w:trPr>
          <w:trHeight w:hRule="exact" w:val="877"/>
        </w:trPr>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69027C11" w14:textId="77777777" w:rsidR="009103CC" w:rsidRPr="001814D2" w:rsidRDefault="009103CC" w:rsidP="002718DF">
            <w:pPr>
              <w:pStyle w:val="Tabletext"/>
              <w:rPr>
                <w:rFonts w:cs="Arial"/>
              </w:rPr>
            </w:pPr>
            <w:r w:rsidRPr="001814D2">
              <w:rPr>
                <w:rFonts w:cs="Arial"/>
              </w:rPr>
              <w:t>March 2021</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1F5E8C04" w14:textId="77777777" w:rsidR="009103CC" w:rsidRPr="001814D2" w:rsidRDefault="009103CC" w:rsidP="002718DF">
            <w:pPr>
              <w:pStyle w:val="Tabletext"/>
              <w:jc w:val="right"/>
              <w:rPr>
                <w:rFonts w:cs="Arial"/>
              </w:rPr>
            </w:pPr>
            <w:r w:rsidRPr="001814D2">
              <w:rPr>
                <w:rFonts w:cs="Arial"/>
              </w:rPr>
              <w:t>17,704,683.78</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092E4841" w14:textId="77777777" w:rsidR="009103CC" w:rsidRPr="001814D2" w:rsidRDefault="009103CC" w:rsidP="002718DF">
            <w:pPr>
              <w:pStyle w:val="Tabletext"/>
              <w:jc w:val="right"/>
              <w:rPr>
                <w:rFonts w:cs="Arial"/>
              </w:rPr>
            </w:pPr>
            <w:r w:rsidRPr="001814D2">
              <w:rPr>
                <w:rFonts w:cs="Arial"/>
              </w:rPr>
              <w:t>216,315.25</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4F968E13" w14:textId="77777777" w:rsidR="009103CC" w:rsidRPr="001814D2" w:rsidRDefault="009103CC" w:rsidP="002718DF">
            <w:pPr>
              <w:pStyle w:val="Tabletext"/>
              <w:jc w:val="right"/>
              <w:rPr>
                <w:rFonts w:cs="Arial"/>
              </w:rPr>
            </w:pPr>
            <w:r w:rsidRPr="001814D2">
              <w:rPr>
                <w:rFonts w:cs="Arial"/>
              </w:rPr>
              <w:t>0.00</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5DD54C09" w14:textId="77777777" w:rsidR="009103CC" w:rsidRPr="001814D2" w:rsidRDefault="009103CC" w:rsidP="002718DF">
            <w:pPr>
              <w:pStyle w:val="Tabletext"/>
              <w:jc w:val="right"/>
              <w:rPr>
                <w:rFonts w:cs="Arial"/>
              </w:rPr>
            </w:pPr>
            <w:r w:rsidRPr="001814D2">
              <w:rPr>
                <w:rFonts w:cs="Arial"/>
              </w:rPr>
              <w:t>0.00</w:t>
            </w:r>
          </w:p>
        </w:tc>
        <w:tc>
          <w:tcPr>
            <w:tcW w:w="1552"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5AD2ED01" w14:textId="77777777" w:rsidR="009103CC" w:rsidRPr="001814D2" w:rsidRDefault="009103CC" w:rsidP="002718DF">
            <w:pPr>
              <w:pStyle w:val="Tabletext"/>
              <w:jc w:val="right"/>
              <w:rPr>
                <w:rFonts w:cs="Arial"/>
              </w:rPr>
            </w:pPr>
            <w:r w:rsidRPr="001814D2">
              <w:rPr>
                <w:rFonts w:cs="Arial"/>
              </w:rPr>
              <w:t>0.00</w:t>
            </w:r>
          </w:p>
        </w:tc>
      </w:tr>
      <w:tr w:rsidR="009103CC" w:rsidRPr="001814D2" w14:paraId="3DC6B889" w14:textId="77777777" w:rsidTr="002718DF">
        <w:trPr>
          <w:trHeight w:hRule="exact" w:val="877"/>
        </w:trPr>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39E3E03C" w14:textId="77777777" w:rsidR="009103CC" w:rsidRPr="001814D2" w:rsidRDefault="009103CC" w:rsidP="002718DF">
            <w:pPr>
              <w:pStyle w:val="Tabletext"/>
              <w:rPr>
                <w:rFonts w:cs="Arial"/>
              </w:rPr>
            </w:pPr>
            <w:r w:rsidRPr="001814D2">
              <w:rPr>
                <w:rFonts w:cs="Arial"/>
              </w:rPr>
              <w:t>June 2021</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761E280C" w14:textId="77777777" w:rsidR="009103CC" w:rsidRPr="001814D2" w:rsidRDefault="009103CC" w:rsidP="002718DF">
            <w:pPr>
              <w:pStyle w:val="Tabletext"/>
              <w:jc w:val="right"/>
              <w:rPr>
                <w:rFonts w:cs="Arial"/>
              </w:rPr>
            </w:pPr>
            <w:r w:rsidRPr="001814D2">
              <w:rPr>
                <w:rFonts w:cs="Arial"/>
              </w:rPr>
              <w:t>41,837,363.54</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283" w:type="dxa"/>
            </w:tcMar>
          </w:tcPr>
          <w:p w14:paraId="7DF354C8" w14:textId="77777777" w:rsidR="009103CC" w:rsidRPr="001814D2" w:rsidRDefault="009103CC" w:rsidP="002718DF">
            <w:pPr>
              <w:pStyle w:val="Tabletext"/>
              <w:jc w:val="right"/>
              <w:rPr>
                <w:rFonts w:cs="Arial"/>
              </w:rPr>
            </w:pPr>
            <w:r w:rsidRPr="001814D2">
              <w:rPr>
                <w:rFonts w:cs="Arial"/>
              </w:rPr>
              <w:t>2,091,868.18</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7B0889BE" w14:textId="77777777" w:rsidR="009103CC" w:rsidRPr="001814D2" w:rsidRDefault="009103CC" w:rsidP="002718DF">
            <w:pPr>
              <w:pStyle w:val="Tabletext"/>
              <w:jc w:val="right"/>
              <w:rPr>
                <w:rFonts w:cs="Arial"/>
              </w:rPr>
            </w:pPr>
            <w:r w:rsidRPr="001814D2">
              <w:rPr>
                <w:rFonts w:cs="Arial"/>
              </w:rPr>
              <w:t>0.00</w:t>
            </w:r>
          </w:p>
        </w:tc>
        <w:tc>
          <w:tcPr>
            <w:tcW w:w="1551"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11993F6E" w14:textId="77777777" w:rsidR="009103CC" w:rsidRPr="001814D2" w:rsidRDefault="009103CC" w:rsidP="002718DF">
            <w:pPr>
              <w:pStyle w:val="Tabletext"/>
              <w:jc w:val="right"/>
              <w:rPr>
                <w:rFonts w:cs="Arial"/>
              </w:rPr>
            </w:pPr>
            <w:r w:rsidRPr="001814D2">
              <w:rPr>
                <w:rFonts w:cs="Arial"/>
              </w:rPr>
              <w:t>0.00</w:t>
            </w:r>
          </w:p>
        </w:tc>
        <w:tc>
          <w:tcPr>
            <w:tcW w:w="1552" w:type="dxa"/>
            <w:tcBorders>
              <w:top w:val="single" w:sz="2" w:space="0" w:color="000000"/>
              <w:left w:val="single" w:sz="6" w:space="0" w:color="000000"/>
              <w:bottom w:val="single" w:sz="2" w:space="0" w:color="000000"/>
              <w:right w:val="single" w:sz="6" w:space="0" w:color="000000"/>
            </w:tcBorders>
            <w:tcMar>
              <w:top w:w="102" w:type="dxa"/>
              <w:left w:w="57" w:type="dxa"/>
              <w:bottom w:w="102" w:type="dxa"/>
              <w:right w:w="57" w:type="dxa"/>
            </w:tcMar>
          </w:tcPr>
          <w:p w14:paraId="3F2306C0" w14:textId="77777777" w:rsidR="009103CC" w:rsidRPr="001814D2" w:rsidRDefault="009103CC" w:rsidP="002718DF">
            <w:pPr>
              <w:pStyle w:val="Tabletext"/>
              <w:jc w:val="right"/>
              <w:rPr>
                <w:rFonts w:cs="Arial"/>
              </w:rPr>
            </w:pPr>
            <w:r w:rsidRPr="001814D2">
              <w:rPr>
                <w:rFonts w:cs="Arial"/>
              </w:rPr>
              <w:t>0.00</w:t>
            </w:r>
          </w:p>
        </w:tc>
      </w:tr>
    </w:tbl>
    <w:p w14:paraId="0BA22FDF" w14:textId="77777777" w:rsidR="009103CC" w:rsidRPr="001814D2" w:rsidRDefault="009103CC" w:rsidP="009103CC">
      <w:pPr>
        <w:pStyle w:val="Tabletext"/>
      </w:pPr>
    </w:p>
    <w:tbl>
      <w:tblPr>
        <w:tblW w:w="9356" w:type="dxa"/>
        <w:tblInd w:w="-8" w:type="dxa"/>
        <w:tblLayout w:type="fixed"/>
        <w:tblCellMar>
          <w:left w:w="0" w:type="dxa"/>
          <w:right w:w="0" w:type="dxa"/>
        </w:tblCellMar>
        <w:tblLook w:val="0000" w:firstRow="0" w:lastRow="0" w:firstColumn="0" w:lastColumn="0" w:noHBand="0" w:noVBand="0"/>
        <w:tblCaption w:val="Payment of accounts 2020-21: number, percentage and amount due, paid and overdue"/>
        <w:tblDescription w:val="This table provides figures for each quarter for payments to all suppliers that were due, paid and overdue in terms of number of accounts, percentage of accounts and dollar amounts as well as interest on overdue accounts"/>
      </w:tblPr>
      <w:tblGrid>
        <w:gridCol w:w="3119"/>
        <w:gridCol w:w="1559"/>
        <w:gridCol w:w="1559"/>
        <w:gridCol w:w="1559"/>
        <w:gridCol w:w="1560"/>
      </w:tblGrid>
      <w:tr w:rsidR="009103CC" w:rsidRPr="001814D2" w14:paraId="5AFEB445" w14:textId="77777777" w:rsidTr="002718DF">
        <w:trPr>
          <w:trHeight w:val="113"/>
          <w:tblHeader/>
        </w:trPr>
        <w:tc>
          <w:tcPr>
            <w:tcW w:w="311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8133827" w14:textId="77777777" w:rsidR="009103CC" w:rsidRPr="001814D2" w:rsidRDefault="009103CC" w:rsidP="002718DF">
            <w:pPr>
              <w:pStyle w:val="Tabletext"/>
              <w:rPr>
                <w:rFonts w:cs="Arial"/>
                <w:b/>
                <w:bCs/>
              </w:rPr>
            </w:pPr>
            <w:r w:rsidRPr="001814D2">
              <w:rPr>
                <w:rFonts w:cs="Arial"/>
                <w:b/>
                <w:bCs/>
              </w:rPr>
              <w:t>All suppliers</w:t>
            </w:r>
          </w:p>
        </w:tc>
        <w:tc>
          <w:tcPr>
            <w:tcW w:w="155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45E2E92" w14:textId="77777777" w:rsidR="009103CC" w:rsidRPr="001814D2" w:rsidRDefault="009103CC" w:rsidP="002718DF">
            <w:pPr>
              <w:pStyle w:val="Tabletext"/>
              <w:jc w:val="right"/>
              <w:rPr>
                <w:rFonts w:cs="Arial"/>
                <w:b/>
                <w:bCs/>
              </w:rPr>
            </w:pPr>
            <w:r w:rsidRPr="001814D2">
              <w:rPr>
                <w:rFonts w:cs="Arial"/>
                <w:b/>
                <w:bCs/>
              </w:rPr>
              <w:t>September 2020</w:t>
            </w:r>
          </w:p>
        </w:tc>
        <w:tc>
          <w:tcPr>
            <w:tcW w:w="155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6C2D8149" w14:textId="77777777" w:rsidR="009103CC" w:rsidRPr="001814D2" w:rsidRDefault="009103CC" w:rsidP="002718DF">
            <w:pPr>
              <w:pStyle w:val="Tabletext"/>
              <w:jc w:val="right"/>
              <w:rPr>
                <w:rFonts w:cs="Arial"/>
                <w:b/>
                <w:bCs/>
              </w:rPr>
            </w:pPr>
            <w:r w:rsidRPr="001814D2">
              <w:rPr>
                <w:rFonts w:cs="Arial"/>
                <w:b/>
                <w:bCs/>
              </w:rPr>
              <w:t>December 2020</w:t>
            </w:r>
          </w:p>
        </w:tc>
        <w:tc>
          <w:tcPr>
            <w:tcW w:w="155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8C5BD17" w14:textId="77777777" w:rsidR="009103CC" w:rsidRPr="001814D2" w:rsidRDefault="009103CC" w:rsidP="002718DF">
            <w:pPr>
              <w:pStyle w:val="Tabletext"/>
              <w:jc w:val="right"/>
              <w:rPr>
                <w:rFonts w:cs="Arial"/>
                <w:b/>
                <w:bCs/>
              </w:rPr>
            </w:pPr>
            <w:r w:rsidRPr="001814D2">
              <w:rPr>
                <w:rFonts w:cs="Arial"/>
                <w:b/>
                <w:bCs/>
              </w:rPr>
              <w:t>March 2021</w:t>
            </w:r>
          </w:p>
        </w:tc>
        <w:tc>
          <w:tcPr>
            <w:tcW w:w="1560"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4F3E0AA" w14:textId="77777777" w:rsidR="009103CC" w:rsidRPr="001814D2" w:rsidRDefault="009103CC" w:rsidP="002718DF">
            <w:pPr>
              <w:pStyle w:val="Tabletext"/>
              <w:jc w:val="right"/>
              <w:rPr>
                <w:rFonts w:cs="Arial"/>
                <w:b/>
                <w:bCs/>
              </w:rPr>
            </w:pPr>
            <w:r w:rsidRPr="001814D2">
              <w:rPr>
                <w:rFonts w:cs="Arial"/>
                <w:b/>
                <w:bCs/>
              </w:rPr>
              <w:t>June 2021</w:t>
            </w:r>
          </w:p>
        </w:tc>
      </w:tr>
      <w:tr w:rsidR="009103CC" w:rsidRPr="001814D2" w14:paraId="156F43FC"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7856A516" w14:textId="77777777" w:rsidR="009103CC" w:rsidRPr="001814D2" w:rsidRDefault="009103CC" w:rsidP="002718DF">
            <w:pPr>
              <w:pStyle w:val="Tabletext"/>
              <w:rPr>
                <w:rFonts w:cs="Arial"/>
              </w:rPr>
            </w:pPr>
            <w:r w:rsidRPr="001814D2">
              <w:rPr>
                <w:rFonts w:cs="Arial"/>
              </w:rPr>
              <w:t>Total number of accounts due for payment</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2F083E05" w14:textId="77777777" w:rsidR="009103CC" w:rsidRPr="001814D2" w:rsidRDefault="009103CC" w:rsidP="002718DF">
            <w:pPr>
              <w:pStyle w:val="Tabletext"/>
              <w:jc w:val="right"/>
              <w:rPr>
                <w:rFonts w:cs="Arial"/>
              </w:rPr>
            </w:pPr>
            <w:r w:rsidRPr="001814D2">
              <w:rPr>
                <w:rFonts w:cs="Arial"/>
              </w:rPr>
              <w:t>735</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A401790" w14:textId="77777777" w:rsidR="009103CC" w:rsidRPr="001814D2" w:rsidRDefault="009103CC" w:rsidP="002718DF">
            <w:pPr>
              <w:pStyle w:val="Tabletext"/>
              <w:jc w:val="right"/>
              <w:rPr>
                <w:rFonts w:cs="Arial"/>
              </w:rPr>
            </w:pPr>
            <w:r w:rsidRPr="001814D2">
              <w:rPr>
                <w:rFonts w:cs="Arial"/>
              </w:rPr>
              <w:t>713</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7D4CFAC" w14:textId="77777777" w:rsidR="009103CC" w:rsidRPr="001814D2" w:rsidRDefault="009103CC" w:rsidP="002718DF">
            <w:pPr>
              <w:pStyle w:val="Tabletext"/>
              <w:jc w:val="right"/>
              <w:rPr>
                <w:rFonts w:cs="Arial"/>
              </w:rPr>
            </w:pPr>
            <w:r w:rsidRPr="001814D2">
              <w:rPr>
                <w:rFonts w:cs="Arial"/>
              </w:rPr>
              <w:t>664</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A2FC396" w14:textId="77777777" w:rsidR="009103CC" w:rsidRPr="001814D2" w:rsidRDefault="009103CC" w:rsidP="002718DF">
            <w:pPr>
              <w:pStyle w:val="Tabletext"/>
              <w:jc w:val="right"/>
              <w:rPr>
                <w:rFonts w:cs="Arial"/>
              </w:rPr>
            </w:pPr>
            <w:r w:rsidRPr="001814D2">
              <w:rPr>
                <w:rFonts w:cs="Arial"/>
              </w:rPr>
              <w:t>742</w:t>
            </w:r>
          </w:p>
        </w:tc>
      </w:tr>
      <w:tr w:rsidR="009103CC" w:rsidRPr="001814D2" w14:paraId="71FDB040"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88FE300" w14:textId="77777777" w:rsidR="009103CC" w:rsidRPr="001814D2" w:rsidRDefault="009103CC" w:rsidP="002718DF">
            <w:pPr>
              <w:pStyle w:val="Tabletext"/>
              <w:rPr>
                <w:rFonts w:cs="Arial"/>
              </w:rPr>
            </w:pPr>
            <w:r w:rsidRPr="001814D2">
              <w:rPr>
                <w:rFonts w:cs="Arial"/>
              </w:rPr>
              <w:t>Number of accounts paid on time</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730469A3" w14:textId="77777777" w:rsidR="009103CC" w:rsidRPr="001814D2" w:rsidRDefault="009103CC" w:rsidP="002718DF">
            <w:pPr>
              <w:pStyle w:val="Tabletext"/>
              <w:jc w:val="right"/>
              <w:rPr>
                <w:rFonts w:cs="Arial"/>
              </w:rPr>
            </w:pPr>
            <w:r w:rsidRPr="001814D2">
              <w:rPr>
                <w:rFonts w:cs="Arial"/>
              </w:rPr>
              <w:t>687</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B558EF9" w14:textId="77777777" w:rsidR="009103CC" w:rsidRPr="001814D2" w:rsidRDefault="009103CC" w:rsidP="002718DF">
            <w:pPr>
              <w:pStyle w:val="Tabletext"/>
              <w:jc w:val="right"/>
              <w:rPr>
                <w:rFonts w:cs="Arial"/>
              </w:rPr>
            </w:pPr>
            <w:r w:rsidRPr="001814D2">
              <w:rPr>
                <w:rFonts w:cs="Arial"/>
              </w:rPr>
              <w:t>701</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C5AAA91" w14:textId="77777777" w:rsidR="009103CC" w:rsidRPr="001814D2" w:rsidRDefault="009103CC" w:rsidP="002718DF">
            <w:pPr>
              <w:pStyle w:val="Tabletext"/>
              <w:jc w:val="right"/>
              <w:rPr>
                <w:rFonts w:cs="Arial"/>
              </w:rPr>
            </w:pPr>
            <w:r w:rsidRPr="001814D2">
              <w:rPr>
                <w:rFonts w:cs="Arial"/>
              </w:rPr>
              <w:t>664</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D4E5AC9" w14:textId="77777777" w:rsidR="009103CC" w:rsidRPr="001814D2" w:rsidRDefault="009103CC" w:rsidP="002718DF">
            <w:pPr>
              <w:pStyle w:val="Tabletext"/>
              <w:jc w:val="right"/>
              <w:rPr>
                <w:rFonts w:cs="Arial"/>
              </w:rPr>
            </w:pPr>
            <w:r w:rsidRPr="001814D2">
              <w:rPr>
                <w:rFonts w:cs="Arial"/>
              </w:rPr>
              <w:t>742</w:t>
            </w:r>
          </w:p>
        </w:tc>
      </w:tr>
      <w:tr w:rsidR="009103CC" w:rsidRPr="001814D2" w14:paraId="69949D20"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C5F825C" w14:textId="77777777" w:rsidR="009103CC" w:rsidRPr="001814D2" w:rsidRDefault="009103CC" w:rsidP="002718DF">
            <w:pPr>
              <w:pStyle w:val="Tabletext"/>
              <w:rPr>
                <w:rFonts w:cs="Arial"/>
              </w:rPr>
            </w:pPr>
            <w:r w:rsidRPr="001814D2">
              <w:rPr>
                <w:rFonts w:cs="Arial"/>
              </w:rPr>
              <w:t>% of accounts paid on time based on number of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6718C7AE" w14:textId="77777777" w:rsidR="009103CC" w:rsidRPr="001814D2" w:rsidRDefault="009103CC" w:rsidP="002718DF">
            <w:pPr>
              <w:pStyle w:val="Tabletext"/>
              <w:jc w:val="right"/>
              <w:rPr>
                <w:rFonts w:cs="Arial"/>
              </w:rPr>
            </w:pPr>
            <w:r w:rsidRPr="001814D2">
              <w:rPr>
                <w:rFonts w:cs="Arial"/>
              </w:rPr>
              <w:t>93.47</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CB14A42" w14:textId="77777777" w:rsidR="009103CC" w:rsidRPr="001814D2" w:rsidRDefault="009103CC" w:rsidP="002718DF">
            <w:pPr>
              <w:pStyle w:val="Tabletext"/>
              <w:jc w:val="right"/>
              <w:rPr>
                <w:rFonts w:cs="Arial"/>
              </w:rPr>
            </w:pPr>
            <w:r w:rsidRPr="001814D2">
              <w:rPr>
                <w:rFonts w:cs="Arial"/>
              </w:rPr>
              <w:t>98.29</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87A9CF7" w14:textId="77777777" w:rsidR="009103CC" w:rsidRPr="001814D2" w:rsidRDefault="009103CC" w:rsidP="002718DF">
            <w:pPr>
              <w:pStyle w:val="Tabletext"/>
              <w:jc w:val="right"/>
              <w:rPr>
                <w:rFonts w:cs="Arial"/>
              </w:rPr>
            </w:pPr>
            <w:r w:rsidRPr="001814D2">
              <w:rPr>
                <w:rFonts w:cs="Arial"/>
              </w:rPr>
              <w:t>100.00</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2E4AB84" w14:textId="77777777" w:rsidR="009103CC" w:rsidRPr="001814D2" w:rsidRDefault="009103CC" w:rsidP="002718DF">
            <w:pPr>
              <w:pStyle w:val="Tabletext"/>
              <w:jc w:val="right"/>
              <w:rPr>
                <w:rFonts w:cs="Arial"/>
              </w:rPr>
            </w:pPr>
            <w:r w:rsidRPr="001814D2">
              <w:rPr>
                <w:rFonts w:cs="Arial"/>
              </w:rPr>
              <w:t>100.00</w:t>
            </w:r>
          </w:p>
        </w:tc>
      </w:tr>
      <w:tr w:rsidR="009103CC" w:rsidRPr="001814D2" w14:paraId="6AE0828C"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55CBAFB" w14:textId="77777777" w:rsidR="009103CC" w:rsidRPr="001814D2" w:rsidRDefault="009103CC" w:rsidP="002718DF">
            <w:pPr>
              <w:pStyle w:val="Tabletext"/>
              <w:rPr>
                <w:rFonts w:cs="Arial"/>
              </w:rPr>
            </w:pPr>
            <w:r w:rsidRPr="001814D2">
              <w:rPr>
                <w:rFonts w:cs="Arial"/>
              </w:rPr>
              <w:t>$ amount of accounts due for payment</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517DE74E" w14:textId="77777777" w:rsidR="009103CC" w:rsidRPr="001814D2" w:rsidRDefault="009103CC" w:rsidP="002718DF">
            <w:pPr>
              <w:pStyle w:val="Tabletext"/>
              <w:jc w:val="right"/>
              <w:rPr>
                <w:rFonts w:cs="Arial"/>
              </w:rPr>
            </w:pPr>
            <w:r w:rsidRPr="001814D2">
              <w:rPr>
                <w:rFonts w:cs="Arial"/>
              </w:rPr>
              <w:t>6,235,513</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61F770C" w14:textId="77777777" w:rsidR="009103CC" w:rsidRPr="001814D2" w:rsidRDefault="009103CC" w:rsidP="002718DF">
            <w:pPr>
              <w:pStyle w:val="Tabletext"/>
              <w:jc w:val="right"/>
              <w:rPr>
                <w:rFonts w:cs="Arial"/>
              </w:rPr>
            </w:pPr>
            <w:r w:rsidRPr="001814D2">
              <w:rPr>
                <w:rFonts w:cs="Arial"/>
              </w:rPr>
              <w:t>66,289,630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026EDC9" w14:textId="77777777" w:rsidR="009103CC" w:rsidRPr="001814D2" w:rsidRDefault="009103CC" w:rsidP="002718DF">
            <w:pPr>
              <w:pStyle w:val="Tabletext"/>
              <w:jc w:val="right"/>
              <w:rPr>
                <w:rFonts w:cs="Arial"/>
              </w:rPr>
            </w:pPr>
            <w:r w:rsidRPr="001814D2">
              <w:rPr>
                <w:rFonts w:cs="Arial"/>
              </w:rPr>
              <w:t>20,655,464</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07D1D79" w14:textId="77777777" w:rsidR="009103CC" w:rsidRPr="001814D2" w:rsidRDefault="009103CC" w:rsidP="002718DF">
            <w:pPr>
              <w:pStyle w:val="Tabletext"/>
              <w:jc w:val="right"/>
              <w:rPr>
                <w:rFonts w:cs="Arial"/>
              </w:rPr>
            </w:pPr>
            <w:r w:rsidRPr="001814D2">
              <w:rPr>
                <w:rFonts w:cs="Arial"/>
              </w:rPr>
              <w:t>48,810,257</w:t>
            </w:r>
          </w:p>
        </w:tc>
      </w:tr>
      <w:tr w:rsidR="009103CC" w:rsidRPr="001814D2" w14:paraId="29361B68"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1FD1BA9" w14:textId="77777777" w:rsidR="009103CC" w:rsidRPr="001814D2" w:rsidRDefault="009103CC" w:rsidP="002718DF">
            <w:pPr>
              <w:pStyle w:val="Tabletext"/>
              <w:rPr>
                <w:rFonts w:cs="Arial"/>
              </w:rPr>
            </w:pPr>
            <w:r w:rsidRPr="001814D2">
              <w:rPr>
                <w:rFonts w:cs="Arial"/>
              </w:rPr>
              <w:t>$ amount of accounts paid on time</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261B0454" w14:textId="77777777" w:rsidR="009103CC" w:rsidRPr="001814D2" w:rsidRDefault="009103CC" w:rsidP="002718DF">
            <w:pPr>
              <w:pStyle w:val="Tabletext"/>
              <w:jc w:val="right"/>
              <w:rPr>
                <w:rFonts w:cs="Arial"/>
              </w:rPr>
            </w:pPr>
            <w:r w:rsidRPr="001814D2">
              <w:rPr>
                <w:rFonts w:cs="Arial"/>
              </w:rPr>
              <w:t>6,154,380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581CD80" w14:textId="77777777" w:rsidR="009103CC" w:rsidRPr="001814D2" w:rsidRDefault="009103CC" w:rsidP="002718DF">
            <w:pPr>
              <w:pStyle w:val="Tabletext"/>
              <w:jc w:val="right"/>
              <w:rPr>
                <w:rFonts w:cs="Arial"/>
              </w:rPr>
            </w:pPr>
            <w:r w:rsidRPr="001814D2">
              <w:rPr>
                <w:rFonts w:cs="Arial"/>
              </w:rPr>
              <w:t>64,751,963</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FB5902E" w14:textId="77777777" w:rsidR="009103CC" w:rsidRPr="001814D2" w:rsidRDefault="009103CC" w:rsidP="002718DF">
            <w:pPr>
              <w:pStyle w:val="Tabletext"/>
              <w:jc w:val="right"/>
              <w:rPr>
                <w:rFonts w:cs="Arial"/>
              </w:rPr>
            </w:pPr>
            <w:r w:rsidRPr="001814D2">
              <w:rPr>
                <w:rFonts w:cs="Arial"/>
              </w:rPr>
              <w:t>20,217,598</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368DEBF" w14:textId="77777777" w:rsidR="009103CC" w:rsidRPr="001814D2" w:rsidRDefault="009103CC" w:rsidP="002718DF">
            <w:pPr>
              <w:pStyle w:val="Tabletext"/>
              <w:jc w:val="right"/>
              <w:rPr>
                <w:rFonts w:cs="Arial"/>
              </w:rPr>
            </w:pPr>
            <w:r w:rsidRPr="001814D2">
              <w:rPr>
                <w:rFonts w:cs="Arial"/>
              </w:rPr>
              <w:t>47,322,155</w:t>
            </w:r>
          </w:p>
        </w:tc>
      </w:tr>
      <w:tr w:rsidR="009103CC" w:rsidRPr="001814D2" w14:paraId="177AED09"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BC62C57" w14:textId="77777777" w:rsidR="009103CC" w:rsidRPr="001814D2" w:rsidRDefault="009103CC" w:rsidP="002718DF">
            <w:pPr>
              <w:pStyle w:val="Tabletext"/>
              <w:rPr>
                <w:rFonts w:cs="Arial"/>
              </w:rPr>
            </w:pPr>
            <w:r w:rsidRPr="001814D2">
              <w:rPr>
                <w:rFonts w:cs="Arial"/>
              </w:rPr>
              <w:t>% of accounts paid on time based on $ amount of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1C9FCAFE" w14:textId="77777777" w:rsidR="009103CC" w:rsidRPr="001814D2" w:rsidRDefault="009103CC" w:rsidP="002718DF">
            <w:pPr>
              <w:pStyle w:val="Tabletext"/>
              <w:jc w:val="right"/>
              <w:rPr>
                <w:rFonts w:cs="Arial"/>
              </w:rPr>
            </w:pPr>
            <w:r w:rsidRPr="001814D2">
              <w:rPr>
                <w:rFonts w:cs="Arial"/>
              </w:rPr>
              <w:t>98.70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93B2D65" w14:textId="77777777" w:rsidR="009103CC" w:rsidRPr="001814D2" w:rsidRDefault="009103CC" w:rsidP="002718DF">
            <w:pPr>
              <w:pStyle w:val="Tabletext"/>
              <w:jc w:val="right"/>
              <w:rPr>
                <w:rFonts w:cs="Arial"/>
              </w:rPr>
            </w:pPr>
            <w:r w:rsidRPr="001814D2">
              <w:rPr>
                <w:rFonts w:cs="Arial"/>
              </w:rPr>
              <w:t>97.68</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E493B3B" w14:textId="77777777" w:rsidR="009103CC" w:rsidRPr="001814D2" w:rsidRDefault="009103CC" w:rsidP="002718DF">
            <w:pPr>
              <w:pStyle w:val="Tabletext"/>
              <w:jc w:val="right"/>
              <w:rPr>
                <w:rFonts w:cs="Arial"/>
              </w:rPr>
            </w:pPr>
            <w:r w:rsidRPr="001814D2">
              <w:rPr>
                <w:rFonts w:cs="Arial"/>
              </w:rPr>
              <w:t>97.88</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A722179" w14:textId="77777777" w:rsidR="009103CC" w:rsidRPr="001814D2" w:rsidRDefault="009103CC" w:rsidP="002718DF">
            <w:pPr>
              <w:pStyle w:val="Tabletext"/>
              <w:jc w:val="right"/>
              <w:rPr>
                <w:rFonts w:cs="Arial"/>
              </w:rPr>
            </w:pPr>
            <w:r w:rsidRPr="001814D2">
              <w:rPr>
                <w:rFonts w:cs="Arial"/>
              </w:rPr>
              <w:t>99.00</w:t>
            </w:r>
          </w:p>
        </w:tc>
      </w:tr>
      <w:tr w:rsidR="009103CC" w:rsidRPr="001814D2" w14:paraId="3742FBA9"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1E43015" w14:textId="77777777" w:rsidR="009103CC" w:rsidRPr="001814D2" w:rsidRDefault="009103CC" w:rsidP="002718DF">
            <w:pPr>
              <w:pStyle w:val="Tabletext"/>
              <w:rPr>
                <w:rFonts w:cs="Arial"/>
              </w:rPr>
            </w:pPr>
            <w:r w:rsidRPr="001814D2">
              <w:rPr>
                <w:rFonts w:cs="Arial"/>
              </w:rPr>
              <w:t>Number of payments for interest on overdue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0A159037" w14:textId="77777777" w:rsidR="009103CC" w:rsidRPr="001814D2" w:rsidRDefault="009103CC" w:rsidP="002718DF">
            <w:pPr>
              <w:pStyle w:val="Tabletext"/>
              <w:jc w:val="right"/>
              <w:rPr>
                <w:rFonts w:cs="Arial"/>
              </w:rPr>
            </w:pPr>
            <w:r w:rsidRPr="001814D2">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84A47BF" w14:textId="77777777" w:rsidR="009103CC" w:rsidRPr="001814D2" w:rsidRDefault="009103CC" w:rsidP="002718DF">
            <w:pPr>
              <w:pStyle w:val="Tabletext"/>
              <w:jc w:val="right"/>
              <w:rPr>
                <w:rFonts w:cs="Arial"/>
              </w:rPr>
            </w:pPr>
            <w:r w:rsidRPr="001814D2">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4AF6C50" w14:textId="77777777" w:rsidR="009103CC" w:rsidRPr="001814D2" w:rsidRDefault="009103CC" w:rsidP="002718DF">
            <w:pPr>
              <w:pStyle w:val="Tabletext"/>
              <w:jc w:val="right"/>
              <w:rPr>
                <w:rFonts w:cs="Arial"/>
              </w:rPr>
            </w:pPr>
            <w:r w:rsidRPr="001814D2">
              <w:rPr>
                <w:rFonts w:cs="Arial"/>
              </w:rPr>
              <w:t>0</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8DB11B3" w14:textId="77777777" w:rsidR="009103CC" w:rsidRPr="001814D2" w:rsidRDefault="009103CC" w:rsidP="002718DF">
            <w:pPr>
              <w:pStyle w:val="Tabletext"/>
              <w:jc w:val="right"/>
              <w:rPr>
                <w:rFonts w:cs="Arial"/>
              </w:rPr>
            </w:pPr>
            <w:r w:rsidRPr="001814D2">
              <w:rPr>
                <w:rFonts w:cs="Arial"/>
              </w:rPr>
              <w:t>0</w:t>
            </w:r>
          </w:p>
        </w:tc>
      </w:tr>
      <w:tr w:rsidR="009103CC" w:rsidRPr="001814D2" w14:paraId="5048F453"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1FBD50FF" w14:textId="77777777" w:rsidR="009103CC" w:rsidRPr="001814D2" w:rsidRDefault="009103CC" w:rsidP="002718DF">
            <w:pPr>
              <w:pStyle w:val="Tabletext"/>
              <w:rPr>
                <w:rFonts w:cs="Arial"/>
              </w:rPr>
            </w:pPr>
            <w:r w:rsidRPr="001814D2">
              <w:rPr>
                <w:rFonts w:cs="Arial"/>
              </w:rPr>
              <w:t>Interest paid on overdue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340" w:type="dxa"/>
            </w:tcMar>
          </w:tcPr>
          <w:p w14:paraId="3CD90EDE" w14:textId="77777777" w:rsidR="009103CC" w:rsidRPr="001814D2" w:rsidRDefault="009103CC" w:rsidP="002718DF">
            <w:pPr>
              <w:pStyle w:val="Tabletext"/>
              <w:jc w:val="right"/>
              <w:rPr>
                <w:rFonts w:cs="Arial"/>
              </w:rPr>
            </w:pPr>
            <w:r w:rsidRPr="001814D2">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E1C3862" w14:textId="77777777" w:rsidR="009103CC" w:rsidRPr="001814D2" w:rsidRDefault="009103CC" w:rsidP="002718DF">
            <w:pPr>
              <w:pStyle w:val="Tabletext"/>
              <w:jc w:val="right"/>
              <w:rPr>
                <w:rFonts w:cs="Arial"/>
              </w:rPr>
            </w:pPr>
            <w:r w:rsidRPr="001814D2">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4BABEA5B" w14:textId="77777777" w:rsidR="009103CC" w:rsidRPr="001814D2" w:rsidRDefault="009103CC" w:rsidP="002718DF">
            <w:pPr>
              <w:pStyle w:val="Tabletext"/>
              <w:jc w:val="right"/>
              <w:rPr>
                <w:rFonts w:cs="Arial"/>
              </w:rPr>
            </w:pPr>
            <w:r w:rsidRPr="001814D2">
              <w:rPr>
                <w:rFonts w:cs="Arial"/>
              </w:rPr>
              <w:t>0</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D4A8E7C" w14:textId="77777777" w:rsidR="009103CC" w:rsidRPr="001814D2" w:rsidRDefault="009103CC" w:rsidP="002718DF">
            <w:pPr>
              <w:pStyle w:val="Tabletext"/>
              <w:jc w:val="right"/>
              <w:rPr>
                <w:rFonts w:cs="Arial"/>
              </w:rPr>
            </w:pPr>
            <w:r w:rsidRPr="001814D2">
              <w:rPr>
                <w:rFonts w:cs="Arial"/>
              </w:rPr>
              <w:t>0</w:t>
            </w:r>
          </w:p>
        </w:tc>
      </w:tr>
    </w:tbl>
    <w:p w14:paraId="19D206B8" w14:textId="77777777" w:rsidR="009103CC" w:rsidRPr="001814D2" w:rsidRDefault="009103CC" w:rsidP="009103CC">
      <w:pPr>
        <w:pStyle w:val="Tabletext"/>
      </w:pPr>
    </w:p>
    <w:tbl>
      <w:tblPr>
        <w:tblW w:w="9356" w:type="dxa"/>
        <w:tblInd w:w="-8" w:type="dxa"/>
        <w:tblLayout w:type="fixed"/>
        <w:tblCellMar>
          <w:left w:w="0" w:type="dxa"/>
          <w:right w:w="0" w:type="dxa"/>
        </w:tblCellMar>
        <w:tblLook w:val="0000" w:firstRow="0" w:lastRow="0" w:firstColumn="0" w:lastColumn="0" w:noHBand="0" w:noVBand="0"/>
        <w:tblCaption w:val="Payment of accounts 2020-21: number, percentage and amount due, paid and overdue, for small business accounts"/>
        <w:tblDescription w:val="This table provides figures for each quarter for payments to small business suppliers that were due, paid and overdue in terms of number of accounts, percentage of accounts and dollar amounts as well as interest on overdue accounts"/>
      </w:tblPr>
      <w:tblGrid>
        <w:gridCol w:w="3119"/>
        <w:gridCol w:w="1559"/>
        <w:gridCol w:w="1559"/>
        <w:gridCol w:w="1559"/>
        <w:gridCol w:w="1560"/>
      </w:tblGrid>
      <w:tr w:rsidR="009103CC" w:rsidRPr="001814D2" w14:paraId="78675905" w14:textId="77777777" w:rsidTr="002718DF">
        <w:trPr>
          <w:trHeight w:val="113"/>
          <w:tblHeader/>
        </w:trPr>
        <w:tc>
          <w:tcPr>
            <w:tcW w:w="311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9589045" w14:textId="77777777" w:rsidR="009103CC" w:rsidRPr="001814D2" w:rsidRDefault="009103CC" w:rsidP="002718DF">
            <w:pPr>
              <w:pStyle w:val="Tabletext"/>
              <w:rPr>
                <w:rFonts w:cs="Arial"/>
                <w:b/>
                <w:bCs/>
              </w:rPr>
            </w:pPr>
            <w:r w:rsidRPr="001814D2">
              <w:rPr>
                <w:rFonts w:cs="Arial"/>
                <w:b/>
                <w:bCs/>
              </w:rPr>
              <w:lastRenderedPageBreak/>
              <w:t>Small business</w:t>
            </w:r>
          </w:p>
        </w:tc>
        <w:tc>
          <w:tcPr>
            <w:tcW w:w="155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5A36F39" w14:textId="77777777" w:rsidR="009103CC" w:rsidRPr="001814D2" w:rsidRDefault="009103CC" w:rsidP="002718DF">
            <w:pPr>
              <w:pStyle w:val="Tabletext"/>
              <w:jc w:val="right"/>
              <w:rPr>
                <w:rFonts w:cs="Arial"/>
                <w:b/>
                <w:bCs/>
              </w:rPr>
            </w:pPr>
            <w:r w:rsidRPr="001814D2">
              <w:rPr>
                <w:rFonts w:cs="Arial"/>
                <w:b/>
                <w:bCs/>
              </w:rPr>
              <w:t>September 2020</w:t>
            </w:r>
          </w:p>
        </w:tc>
        <w:tc>
          <w:tcPr>
            <w:tcW w:w="155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29EEB47A" w14:textId="77777777" w:rsidR="009103CC" w:rsidRPr="001814D2" w:rsidRDefault="009103CC" w:rsidP="002718DF">
            <w:pPr>
              <w:pStyle w:val="Tabletext"/>
              <w:jc w:val="right"/>
              <w:rPr>
                <w:rFonts w:cs="Arial"/>
                <w:b/>
                <w:bCs/>
              </w:rPr>
            </w:pPr>
            <w:r w:rsidRPr="001814D2">
              <w:rPr>
                <w:rFonts w:cs="Arial"/>
                <w:b/>
                <w:bCs/>
              </w:rPr>
              <w:t>December 2020</w:t>
            </w:r>
          </w:p>
        </w:tc>
        <w:tc>
          <w:tcPr>
            <w:tcW w:w="1559"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458E6CD5" w14:textId="77777777" w:rsidR="009103CC" w:rsidRPr="001814D2" w:rsidRDefault="009103CC" w:rsidP="002718DF">
            <w:pPr>
              <w:pStyle w:val="Tabletext"/>
              <w:jc w:val="right"/>
              <w:rPr>
                <w:rFonts w:cs="Arial"/>
                <w:b/>
                <w:bCs/>
              </w:rPr>
            </w:pPr>
            <w:r w:rsidRPr="001814D2">
              <w:rPr>
                <w:rFonts w:cs="Arial"/>
                <w:b/>
                <w:bCs/>
              </w:rPr>
              <w:t>March 2021</w:t>
            </w:r>
          </w:p>
        </w:tc>
        <w:tc>
          <w:tcPr>
            <w:tcW w:w="1560" w:type="dxa"/>
            <w:tcBorders>
              <w:top w:val="single" w:sz="6" w:space="0" w:color="000000"/>
              <w:left w:val="single" w:sz="6" w:space="0" w:color="000000"/>
              <w:bottom w:val="single" w:sz="2" w:space="0" w:color="000000"/>
              <w:right w:val="single" w:sz="6" w:space="0" w:color="000000"/>
            </w:tcBorders>
            <w:tcMar>
              <w:top w:w="113" w:type="dxa"/>
              <w:left w:w="57" w:type="dxa"/>
              <w:bottom w:w="113" w:type="dxa"/>
              <w:right w:w="57" w:type="dxa"/>
            </w:tcMar>
          </w:tcPr>
          <w:p w14:paraId="03F21048" w14:textId="77777777" w:rsidR="009103CC" w:rsidRPr="001814D2" w:rsidRDefault="009103CC" w:rsidP="002718DF">
            <w:pPr>
              <w:pStyle w:val="Tabletext"/>
              <w:jc w:val="right"/>
              <w:rPr>
                <w:rFonts w:cs="Arial"/>
                <w:b/>
                <w:bCs/>
              </w:rPr>
            </w:pPr>
            <w:r w:rsidRPr="001814D2">
              <w:rPr>
                <w:rFonts w:cs="Arial"/>
                <w:b/>
                <w:bCs/>
              </w:rPr>
              <w:t>June 2021</w:t>
            </w:r>
          </w:p>
        </w:tc>
      </w:tr>
      <w:tr w:rsidR="009103CC" w:rsidRPr="001814D2" w14:paraId="6BBDE339" w14:textId="77777777" w:rsidTr="002718DF">
        <w:trPr>
          <w:trHeight w:val="357"/>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FCEFDDE" w14:textId="77777777" w:rsidR="009103CC" w:rsidRPr="001814D2" w:rsidRDefault="009103CC" w:rsidP="002718DF">
            <w:pPr>
              <w:pStyle w:val="Tabletext"/>
              <w:rPr>
                <w:rFonts w:cs="Arial"/>
              </w:rPr>
            </w:pPr>
            <w:r w:rsidRPr="001814D2">
              <w:rPr>
                <w:rFonts w:cs="Arial"/>
              </w:rPr>
              <w:t>Total number of accounts due for payment</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32EDFA9A" w14:textId="77777777" w:rsidR="009103CC" w:rsidRPr="001814D2" w:rsidRDefault="009103CC" w:rsidP="002718DF">
            <w:pPr>
              <w:pStyle w:val="Tabletext"/>
              <w:jc w:val="right"/>
              <w:rPr>
                <w:rFonts w:cs="Arial"/>
              </w:rPr>
            </w:pPr>
            <w:r w:rsidRPr="001814D2">
              <w:rPr>
                <w:rFonts w:cs="Arial"/>
              </w:rPr>
              <w:t>515</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EB3AE53" w14:textId="77777777" w:rsidR="009103CC" w:rsidRPr="001814D2" w:rsidRDefault="009103CC" w:rsidP="002718DF">
            <w:pPr>
              <w:pStyle w:val="Tabletext"/>
              <w:jc w:val="right"/>
              <w:rPr>
                <w:rFonts w:cs="Arial"/>
              </w:rPr>
            </w:pPr>
            <w:r w:rsidRPr="001814D2">
              <w:rPr>
                <w:rFonts w:cs="Arial"/>
              </w:rPr>
              <w:t>321</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E3391D2" w14:textId="77777777" w:rsidR="009103CC" w:rsidRPr="001814D2" w:rsidRDefault="009103CC" w:rsidP="002718DF">
            <w:pPr>
              <w:pStyle w:val="Tabletext"/>
              <w:jc w:val="right"/>
              <w:rPr>
                <w:rFonts w:cs="Arial"/>
              </w:rPr>
            </w:pPr>
            <w:r w:rsidRPr="001814D2">
              <w:rPr>
                <w:rFonts w:cs="Arial"/>
              </w:rPr>
              <w:t>531</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B6E263E" w14:textId="77777777" w:rsidR="009103CC" w:rsidRPr="001814D2" w:rsidRDefault="009103CC" w:rsidP="002718DF">
            <w:pPr>
              <w:pStyle w:val="Tabletext"/>
              <w:jc w:val="right"/>
              <w:rPr>
                <w:rFonts w:cs="Arial"/>
              </w:rPr>
            </w:pPr>
            <w:r w:rsidRPr="001814D2">
              <w:rPr>
                <w:rFonts w:cs="Arial"/>
              </w:rPr>
              <w:t>519</w:t>
            </w:r>
          </w:p>
        </w:tc>
      </w:tr>
      <w:tr w:rsidR="009103CC" w:rsidRPr="001814D2" w14:paraId="7188F467"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6EC30594" w14:textId="77777777" w:rsidR="009103CC" w:rsidRPr="001814D2" w:rsidRDefault="009103CC" w:rsidP="002718DF">
            <w:pPr>
              <w:pStyle w:val="Tabletext"/>
              <w:rPr>
                <w:rFonts w:cs="Arial"/>
              </w:rPr>
            </w:pPr>
            <w:r w:rsidRPr="001814D2">
              <w:rPr>
                <w:rFonts w:cs="Arial"/>
              </w:rPr>
              <w:t>Number of accounts paid on time</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4AB9F2FB" w14:textId="77777777" w:rsidR="009103CC" w:rsidRPr="001814D2" w:rsidRDefault="009103CC" w:rsidP="002718DF">
            <w:pPr>
              <w:pStyle w:val="Tabletext"/>
              <w:jc w:val="right"/>
              <w:rPr>
                <w:rFonts w:cs="Arial"/>
              </w:rPr>
            </w:pPr>
            <w:r w:rsidRPr="001814D2">
              <w:rPr>
                <w:rFonts w:cs="Arial"/>
              </w:rPr>
              <w:t>514</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5AAB5688" w14:textId="77777777" w:rsidR="009103CC" w:rsidRPr="001814D2" w:rsidRDefault="009103CC" w:rsidP="002718DF">
            <w:pPr>
              <w:pStyle w:val="Tabletext"/>
              <w:jc w:val="right"/>
              <w:rPr>
                <w:rFonts w:cs="Arial"/>
              </w:rPr>
            </w:pPr>
            <w:r w:rsidRPr="001814D2">
              <w:rPr>
                <w:rFonts w:cs="Arial"/>
              </w:rPr>
              <w:t>321</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A2386F4" w14:textId="77777777" w:rsidR="009103CC" w:rsidRPr="001814D2" w:rsidRDefault="009103CC" w:rsidP="002718DF">
            <w:pPr>
              <w:pStyle w:val="Tabletext"/>
              <w:jc w:val="right"/>
              <w:rPr>
                <w:rFonts w:cs="Arial"/>
              </w:rPr>
            </w:pPr>
            <w:r w:rsidRPr="001814D2">
              <w:rPr>
                <w:rFonts w:cs="Arial"/>
              </w:rPr>
              <w:t>531</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FFD3FE4" w14:textId="77777777" w:rsidR="009103CC" w:rsidRPr="001814D2" w:rsidRDefault="009103CC" w:rsidP="002718DF">
            <w:pPr>
              <w:pStyle w:val="Tabletext"/>
              <w:jc w:val="right"/>
              <w:rPr>
                <w:rFonts w:cs="Arial"/>
              </w:rPr>
            </w:pPr>
            <w:r w:rsidRPr="001814D2">
              <w:rPr>
                <w:rFonts w:cs="Arial"/>
              </w:rPr>
              <w:t>519</w:t>
            </w:r>
          </w:p>
        </w:tc>
      </w:tr>
      <w:tr w:rsidR="009103CC" w:rsidRPr="001814D2" w14:paraId="369805FC"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E1506CF" w14:textId="77777777" w:rsidR="009103CC" w:rsidRPr="001814D2" w:rsidRDefault="009103CC" w:rsidP="002718DF">
            <w:pPr>
              <w:pStyle w:val="Tabletext"/>
              <w:rPr>
                <w:rFonts w:cs="Arial"/>
              </w:rPr>
            </w:pPr>
            <w:r w:rsidRPr="001814D2">
              <w:rPr>
                <w:rFonts w:cs="Arial"/>
              </w:rPr>
              <w:t>% of accounts paid on time based on number of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77B3028C" w14:textId="77777777" w:rsidR="009103CC" w:rsidRPr="001814D2" w:rsidRDefault="009103CC" w:rsidP="002718DF">
            <w:pPr>
              <w:pStyle w:val="Tabletext"/>
              <w:jc w:val="right"/>
              <w:rPr>
                <w:rFonts w:cs="Arial"/>
              </w:rPr>
            </w:pPr>
            <w:r w:rsidRPr="001814D2">
              <w:rPr>
                <w:rFonts w:cs="Arial"/>
              </w:rPr>
              <w:t>99.81</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9759C69" w14:textId="77777777" w:rsidR="009103CC" w:rsidRPr="001814D2" w:rsidRDefault="009103CC" w:rsidP="002718DF">
            <w:pPr>
              <w:pStyle w:val="Tabletext"/>
              <w:jc w:val="right"/>
              <w:rPr>
                <w:rFonts w:cs="Arial"/>
              </w:rPr>
            </w:pPr>
            <w:r w:rsidRPr="001814D2">
              <w:rPr>
                <w:rFonts w:cs="Arial"/>
              </w:rPr>
              <w:t>100.00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FFE432F" w14:textId="77777777" w:rsidR="009103CC" w:rsidRPr="001814D2" w:rsidRDefault="009103CC" w:rsidP="002718DF">
            <w:pPr>
              <w:pStyle w:val="Tabletext"/>
              <w:jc w:val="right"/>
              <w:rPr>
                <w:rFonts w:cs="Arial"/>
              </w:rPr>
            </w:pPr>
            <w:r w:rsidRPr="001814D2">
              <w:rPr>
                <w:rFonts w:cs="Arial"/>
              </w:rPr>
              <w:t>100.00</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8643025" w14:textId="77777777" w:rsidR="009103CC" w:rsidRPr="001814D2" w:rsidRDefault="009103CC" w:rsidP="002718DF">
            <w:pPr>
              <w:pStyle w:val="Tabletext"/>
              <w:jc w:val="right"/>
              <w:rPr>
                <w:rFonts w:cs="Arial"/>
              </w:rPr>
            </w:pPr>
            <w:r w:rsidRPr="001814D2">
              <w:rPr>
                <w:rFonts w:cs="Arial"/>
              </w:rPr>
              <w:t>100.00</w:t>
            </w:r>
          </w:p>
        </w:tc>
      </w:tr>
      <w:tr w:rsidR="009103CC" w:rsidRPr="001814D2" w14:paraId="3F87ACB9"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012A68D8" w14:textId="77777777" w:rsidR="009103CC" w:rsidRPr="001814D2" w:rsidRDefault="009103CC" w:rsidP="002718DF">
            <w:pPr>
              <w:pStyle w:val="Tabletext"/>
              <w:rPr>
                <w:rFonts w:cs="Arial"/>
              </w:rPr>
            </w:pPr>
            <w:r w:rsidRPr="001814D2">
              <w:rPr>
                <w:rFonts w:cs="Arial"/>
              </w:rPr>
              <w:t>$ amount of accounts due for payment</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5304E735" w14:textId="77777777" w:rsidR="009103CC" w:rsidRPr="001814D2" w:rsidRDefault="009103CC" w:rsidP="002718DF">
            <w:pPr>
              <w:pStyle w:val="Tabletext"/>
              <w:jc w:val="right"/>
              <w:rPr>
                <w:rFonts w:cs="Arial"/>
              </w:rPr>
            </w:pPr>
            <w:r w:rsidRPr="001814D2">
              <w:rPr>
                <w:rFonts w:cs="Arial"/>
              </w:rPr>
              <w:t>3,432,378</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E26B3B1" w14:textId="77777777" w:rsidR="009103CC" w:rsidRPr="001814D2" w:rsidRDefault="009103CC" w:rsidP="002718DF">
            <w:pPr>
              <w:pStyle w:val="Tabletext"/>
              <w:jc w:val="right"/>
              <w:rPr>
                <w:rFonts w:cs="Arial"/>
              </w:rPr>
            </w:pPr>
            <w:r w:rsidRPr="001814D2">
              <w:rPr>
                <w:rFonts w:cs="Arial"/>
              </w:rPr>
              <w:t>37,410,737</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DC897FF" w14:textId="77777777" w:rsidR="009103CC" w:rsidRPr="001814D2" w:rsidRDefault="009103CC" w:rsidP="002718DF">
            <w:pPr>
              <w:pStyle w:val="Tabletext"/>
              <w:jc w:val="right"/>
              <w:rPr>
                <w:rFonts w:cs="Arial"/>
              </w:rPr>
            </w:pPr>
            <w:r w:rsidRPr="001814D2">
              <w:rPr>
                <w:rFonts w:cs="Arial"/>
              </w:rPr>
              <w:t>15,491,598</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37BCD82" w14:textId="77777777" w:rsidR="009103CC" w:rsidRPr="001814D2" w:rsidRDefault="009103CC" w:rsidP="002718DF">
            <w:pPr>
              <w:pStyle w:val="Tabletext"/>
              <w:jc w:val="right"/>
              <w:rPr>
                <w:rFonts w:cs="Arial"/>
              </w:rPr>
            </w:pPr>
            <w:r w:rsidRPr="001814D2">
              <w:rPr>
                <w:rFonts w:cs="Arial"/>
              </w:rPr>
              <w:t>36,607,693</w:t>
            </w:r>
          </w:p>
        </w:tc>
      </w:tr>
      <w:tr w:rsidR="009103CC" w:rsidRPr="001814D2" w14:paraId="5F46F33F"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52FA0D66" w14:textId="77777777" w:rsidR="009103CC" w:rsidRPr="001814D2" w:rsidRDefault="009103CC" w:rsidP="002718DF">
            <w:pPr>
              <w:pStyle w:val="Tabletext"/>
              <w:rPr>
                <w:rFonts w:cs="Arial"/>
              </w:rPr>
            </w:pPr>
            <w:r w:rsidRPr="001814D2">
              <w:rPr>
                <w:rFonts w:cs="Arial"/>
              </w:rPr>
              <w:t>$ amount of accounts paid on time</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5DE0D3E0" w14:textId="77777777" w:rsidR="009103CC" w:rsidRPr="001814D2" w:rsidRDefault="009103CC" w:rsidP="002718DF">
            <w:pPr>
              <w:pStyle w:val="Tabletext"/>
              <w:jc w:val="right"/>
              <w:rPr>
                <w:rFonts w:cs="Arial"/>
              </w:rPr>
            </w:pPr>
            <w:r w:rsidRPr="001814D2">
              <w:rPr>
                <w:rFonts w:cs="Arial"/>
              </w:rPr>
              <w:t>3,411,455</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52D1FB4" w14:textId="77777777" w:rsidR="009103CC" w:rsidRPr="001814D2" w:rsidRDefault="009103CC" w:rsidP="002718DF">
            <w:pPr>
              <w:pStyle w:val="Tabletext"/>
              <w:jc w:val="right"/>
              <w:rPr>
                <w:rFonts w:cs="Arial"/>
              </w:rPr>
            </w:pPr>
            <w:r w:rsidRPr="001814D2">
              <w:rPr>
                <w:rFonts w:cs="Arial"/>
              </w:rPr>
              <w:t>37,036,630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F26025F" w14:textId="77777777" w:rsidR="009103CC" w:rsidRPr="001814D2" w:rsidRDefault="009103CC" w:rsidP="002718DF">
            <w:pPr>
              <w:pStyle w:val="Tabletext"/>
              <w:jc w:val="right"/>
              <w:rPr>
                <w:rFonts w:cs="Arial"/>
              </w:rPr>
            </w:pPr>
            <w:r w:rsidRPr="001814D2">
              <w:rPr>
                <w:rFonts w:cs="Arial"/>
              </w:rPr>
              <w:t>15,336,682</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035E960" w14:textId="77777777" w:rsidR="009103CC" w:rsidRPr="001814D2" w:rsidRDefault="009103CC" w:rsidP="002718DF">
            <w:pPr>
              <w:pStyle w:val="Tabletext"/>
              <w:jc w:val="right"/>
              <w:rPr>
                <w:rFonts w:cs="Arial"/>
              </w:rPr>
            </w:pPr>
            <w:r w:rsidRPr="001814D2">
              <w:rPr>
                <w:rFonts w:cs="Arial"/>
              </w:rPr>
              <w:t>36,241,616</w:t>
            </w:r>
          </w:p>
        </w:tc>
      </w:tr>
      <w:tr w:rsidR="009103CC" w:rsidRPr="001814D2" w14:paraId="7294AA2A"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3FEE9CF7" w14:textId="77777777" w:rsidR="009103CC" w:rsidRPr="001814D2" w:rsidRDefault="009103CC" w:rsidP="002718DF">
            <w:pPr>
              <w:pStyle w:val="Tabletext"/>
              <w:rPr>
                <w:rFonts w:cs="Arial"/>
              </w:rPr>
            </w:pPr>
            <w:r w:rsidRPr="001814D2">
              <w:rPr>
                <w:rFonts w:cs="Arial"/>
              </w:rPr>
              <w:t>% of accounts paid on time based on $ amount of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40088AD8" w14:textId="77777777" w:rsidR="009103CC" w:rsidRPr="001814D2" w:rsidRDefault="009103CC" w:rsidP="002718DF">
            <w:pPr>
              <w:pStyle w:val="Tabletext"/>
              <w:jc w:val="right"/>
              <w:rPr>
                <w:rFonts w:cs="Arial"/>
              </w:rPr>
            </w:pPr>
            <w:r w:rsidRPr="001814D2">
              <w:rPr>
                <w:rFonts w:cs="Arial"/>
              </w:rPr>
              <w:t>99.39</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22C35584" w14:textId="77777777" w:rsidR="009103CC" w:rsidRPr="001814D2" w:rsidRDefault="009103CC" w:rsidP="002718DF">
            <w:pPr>
              <w:pStyle w:val="Tabletext"/>
              <w:jc w:val="right"/>
              <w:rPr>
                <w:rFonts w:cs="Arial"/>
              </w:rPr>
            </w:pPr>
            <w:r w:rsidRPr="001814D2">
              <w:rPr>
                <w:rFonts w:cs="Arial"/>
              </w:rPr>
              <w:t>99.00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AB462A6" w14:textId="77777777" w:rsidR="009103CC" w:rsidRPr="001814D2" w:rsidRDefault="009103CC" w:rsidP="002718DF">
            <w:pPr>
              <w:pStyle w:val="Tabletext"/>
              <w:jc w:val="right"/>
              <w:rPr>
                <w:rFonts w:cs="Arial"/>
              </w:rPr>
            </w:pPr>
            <w:r w:rsidRPr="001814D2">
              <w:rPr>
                <w:rFonts w:cs="Arial"/>
              </w:rPr>
              <w:t>99.00</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5394EE6" w14:textId="77777777" w:rsidR="009103CC" w:rsidRPr="001814D2" w:rsidRDefault="009103CC" w:rsidP="002718DF">
            <w:pPr>
              <w:pStyle w:val="Tabletext"/>
              <w:jc w:val="right"/>
              <w:rPr>
                <w:rFonts w:cs="Arial"/>
              </w:rPr>
            </w:pPr>
            <w:r w:rsidRPr="001814D2">
              <w:rPr>
                <w:rFonts w:cs="Arial"/>
              </w:rPr>
              <w:t>99.00</w:t>
            </w:r>
          </w:p>
        </w:tc>
      </w:tr>
      <w:tr w:rsidR="009103CC" w:rsidRPr="001814D2" w14:paraId="68730E31"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4C50FA94" w14:textId="77777777" w:rsidR="009103CC" w:rsidRPr="001814D2" w:rsidRDefault="009103CC" w:rsidP="002718DF">
            <w:pPr>
              <w:pStyle w:val="Tabletext"/>
              <w:rPr>
                <w:rFonts w:cs="Arial"/>
              </w:rPr>
            </w:pPr>
            <w:r w:rsidRPr="001814D2">
              <w:rPr>
                <w:rFonts w:cs="Arial"/>
              </w:rPr>
              <w:t>Number of payments for interest on overdue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59A9DA34" w14:textId="77777777" w:rsidR="009103CC" w:rsidRPr="001814D2" w:rsidRDefault="009103CC" w:rsidP="002718DF">
            <w:pPr>
              <w:pStyle w:val="Tabletext"/>
              <w:jc w:val="right"/>
              <w:rPr>
                <w:rFonts w:cs="Arial"/>
              </w:rPr>
            </w:pPr>
            <w:r w:rsidRPr="001814D2">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6424DFF2" w14:textId="77777777" w:rsidR="009103CC" w:rsidRPr="001814D2" w:rsidRDefault="009103CC" w:rsidP="002718DF">
            <w:pPr>
              <w:pStyle w:val="Tabletext"/>
              <w:jc w:val="right"/>
              <w:rPr>
                <w:rFonts w:cs="Arial"/>
              </w:rPr>
            </w:pPr>
            <w:r w:rsidRPr="001814D2">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5B025B2" w14:textId="77777777" w:rsidR="009103CC" w:rsidRPr="001814D2" w:rsidRDefault="009103CC" w:rsidP="002718DF">
            <w:pPr>
              <w:pStyle w:val="Tabletext"/>
              <w:jc w:val="right"/>
              <w:rPr>
                <w:rFonts w:cs="Arial"/>
              </w:rPr>
            </w:pPr>
            <w:r w:rsidRPr="001814D2">
              <w:rPr>
                <w:rFonts w:cs="Arial"/>
              </w:rPr>
              <w:t>0</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01A31541" w14:textId="77777777" w:rsidR="009103CC" w:rsidRPr="001814D2" w:rsidRDefault="009103CC" w:rsidP="002718DF">
            <w:pPr>
              <w:pStyle w:val="Tabletext"/>
              <w:jc w:val="right"/>
              <w:rPr>
                <w:rFonts w:cs="Arial"/>
              </w:rPr>
            </w:pPr>
            <w:r w:rsidRPr="001814D2">
              <w:rPr>
                <w:rFonts w:cs="Arial"/>
              </w:rPr>
              <w:t>0</w:t>
            </w:r>
          </w:p>
        </w:tc>
      </w:tr>
      <w:tr w:rsidR="009103CC" w:rsidRPr="001814D2" w14:paraId="0D9F2BEB" w14:textId="77777777" w:rsidTr="002718DF">
        <w:trPr>
          <w:trHeight w:val="60"/>
        </w:trPr>
        <w:tc>
          <w:tcPr>
            <w:tcW w:w="311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57" w:type="dxa"/>
            </w:tcMar>
          </w:tcPr>
          <w:p w14:paraId="20F454C1" w14:textId="77777777" w:rsidR="009103CC" w:rsidRPr="001814D2" w:rsidRDefault="009103CC" w:rsidP="002718DF">
            <w:pPr>
              <w:pStyle w:val="Tabletext"/>
              <w:rPr>
                <w:rFonts w:cs="Arial"/>
              </w:rPr>
            </w:pPr>
            <w:r w:rsidRPr="001814D2">
              <w:rPr>
                <w:rFonts w:cs="Arial"/>
              </w:rPr>
              <w:t>Interest paid on overdue accounts</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283" w:type="dxa"/>
            </w:tcMar>
          </w:tcPr>
          <w:p w14:paraId="58644515" w14:textId="77777777" w:rsidR="009103CC" w:rsidRPr="001814D2" w:rsidRDefault="009103CC" w:rsidP="002718DF">
            <w:pPr>
              <w:pStyle w:val="Tabletext"/>
              <w:jc w:val="right"/>
              <w:rPr>
                <w:rFonts w:cs="Arial"/>
              </w:rPr>
            </w:pPr>
            <w:r w:rsidRPr="001814D2">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19BB0FB9" w14:textId="77777777" w:rsidR="009103CC" w:rsidRPr="001814D2" w:rsidRDefault="009103CC" w:rsidP="002718DF">
            <w:pPr>
              <w:pStyle w:val="Tabletext"/>
              <w:jc w:val="right"/>
              <w:rPr>
                <w:rFonts w:cs="Arial"/>
              </w:rPr>
            </w:pPr>
            <w:r w:rsidRPr="001814D2">
              <w:rPr>
                <w:rFonts w:cs="Arial"/>
              </w:rPr>
              <w:t>0</w:t>
            </w:r>
          </w:p>
        </w:tc>
        <w:tc>
          <w:tcPr>
            <w:tcW w:w="1559"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3856DE8F" w14:textId="77777777" w:rsidR="009103CC" w:rsidRPr="001814D2" w:rsidRDefault="009103CC" w:rsidP="002718DF">
            <w:pPr>
              <w:pStyle w:val="Tabletext"/>
              <w:jc w:val="right"/>
              <w:rPr>
                <w:rFonts w:cs="Arial"/>
              </w:rPr>
            </w:pPr>
            <w:r w:rsidRPr="001814D2">
              <w:rPr>
                <w:rFonts w:cs="Arial"/>
              </w:rPr>
              <w:t>0</w:t>
            </w:r>
          </w:p>
        </w:tc>
        <w:tc>
          <w:tcPr>
            <w:tcW w:w="1560" w:type="dxa"/>
            <w:tcBorders>
              <w:top w:val="single" w:sz="2" w:space="0" w:color="000000"/>
              <w:left w:val="single" w:sz="6" w:space="0" w:color="000000"/>
              <w:bottom w:val="single" w:sz="2" w:space="0" w:color="000000"/>
              <w:right w:val="single" w:sz="6" w:space="0" w:color="000000"/>
            </w:tcBorders>
            <w:tcMar>
              <w:top w:w="91" w:type="dxa"/>
              <w:left w:w="57" w:type="dxa"/>
              <w:bottom w:w="91" w:type="dxa"/>
              <w:right w:w="454" w:type="dxa"/>
            </w:tcMar>
          </w:tcPr>
          <w:p w14:paraId="77A4F02F" w14:textId="77777777" w:rsidR="009103CC" w:rsidRPr="001814D2" w:rsidRDefault="009103CC" w:rsidP="002718DF">
            <w:pPr>
              <w:pStyle w:val="Tabletext"/>
              <w:jc w:val="right"/>
              <w:rPr>
                <w:rFonts w:cs="Arial"/>
              </w:rPr>
            </w:pPr>
            <w:r w:rsidRPr="001814D2">
              <w:rPr>
                <w:rFonts w:cs="Arial"/>
              </w:rPr>
              <w:t>0</w:t>
            </w:r>
          </w:p>
        </w:tc>
      </w:tr>
    </w:tbl>
    <w:p w14:paraId="2E649F21" w14:textId="77777777" w:rsidR="009103CC" w:rsidRPr="001814D2" w:rsidRDefault="009103CC" w:rsidP="009103CC">
      <w:pPr>
        <w:pStyle w:val="Tabletext"/>
      </w:pPr>
    </w:p>
    <w:p w14:paraId="653976C6" w14:textId="77777777" w:rsidR="009103CC" w:rsidRPr="00B752F2" w:rsidRDefault="009103CC" w:rsidP="009103CC">
      <w:pPr>
        <w:pStyle w:val="ARbody"/>
      </w:pPr>
      <w:r w:rsidRPr="00B752F2">
        <w:br w:type="page"/>
      </w:r>
    </w:p>
    <w:p w14:paraId="688E7633" w14:textId="77777777" w:rsidR="009103CC" w:rsidRPr="001814D2" w:rsidRDefault="009103CC" w:rsidP="009103CC">
      <w:pPr>
        <w:pStyle w:val="ARheading3"/>
      </w:pPr>
      <w:r w:rsidRPr="001814D2">
        <w:lastRenderedPageBreak/>
        <w:t xml:space="preserve">Independent Auditor’s Report </w:t>
      </w:r>
      <w:r w:rsidRPr="001814D2">
        <w:br/>
        <w:t>Art Gallery of New South Wales Trust</w:t>
      </w:r>
    </w:p>
    <w:p w14:paraId="3C596E6D" w14:textId="77777777" w:rsidR="009103CC" w:rsidRPr="001814D2" w:rsidRDefault="009103CC" w:rsidP="009103CC">
      <w:pPr>
        <w:pStyle w:val="ARbody"/>
      </w:pPr>
      <w:r w:rsidRPr="001814D2">
        <w:t>To Members of the New South Wales Parliament</w:t>
      </w:r>
    </w:p>
    <w:p w14:paraId="4DEE14A7" w14:textId="77777777" w:rsidR="009103CC" w:rsidRPr="001814D2" w:rsidRDefault="009103CC" w:rsidP="009103CC">
      <w:pPr>
        <w:pStyle w:val="ARheading4"/>
      </w:pPr>
      <w:r w:rsidRPr="001814D2">
        <w:t>Opinion</w:t>
      </w:r>
    </w:p>
    <w:p w14:paraId="419B2854" w14:textId="77777777" w:rsidR="009103CC" w:rsidRPr="001814D2" w:rsidRDefault="009103CC" w:rsidP="009103CC">
      <w:pPr>
        <w:pStyle w:val="ARbody"/>
      </w:pPr>
      <w:r w:rsidRPr="001814D2">
        <w:t>I have audited the accompanying financial report of the Art Gallery of New South Wales Trust (the Trust), which comprise the Statement by the Accountable Authority, the Responsible Entities' Declaration, the Statement of Comprehensive Income for the year ended 30 June 2021, the Statement of Financial Position as at 30 June 2021, the Statement of Changes in Equity and the Statement of Cash Flows, for the year then ended, notes comprising a Statement of Significant Accounting Policies, and other explanatory information of the Trust and consolidated entity. The consolidated entity comprises the Trust and the entities it controlled at year's end or from time to time during the financial year.</w:t>
      </w:r>
    </w:p>
    <w:p w14:paraId="7866FA4D" w14:textId="77777777" w:rsidR="009103CC" w:rsidRPr="001814D2" w:rsidRDefault="009103CC" w:rsidP="009103CC">
      <w:pPr>
        <w:pStyle w:val="ARbody"/>
      </w:pPr>
      <w:r w:rsidRPr="001814D2">
        <w:t>In my opinion, the financial report:</w:t>
      </w:r>
    </w:p>
    <w:p w14:paraId="219D495F" w14:textId="77777777" w:rsidR="009103CC" w:rsidRPr="001814D2" w:rsidRDefault="009103CC" w:rsidP="009103CC">
      <w:pPr>
        <w:pStyle w:val="ARlistparagraph"/>
      </w:pPr>
      <w:r w:rsidRPr="001814D2">
        <w:t>have been prepared in accordance with Australian Accounting Standards and the applicable financial reporting requirements of the Government Sector Finance Act 2018 (GSF Act), the Government Sector Finance Regulation 2018 (GSF Regulation) and the Treasurer's Directions</w:t>
      </w:r>
    </w:p>
    <w:p w14:paraId="2A147C7B" w14:textId="77777777" w:rsidR="009103CC" w:rsidRPr="001814D2" w:rsidRDefault="009103CC" w:rsidP="009103CC">
      <w:pPr>
        <w:pStyle w:val="ARlistparagraph"/>
      </w:pPr>
      <w:r w:rsidRPr="001814D2">
        <w:t>presents fairly the Trust's financial position, financial performance and cash flows</w:t>
      </w:r>
    </w:p>
    <w:p w14:paraId="6EF852A6" w14:textId="77777777" w:rsidR="009103CC" w:rsidRPr="001814D2" w:rsidRDefault="009103CC" w:rsidP="009103CC">
      <w:pPr>
        <w:pStyle w:val="ARlistparagraph"/>
      </w:pPr>
      <w:r w:rsidRPr="001814D2">
        <w:t>has been prepared in accordance with Division 60 of the Australian Charities and Not-for-Profits Commission Act 2012 and Division 60 of the Australian Charities and Not-for-profits Commission Regulation 2013.</w:t>
      </w:r>
    </w:p>
    <w:p w14:paraId="47878D96" w14:textId="77777777" w:rsidR="009103CC" w:rsidRPr="001814D2" w:rsidRDefault="009103CC" w:rsidP="009103CC">
      <w:pPr>
        <w:pStyle w:val="ARbody"/>
      </w:pPr>
      <w:r w:rsidRPr="001814D2">
        <w:t>My opinion should be read in conjunction with the rest of this report.</w:t>
      </w:r>
    </w:p>
    <w:p w14:paraId="364F80E5" w14:textId="77777777" w:rsidR="009103CC" w:rsidRPr="001814D2" w:rsidRDefault="009103CC" w:rsidP="009103CC">
      <w:pPr>
        <w:pStyle w:val="ARheading4"/>
      </w:pPr>
      <w:r w:rsidRPr="001814D2">
        <w:t>Basis for Opinion</w:t>
      </w:r>
    </w:p>
    <w:p w14:paraId="23109D05" w14:textId="77777777" w:rsidR="009103CC" w:rsidRPr="001814D2" w:rsidRDefault="009103CC" w:rsidP="009103CC">
      <w:pPr>
        <w:pStyle w:val="ARbody"/>
      </w:pPr>
      <w:r w:rsidRPr="001814D2">
        <w:t>I conducted my audit in accordance with Australian Auditing Standards. My responsibilities under the standards are described in the ‘Auditor’s Responsibilities for the Audit of the Financial Report’ section of my report.</w:t>
      </w:r>
    </w:p>
    <w:p w14:paraId="4F649BC3" w14:textId="77777777" w:rsidR="009103CC" w:rsidRPr="001814D2" w:rsidRDefault="009103CC" w:rsidP="009103CC">
      <w:pPr>
        <w:pStyle w:val="ARbody"/>
      </w:pPr>
      <w:r w:rsidRPr="001814D2">
        <w:t>I am independent of the Trust in accordance with the requirements of the:</w:t>
      </w:r>
    </w:p>
    <w:p w14:paraId="61B86499" w14:textId="77777777" w:rsidR="009103CC" w:rsidRPr="001814D2" w:rsidRDefault="009103CC" w:rsidP="009103CC">
      <w:pPr>
        <w:pStyle w:val="ARlistparagraph"/>
      </w:pPr>
      <w:r w:rsidRPr="001814D2">
        <w:t>Australian Auditing Standards</w:t>
      </w:r>
    </w:p>
    <w:p w14:paraId="79F83CD6" w14:textId="77777777" w:rsidR="009103CC" w:rsidRPr="001814D2" w:rsidRDefault="009103CC" w:rsidP="009103CC">
      <w:pPr>
        <w:pStyle w:val="ARlistparagraph"/>
      </w:pPr>
      <w:r w:rsidRPr="001814D2">
        <w:t>Accounting Professional and Ethical Standards Board’s APES 110 ‘Code of Ethics for Professional Accountants (including Independence Standards)’ (APES 110).</w:t>
      </w:r>
    </w:p>
    <w:p w14:paraId="4342D63A" w14:textId="77777777" w:rsidR="009103CC" w:rsidRPr="001814D2" w:rsidRDefault="009103CC" w:rsidP="009103CC">
      <w:pPr>
        <w:pStyle w:val="ARbody"/>
      </w:pPr>
      <w:r w:rsidRPr="001814D2">
        <w:t>I have fulfilled my other ethical responsibilities in accordance with APES 110.</w:t>
      </w:r>
    </w:p>
    <w:p w14:paraId="76214BE7" w14:textId="77777777" w:rsidR="009103CC" w:rsidRPr="001814D2" w:rsidRDefault="009103CC" w:rsidP="009103CC">
      <w:pPr>
        <w:pStyle w:val="ARbody"/>
      </w:pPr>
      <w:r w:rsidRPr="001814D2">
        <w:t>Parliament promotes independence by ensuring the Auditor-General and the Audit Office of New South Wales are not compromised in their roles by:</w:t>
      </w:r>
    </w:p>
    <w:p w14:paraId="7669DF24" w14:textId="77777777" w:rsidR="009103CC" w:rsidRPr="001814D2" w:rsidRDefault="009103CC" w:rsidP="009103CC">
      <w:pPr>
        <w:pStyle w:val="ARlistparagraph"/>
      </w:pPr>
      <w:r w:rsidRPr="001814D2">
        <w:t>providing that only Parliament, and not the executive government, can remove an Auditor-General</w:t>
      </w:r>
    </w:p>
    <w:p w14:paraId="56A25C97" w14:textId="77777777" w:rsidR="009103CC" w:rsidRPr="001814D2" w:rsidRDefault="009103CC" w:rsidP="009103CC">
      <w:pPr>
        <w:pStyle w:val="ARlistparagraph"/>
      </w:pPr>
      <w:r w:rsidRPr="001814D2">
        <w:t>mandating the Auditor-General as auditor of public sector agencies</w:t>
      </w:r>
    </w:p>
    <w:p w14:paraId="2DC6F814" w14:textId="77777777" w:rsidR="009103CC" w:rsidRPr="001814D2" w:rsidRDefault="009103CC" w:rsidP="009103CC">
      <w:pPr>
        <w:pStyle w:val="ARlistparagraph"/>
      </w:pPr>
      <w:r w:rsidRPr="001814D2">
        <w:t>precluding the Auditor-General from providing non-audit services.</w:t>
      </w:r>
    </w:p>
    <w:p w14:paraId="4527EE55" w14:textId="77777777" w:rsidR="009103CC" w:rsidRPr="001814D2" w:rsidRDefault="009103CC" w:rsidP="009103CC">
      <w:pPr>
        <w:pStyle w:val="ARbody"/>
      </w:pPr>
      <w:r w:rsidRPr="001814D2">
        <w:t>I believe the audit evidence I have obtained is sufficient and appropriate to provide a basis for my audit opinion.</w:t>
      </w:r>
    </w:p>
    <w:p w14:paraId="27EF0F44" w14:textId="77777777" w:rsidR="009103CC" w:rsidRPr="001814D2" w:rsidRDefault="009103CC" w:rsidP="009103CC">
      <w:pPr>
        <w:pStyle w:val="ARheading4"/>
      </w:pPr>
      <w:r w:rsidRPr="001814D2">
        <w:t>Trustees’ Responsibilities for the Financial Report</w:t>
      </w:r>
    </w:p>
    <w:p w14:paraId="19297C1F" w14:textId="77777777" w:rsidR="009103CC" w:rsidRPr="001814D2" w:rsidRDefault="009103CC" w:rsidP="009103CC">
      <w:pPr>
        <w:pStyle w:val="ARbody"/>
      </w:pPr>
      <w:r w:rsidRPr="001814D2">
        <w:t xml:space="preserve">The Trustees are responsible for the preparation and fair presentation of the financial report in accordance with Australian Accounting Standards, the GSF Act, GSF Regulations, Treasurer's Directions and the </w:t>
      </w:r>
      <w:r w:rsidRPr="001814D2">
        <w:rPr>
          <w:i/>
          <w:iCs/>
        </w:rPr>
        <w:t xml:space="preserve">Australian Charities and Not-for-Profits Commission Act </w:t>
      </w:r>
      <w:r w:rsidRPr="001814D2">
        <w:t>2012. The Trustees' responsibility also includes such internal control as the Trustees determine is necessary to enable the preparation and fair presentation of the financial report that are free from material misstatement, whether due to fraud or error.</w:t>
      </w:r>
    </w:p>
    <w:p w14:paraId="678B719F" w14:textId="77777777" w:rsidR="009103CC" w:rsidRPr="001814D2" w:rsidRDefault="009103CC" w:rsidP="009103CC">
      <w:pPr>
        <w:pStyle w:val="ARbody"/>
        <w:rPr>
          <w:rFonts w:cs="Preston"/>
        </w:rPr>
      </w:pPr>
      <w:r w:rsidRPr="001814D2">
        <w:rPr>
          <w:rFonts w:cs="Preston"/>
        </w:rPr>
        <w:t>In preparing the financial report, the Trustees are responsible for assessing the Trust and the consolidated entity's ability to continue as a going concern, disclosing as applicable, matters related to going concern and using the going concern basis of accounting.</w:t>
      </w:r>
    </w:p>
    <w:p w14:paraId="6B92E216" w14:textId="77777777" w:rsidR="009103CC" w:rsidRPr="001814D2" w:rsidRDefault="009103CC" w:rsidP="009103CC">
      <w:pPr>
        <w:pStyle w:val="ARheading4"/>
      </w:pPr>
      <w:r w:rsidRPr="001814D2">
        <w:t>Auditor’s Responsibilities for the Audit of the Financial Report</w:t>
      </w:r>
    </w:p>
    <w:p w14:paraId="7CF85376" w14:textId="77777777" w:rsidR="009103CC" w:rsidRPr="001814D2" w:rsidRDefault="009103CC" w:rsidP="009103CC">
      <w:pPr>
        <w:pStyle w:val="ARbody"/>
      </w:pPr>
      <w:r w:rsidRPr="001814D2">
        <w:t>My objectives are to:</w:t>
      </w:r>
    </w:p>
    <w:p w14:paraId="5DA6BE3E" w14:textId="77777777" w:rsidR="009103CC" w:rsidRPr="001814D2" w:rsidRDefault="009103CC" w:rsidP="009103CC">
      <w:pPr>
        <w:pStyle w:val="ARlistparagraph"/>
      </w:pPr>
      <w:r w:rsidRPr="001814D2">
        <w:t>obtain reasonable assurance about whether the financial report as a whole are free from material misstatement, whether due to fraud or error</w:t>
      </w:r>
    </w:p>
    <w:p w14:paraId="60DD2B69" w14:textId="77777777" w:rsidR="009103CC" w:rsidRPr="001814D2" w:rsidRDefault="009103CC" w:rsidP="009103CC">
      <w:pPr>
        <w:pStyle w:val="ARlistparagraph"/>
      </w:pPr>
      <w:r w:rsidRPr="001814D2">
        <w:t>issue an Independent Auditor’s Report including my opinion.</w:t>
      </w:r>
    </w:p>
    <w:p w14:paraId="1FD741A6" w14:textId="77777777" w:rsidR="009103CC" w:rsidRPr="001814D2" w:rsidRDefault="009103CC" w:rsidP="009103CC">
      <w:pPr>
        <w:pStyle w:val="ARbody"/>
      </w:pPr>
      <w:r w:rsidRPr="001814D2">
        <w:t>Reasonable assurance is a high level of assurance, but does not guarantee an audit conducted in accordance with Australian Auditing Standards will always detect material misstatements. Misstatements can arise from fraud or error. Misstatements are considered material if, individually or in aggregate, they could reasonably be expected to influence the economic decisions users take based on the financial report.</w:t>
      </w:r>
    </w:p>
    <w:p w14:paraId="1FFE435D" w14:textId="77777777" w:rsidR="009103CC" w:rsidRPr="001814D2" w:rsidRDefault="009103CC" w:rsidP="009103CC">
      <w:pPr>
        <w:pStyle w:val="ARbody"/>
      </w:pPr>
      <w:r w:rsidRPr="001814D2">
        <w:t>A description of my responsibilities for the audit of the financial report is located at the Auditing and Assurance Standards Board website at: www.auasb.gov.au/auditors_responsibilities/ar4.pdf. The description forms part of my auditor’s report.</w:t>
      </w:r>
    </w:p>
    <w:p w14:paraId="786B1A41" w14:textId="77777777" w:rsidR="009103CC" w:rsidRPr="001814D2" w:rsidRDefault="009103CC" w:rsidP="009103CC">
      <w:pPr>
        <w:pStyle w:val="ARbody"/>
      </w:pPr>
      <w:r w:rsidRPr="001814D2">
        <w:t>The scope of my audit does not include, nor provide assurance:</w:t>
      </w:r>
    </w:p>
    <w:p w14:paraId="3FDB16CA" w14:textId="77777777" w:rsidR="009103CC" w:rsidRPr="001814D2" w:rsidRDefault="009103CC" w:rsidP="009103CC">
      <w:pPr>
        <w:pStyle w:val="ARlistparagraph"/>
      </w:pPr>
      <w:r w:rsidRPr="001814D2">
        <w:t>that the Trust carried out its activities effectively, efficiently and economically</w:t>
      </w:r>
    </w:p>
    <w:p w14:paraId="530621DE" w14:textId="77777777" w:rsidR="009103CC" w:rsidRPr="001814D2" w:rsidRDefault="009103CC" w:rsidP="009103CC">
      <w:pPr>
        <w:pStyle w:val="ARlistparagraph"/>
      </w:pPr>
      <w:r w:rsidRPr="001814D2">
        <w:t>about the assumptions used in formulating the budget figures disclosed in the financial report</w:t>
      </w:r>
    </w:p>
    <w:p w14:paraId="2D4E1D5D" w14:textId="77777777" w:rsidR="009103CC" w:rsidRPr="001814D2" w:rsidRDefault="009103CC" w:rsidP="009103CC">
      <w:pPr>
        <w:pStyle w:val="ARlistparagraph"/>
      </w:pPr>
      <w:r w:rsidRPr="001814D2">
        <w:t>about the security and controls over the electronic publication of the audited financial report on any website where they may be presented</w:t>
      </w:r>
    </w:p>
    <w:p w14:paraId="28C938DA" w14:textId="77777777" w:rsidR="009103CC" w:rsidRPr="001814D2" w:rsidRDefault="009103CC" w:rsidP="009103CC">
      <w:pPr>
        <w:pStyle w:val="ARlistparagraph"/>
      </w:pPr>
      <w:r w:rsidRPr="001814D2">
        <w:t>about any other information which may have been hyperlinked to/from the financial report.</w:t>
      </w:r>
    </w:p>
    <w:p w14:paraId="4A96C249" w14:textId="77777777" w:rsidR="009103CC" w:rsidRPr="001814D2" w:rsidRDefault="009103CC" w:rsidP="009103CC">
      <w:pPr>
        <w:pStyle w:val="ARbody"/>
      </w:pPr>
      <w:r w:rsidRPr="001814D2">
        <w:t>Margaret Crawford</w:t>
      </w:r>
      <w:r>
        <w:br/>
      </w:r>
      <w:r w:rsidRPr="001814D2">
        <w:t>Auditor-General for New South Wales</w:t>
      </w:r>
    </w:p>
    <w:p w14:paraId="14A8421D" w14:textId="77777777" w:rsidR="009103CC" w:rsidRDefault="009103CC" w:rsidP="009103CC">
      <w:pPr>
        <w:pStyle w:val="ARbody"/>
      </w:pPr>
      <w:r w:rsidRPr="001814D2">
        <w:t>20 October 2021</w:t>
      </w:r>
      <w:r>
        <w:br/>
      </w:r>
      <w:r w:rsidRPr="001814D2">
        <w:t>Sydney</w:t>
      </w:r>
    </w:p>
    <w:p w14:paraId="15FD12FA" w14:textId="77777777" w:rsidR="009103CC" w:rsidRDefault="009103CC" w:rsidP="009103CC">
      <w:pPr>
        <w:pStyle w:val="ARbody"/>
      </w:pPr>
      <w:r>
        <w:br w:type="page"/>
      </w:r>
    </w:p>
    <w:p w14:paraId="28CDBC64" w14:textId="77777777" w:rsidR="009103CC" w:rsidRPr="001814D2" w:rsidRDefault="009103CC" w:rsidP="009103CC">
      <w:pPr>
        <w:pStyle w:val="ARheading3"/>
      </w:pPr>
      <w:r w:rsidRPr="001814D2">
        <w:t xml:space="preserve">Statement in accordance with section 7.6 of the </w:t>
      </w:r>
      <w:r w:rsidRPr="00DA7FC7">
        <w:rPr>
          <w:i/>
          <w:iCs/>
        </w:rPr>
        <w:t>Government Sector Finance Act 2018</w:t>
      </w:r>
      <w:r w:rsidRPr="001814D2">
        <w:t xml:space="preserve"> </w:t>
      </w:r>
    </w:p>
    <w:p w14:paraId="77C10B50" w14:textId="77777777" w:rsidR="009103CC" w:rsidRPr="001814D2" w:rsidRDefault="009103CC" w:rsidP="009103CC">
      <w:pPr>
        <w:pStyle w:val="ARbody"/>
      </w:pPr>
      <w:r w:rsidRPr="001814D2">
        <w:t xml:space="preserve">Pursuant to section 7.6(4) of the </w:t>
      </w:r>
      <w:r w:rsidRPr="00DA7FC7">
        <w:rPr>
          <w:i/>
          <w:iCs/>
        </w:rPr>
        <w:t>Government Sector Finance Act 2018</w:t>
      </w:r>
      <w:r w:rsidRPr="001814D2">
        <w:t xml:space="preserve"> (‘the Act’), and in accordance with a resolution of the Board of Trustees of the Art Gallery of New South Wales Trust, we state that: </w:t>
      </w:r>
    </w:p>
    <w:p w14:paraId="43DBE4BD" w14:textId="77777777" w:rsidR="009103CC" w:rsidRPr="001814D2" w:rsidRDefault="009103CC" w:rsidP="009103CC">
      <w:pPr>
        <w:pStyle w:val="Listitemasbody"/>
      </w:pPr>
      <w:r w:rsidRPr="001814D2">
        <w:t>(a)</w:t>
      </w:r>
      <w:r w:rsidRPr="001814D2">
        <w:tab/>
        <w:t>The accompanying financial statements have been prepared in accordance with the applicable requirements of the Act, the Government Sector Finance Regulation 2018 and applicable Australian Accounting Standards including Australian Accounting Interpretations and NSW Treasurer's Directions;</w:t>
      </w:r>
    </w:p>
    <w:p w14:paraId="65E2F70E" w14:textId="77777777" w:rsidR="009103CC" w:rsidRPr="001814D2" w:rsidRDefault="009103CC" w:rsidP="009103CC">
      <w:pPr>
        <w:pStyle w:val="Listitemasbody"/>
      </w:pPr>
      <w:r w:rsidRPr="001814D2">
        <w:t>(b)</w:t>
      </w:r>
      <w:r w:rsidRPr="001814D2">
        <w:tab/>
        <w:t>In our opinion the financial statements and notes thereto exhibit a true and fair view of the financial position as at 30 June 2021 and the financial performance for the year then ended;</w:t>
      </w:r>
    </w:p>
    <w:p w14:paraId="4F2CD077" w14:textId="77777777" w:rsidR="009103CC" w:rsidRPr="001814D2" w:rsidRDefault="009103CC" w:rsidP="009103CC">
      <w:pPr>
        <w:pStyle w:val="ARbody"/>
      </w:pPr>
      <w:r w:rsidRPr="001814D2">
        <w:t>Further, we are not aware of any circumstances which would render any particulars included in the financial statements misleading or inaccurate;</w:t>
      </w:r>
    </w:p>
    <w:p w14:paraId="05465327" w14:textId="77777777" w:rsidR="009103CC" w:rsidRPr="001814D2" w:rsidRDefault="009103CC" w:rsidP="009103CC">
      <w:pPr>
        <w:pStyle w:val="ARbody"/>
      </w:pPr>
      <w:r w:rsidRPr="001814D2">
        <w:t>D Gonski AC</w:t>
      </w:r>
      <w:r>
        <w:br/>
      </w:r>
      <w:r w:rsidRPr="001814D2">
        <w:t>President</w:t>
      </w:r>
    </w:p>
    <w:p w14:paraId="75F0C48C" w14:textId="77777777" w:rsidR="009103CC" w:rsidRPr="001814D2" w:rsidRDefault="009103CC" w:rsidP="009103CC">
      <w:pPr>
        <w:pStyle w:val="ARbody"/>
      </w:pPr>
      <w:r w:rsidRPr="001814D2">
        <w:t>M Brand</w:t>
      </w:r>
      <w:r>
        <w:br/>
      </w:r>
      <w:r w:rsidRPr="001814D2">
        <w:t>Director</w:t>
      </w:r>
    </w:p>
    <w:p w14:paraId="30B136B5" w14:textId="77777777" w:rsidR="009103CC" w:rsidRPr="001814D2" w:rsidRDefault="009103CC" w:rsidP="009103CC">
      <w:pPr>
        <w:pStyle w:val="ARbody"/>
      </w:pPr>
      <w:r w:rsidRPr="001814D2">
        <w:t>S Herman</w:t>
      </w:r>
      <w:r>
        <w:br/>
      </w:r>
      <w:r w:rsidRPr="001814D2">
        <w:t>Chair</w:t>
      </w:r>
      <w:r>
        <w:t xml:space="preserve">, </w:t>
      </w:r>
      <w:r w:rsidRPr="001814D2">
        <w:t>Finance, Audit And Risk Committee</w:t>
      </w:r>
    </w:p>
    <w:p w14:paraId="198C7D5F" w14:textId="77777777" w:rsidR="009103CC" w:rsidRPr="001814D2" w:rsidRDefault="009103CC" w:rsidP="009103CC">
      <w:pPr>
        <w:pStyle w:val="ARbody"/>
      </w:pPr>
      <w:r w:rsidRPr="001814D2">
        <w:t>H Harman</w:t>
      </w:r>
      <w:r>
        <w:br/>
      </w:r>
      <w:r w:rsidRPr="001814D2">
        <w:t>Chief Operating Officer</w:t>
      </w:r>
    </w:p>
    <w:p w14:paraId="3DB26128" w14:textId="77777777" w:rsidR="009103CC" w:rsidRPr="001814D2" w:rsidRDefault="009103CC" w:rsidP="009103CC">
      <w:pPr>
        <w:pStyle w:val="ARbody"/>
      </w:pPr>
      <w:r w:rsidRPr="001814D2">
        <w:t>Dated the 15 October 2021</w:t>
      </w:r>
    </w:p>
    <w:p w14:paraId="7F46057B" w14:textId="77777777" w:rsidR="009103CC" w:rsidRPr="001037E4" w:rsidRDefault="009103CC" w:rsidP="009103CC">
      <w:pPr>
        <w:pStyle w:val="ARbody"/>
      </w:pPr>
      <w:r w:rsidRPr="001037E4">
        <w:br w:type="page"/>
      </w:r>
    </w:p>
    <w:p w14:paraId="3C4D4A9A" w14:textId="77777777" w:rsidR="009103CC" w:rsidRPr="001814D2" w:rsidRDefault="009103CC" w:rsidP="009103CC">
      <w:pPr>
        <w:pStyle w:val="ARheading3"/>
      </w:pPr>
      <w:r w:rsidRPr="001814D2">
        <w:t xml:space="preserve">Responsible entities' declaration under the </w:t>
      </w:r>
      <w:r w:rsidRPr="00E30D9E">
        <w:rPr>
          <w:i/>
          <w:iCs/>
        </w:rPr>
        <w:t>Australian Charities and Not-for-profit Commission Act</w:t>
      </w:r>
    </w:p>
    <w:p w14:paraId="7C33C6CA" w14:textId="77777777" w:rsidR="009103CC" w:rsidRPr="001814D2" w:rsidRDefault="009103CC" w:rsidP="009103CC">
      <w:pPr>
        <w:pStyle w:val="ARbody"/>
      </w:pPr>
      <w:r w:rsidRPr="001814D2">
        <w:t xml:space="preserve">In the opinion of the Responsible Entities of the Art Gallery of New South Wales Trust: </w:t>
      </w:r>
    </w:p>
    <w:p w14:paraId="695E3335" w14:textId="77777777" w:rsidR="009103CC" w:rsidRPr="001814D2" w:rsidRDefault="009103CC" w:rsidP="009103CC">
      <w:pPr>
        <w:pStyle w:val="ARbody"/>
      </w:pPr>
      <w:r w:rsidRPr="001814D2">
        <w:t xml:space="preserve">1 </w:t>
      </w:r>
      <w:r w:rsidRPr="001814D2">
        <w:tab/>
        <w:t xml:space="preserve">The financial statements and notes of the Art Gallery of New South Wales Trust and controlled entities are in accordance with the </w:t>
      </w:r>
      <w:r w:rsidRPr="001814D2">
        <w:rPr>
          <w:i/>
          <w:iCs/>
        </w:rPr>
        <w:t>Australian Charities and Not-for-profits Commission Act 2012</w:t>
      </w:r>
      <w:r w:rsidRPr="001814D2">
        <w:t>, including:</w:t>
      </w:r>
    </w:p>
    <w:p w14:paraId="5DDF73F6" w14:textId="77777777" w:rsidR="009103CC" w:rsidRPr="00E30D9E" w:rsidRDefault="009103CC" w:rsidP="009103CC">
      <w:pPr>
        <w:pStyle w:val="ARbody"/>
      </w:pPr>
      <w:r w:rsidRPr="00E30D9E">
        <w:t>(a)</w:t>
      </w:r>
      <w:r w:rsidRPr="00E30D9E">
        <w:tab/>
        <w:t>Giving a true and fair view of its financial position as at 30 June 2021 and of its performance for the financial year ended on that date; and</w:t>
      </w:r>
    </w:p>
    <w:p w14:paraId="607079EF" w14:textId="77777777" w:rsidR="009103CC" w:rsidRPr="001814D2" w:rsidRDefault="009103CC" w:rsidP="009103CC">
      <w:pPr>
        <w:pStyle w:val="ARbody"/>
      </w:pPr>
      <w:r w:rsidRPr="001814D2">
        <w:t>(b)</w:t>
      </w:r>
      <w:r w:rsidRPr="001814D2">
        <w:tab/>
        <w:t xml:space="preserve">Complying with </w:t>
      </w:r>
      <w:r w:rsidRPr="001814D2">
        <w:rPr>
          <w:i/>
          <w:iCs/>
        </w:rPr>
        <w:t>Australian Accounting Standards and the Australian Charities and Not-for-profits Commission Regulation 2013</w:t>
      </w:r>
      <w:r w:rsidRPr="001814D2">
        <w:t xml:space="preserve">; and </w:t>
      </w:r>
    </w:p>
    <w:p w14:paraId="5602B04C" w14:textId="77777777" w:rsidR="009103CC" w:rsidRPr="00E30D9E" w:rsidRDefault="009103CC" w:rsidP="009103CC">
      <w:pPr>
        <w:pStyle w:val="ARbody"/>
      </w:pPr>
      <w:r w:rsidRPr="00E30D9E">
        <w:t xml:space="preserve">2 </w:t>
      </w:r>
      <w:r w:rsidRPr="00E30D9E">
        <w:tab/>
        <w:t>There are reasonable grounds to believe that the Art Gallery of New South Wales Trust and controlled entities will be able to pay its debts as and when they become due and payable.</w:t>
      </w:r>
    </w:p>
    <w:p w14:paraId="403231B8" w14:textId="77777777" w:rsidR="009103CC" w:rsidRPr="001814D2" w:rsidRDefault="009103CC" w:rsidP="009103CC">
      <w:pPr>
        <w:pStyle w:val="ARbody"/>
      </w:pPr>
      <w:r w:rsidRPr="001814D2">
        <w:t xml:space="preserve">Signed in accordance with subsection 60.15(2) of the </w:t>
      </w:r>
      <w:r w:rsidRPr="001814D2">
        <w:rPr>
          <w:i/>
          <w:iCs/>
        </w:rPr>
        <w:t>Australian Charities and Not-for-profit Commission Regulation 2013</w:t>
      </w:r>
      <w:r w:rsidRPr="001814D2">
        <w:t>.</w:t>
      </w:r>
    </w:p>
    <w:p w14:paraId="60AA3F13" w14:textId="77777777" w:rsidR="009103CC" w:rsidRPr="001814D2" w:rsidRDefault="009103CC" w:rsidP="009103CC">
      <w:pPr>
        <w:pStyle w:val="ARbody"/>
      </w:pPr>
      <w:r w:rsidRPr="001814D2">
        <w:t>D Gonski AC</w:t>
      </w:r>
      <w:r>
        <w:br/>
      </w:r>
      <w:r w:rsidRPr="001814D2">
        <w:t>President</w:t>
      </w:r>
    </w:p>
    <w:p w14:paraId="7E42B6EE" w14:textId="77777777" w:rsidR="009103CC" w:rsidRPr="001814D2" w:rsidRDefault="009103CC" w:rsidP="009103CC">
      <w:pPr>
        <w:pStyle w:val="ARbody"/>
      </w:pPr>
      <w:r w:rsidRPr="001814D2">
        <w:t>S Herman</w:t>
      </w:r>
      <w:r>
        <w:br/>
      </w:r>
      <w:r w:rsidRPr="001814D2">
        <w:t>Chair</w:t>
      </w:r>
      <w:r>
        <w:t xml:space="preserve">, </w:t>
      </w:r>
      <w:r w:rsidRPr="001814D2">
        <w:t>Finance, Audit And Risk Committee</w:t>
      </w:r>
    </w:p>
    <w:p w14:paraId="6070D267" w14:textId="77777777" w:rsidR="009103CC" w:rsidRPr="001814D2" w:rsidRDefault="009103CC" w:rsidP="009103CC">
      <w:pPr>
        <w:pStyle w:val="ARbody"/>
      </w:pPr>
      <w:r w:rsidRPr="001814D2">
        <w:rPr>
          <w:rFonts w:cs="Preston"/>
        </w:rPr>
        <w:t>Dated the 15 October 2021</w:t>
      </w:r>
    </w:p>
    <w:p w14:paraId="6344A2B1" w14:textId="77777777" w:rsidR="009103CC" w:rsidRPr="001037E4" w:rsidRDefault="009103CC" w:rsidP="009103CC">
      <w:pPr>
        <w:pStyle w:val="ARbody"/>
      </w:pPr>
      <w:r w:rsidRPr="001037E4">
        <w:br w:type="page"/>
      </w:r>
    </w:p>
    <w:p w14:paraId="5B224202" w14:textId="77777777" w:rsidR="009103CC" w:rsidRPr="001814D2" w:rsidRDefault="009103CC" w:rsidP="009103CC">
      <w:pPr>
        <w:pStyle w:val="ARheading3"/>
      </w:pPr>
      <w:r w:rsidRPr="001814D2">
        <w:t xml:space="preserve">Statement of comprehensive income </w:t>
      </w:r>
      <w:r>
        <w:br/>
      </w:r>
      <w:r w:rsidRPr="001814D2">
        <w:t>For the year ended 30 June 2021</w:t>
      </w:r>
    </w:p>
    <w:tbl>
      <w:tblPr>
        <w:tblW w:w="5000" w:type="pct"/>
        <w:tblCellMar>
          <w:left w:w="0" w:type="dxa"/>
          <w:right w:w="0" w:type="dxa"/>
        </w:tblCellMar>
        <w:tblLook w:val="0000" w:firstRow="0" w:lastRow="0" w:firstColumn="0" w:lastColumn="0" w:noHBand="0" w:noVBand="0"/>
        <w:tblCaption w:val="Statement of comprehensive income for the year ended 30 June 2021"/>
        <w:tblDescription w:val="This table provides figures for 2020 and 2021 for both the consolidated entity and parent entity, and the annual budget for 2021. It includes revenue from continuing operations, other income and expenditure, among other items."/>
      </w:tblPr>
      <w:tblGrid>
        <w:gridCol w:w="2562"/>
        <w:gridCol w:w="684"/>
        <w:gridCol w:w="1032"/>
        <w:gridCol w:w="1032"/>
        <w:gridCol w:w="1696"/>
        <w:gridCol w:w="1032"/>
        <w:gridCol w:w="1032"/>
      </w:tblGrid>
      <w:tr w:rsidR="009103CC" w:rsidRPr="001814D2" w14:paraId="392A8961" w14:textId="77777777" w:rsidTr="002718DF">
        <w:trPr>
          <w:cantSplit/>
          <w:trHeight w:val="170"/>
          <w:tblHeader/>
        </w:trPr>
        <w:tc>
          <w:tcPr>
            <w:tcW w:w="1412" w:type="pct"/>
            <w:tcBorders>
              <w:bottom w:val="single" w:sz="4" w:space="0" w:color="auto"/>
            </w:tcBorders>
            <w:tcMar>
              <w:top w:w="0" w:type="dxa"/>
              <w:left w:w="0" w:type="dxa"/>
              <w:bottom w:w="0" w:type="dxa"/>
              <w:right w:w="0" w:type="dxa"/>
            </w:tcMar>
          </w:tcPr>
          <w:p w14:paraId="4C4B1B2C" w14:textId="77777777" w:rsidR="009103CC" w:rsidRPr="001814D2" w:rsidRDefault="009103CC" w:rsidP="002718DF">
            <w:pPr>
              <w:pStyle w:val="Tabletext"/>
            </w:pPr>
          </w:p>
        </w:tc>
        <w:tc>
          <w:tcPr>
            <w:tcW w:w="377" w:type="pct"/>
            <w:tcBorders>
              <w:bottom w:val="single" w:sz="4" w:space="0" w:color="auto"/>
            </w:tcBorders>
            <w:tcMar>
              <w:top w:w="0" w:type="dxa"/>
              <w:left w:w="0" w:type="dxa"/>
              <w:bottom w:w="0" w:type="dxa"/>
              <w:right w:w="0" w:type="dxa"/>
            </w:tcMar>
          </w:tcPr>
          <w:p w14:paraId="785E35A8" w14:textId="77777777" w:rsidR="009103CC" w:rsidRPr="001814D2" w:rsidRDefault="009103CC" w:rsidP="002718DF">
            <w:pPr>
              <w:pStyle w:val="Tabletext"/>
            </w:pPr>
          </w:p>
        </w:tc>
        <w:tc>
          <w:tcPr>
            <w:tcW w:w="2073" w:type="pct"/>
            <w:gridSpan w:val="3"/>
            <w:tcBorders>
              <w:bottom w:val="single" w:sz="4" w:space="0" w:color="auto"/>
            </w:tcBorders>
            <w:tcMar>
              <w:top w:w="0" w:type="dxa"/>
              <w:left w:w="0" w:type="dxa"/>
              <w:bottom w:w="0" w:type="dxa"/>
              <w:right w:w="0" w:type="dxa"/>
            </w:tcMar>
          </w:tcPr>
          <w:p w14:paraId="513D6398" w14:textId="77777777" w:rsidR="009103CC" w:rsidRPr="001814D2" w:rsidRDefault="009103CC" w:rsidP="002718DF">
            <w:pPr>
              <w:pStyle w:val="Tabletext"/>
              <w:rPr>
                <w:rFonts w:cs="Preston"/>
                <w:b/>
                <w:bCs/>
                <w:szCs w:val="18"/>
              </w:rPr>
            </w:pPr>
            <w:r w:rsidRPr="001814D2">
              <w:rPr>
                <w:rFonts w:cs="Preston"/>
                <w:b/>
                <w:bCs/>
                <w:szCs w:val="18"/>
              </w:rPr>
              <w:t>Consolidated entity</w:t>
            </w:r>
          </w:p>
        </w:tc>
        <w:tc>
          <w:tcPr>
            <w:tcW w:w="1137" w:type="pct"/>
            <w:gridSpan w:val="2"/>
            <w:tcBorders>
              <w:bottom w:val="single" w:sz="4" w:space="0" w:color="auto"/>
            </w:tcBorders>
            <w:tcMar>
              <w:top w:w="0" w:type="dxa"/>
              <w:left w:w="0" w:type="dxa"/>
              <w:bottom w:w="0" w:type="dxa"/>
              <w:right w:w="0" w:type="dxa"/>
            </w:tcMar>
          </w:tcPr>
          <w:p w14:paraId="3B2297E9" w14:textId="77777777" w:rsidR="009103CC" w:rsidRPr="001814D2" w:rsidRDefault="009103CC" w:rsidP="002718DF">
            <w:pPr>
              <w:pStyle w:val="Tabletext"/>
              <w:rPr>
                <w:rFonts w:cs="Preston"/>
                <w:b/>
                <w:bCs/>
                <w:szCs w:val="18"/>
              </w:rPr>
            </w:pPr>
            <w:r w:rsidRPr="001814D2">
              <w:rPr>
                <w:rFonts w:cs="Preston"/>
                <w:b/>
                <w:bCs/>
                <w:szCs w:val="18"/>
              </w:rPr>
              <w:t>Parent entity</w:t>
            </w:r>
          </w:p>
        </w:tc>
      </w:tr>
      <w:tr w:rsidR="009103CC" w:rsidRPr="001814D2" w14:paraId="73974EAA" w14:textId="77777777" w:rsidTr="002718DF">
        <w:trPr>
          <w:cantSplit/>
          <w:trHeight w:val="170"/>
          <w:tblHeader/>
        </w:trPr>
        <w:tc>
          <w:tcPr>
            <w:tcW w:w="1412" w:type="pct"/>
            <w:tcBorders>
              <w:top w:val="single" w:sz="4" w:space="0" w:color="auto"/>
              <w:bottom w:val="single" w:sz="4" w:space="0" w:color="auto"/>
            </w:tcBorders>
            <w:tcMar>
              <w:top w:w="0" w:type="dxa"/>
              <w:left w:w="0" w:type="dxa"/>
              <w:bottom w:w="0" w:type="dxa"/>
              <w:right w:w="0" w:type="dxa"/>
            </w:tcMar>
          </w:tcPr>
          <w:p w14:paraId="2FE52FDF" w14:textId="77777777" w:rsidR="009103CC" w:rsidRPr="001814D2" w:rsidRDefault="009103CC" w:rsidP="002718DF">
            <w:pPr>
              <w:pStyle w:val="Tabletext"/>
              <w:rPr>
                <w:rFonts w:cs="Preston"/>
                <w:b/>
                <w:bCs/>
                <w:szCs w:val="18"/>
              </w:rPr>
            </w:pPr>
          </w:p>
        </w:tc>
        <w:tc>
          <w:tcPr>
            <w:tcW w:w="377" w:type="pct"/>
            <w:tcBorders>
              <w:top w:val="single" w:sz="4" w:space="0" w:color="auto"/>
              <w:bottom w:val="single" w:sz="4" w:space="0" w:color="auto"/>
            </w:tcBorders>
            <w:tcMar>
              <w:top w:w="0" w:type="dxa"/>
              <w:left w:w="0" w:type="dxa"/>
              <w:bottom w:w="0" w:type="dxa"/>
              <w:right w:w="0" w:type="dxa"/>
            </w:tcMar>
          </w:tcPr>
          <w:p w14:paraId="066A4B7E" w14:textId="77777777" w:rsidR="009103CC" w:rsidRPr="001814D2" w:rsidRDefault="009103CC" w:rsidP="002718DF">
            <w:pPr>
              <w:pStyle w:val="Tabletext"/>
              <w:rPr>
                <w:rFonts w:cs="Preston"/>
                <w:b/>
                <w:bCs/>
                <w:szCs w:val="18"/>
              </w:rPr>
            </w:pPr>
            <w:r w:rsidRPr="001814D2">
              <w:rPr>
                <w:rFonts w:cs="Preston"/>
                <w:b/>
                <w:bCs/>
                <w:szCs w:val="18"/>
              </w:rPr>
              <w:t>Notes</w:t>
            </w:r>
          </w:p>
          <w:p w14:paraId="36DECD35" w14:textId="77777777" w:rsidR="009103CC" w:rsidRPr="001814D2" w:rsidRDefault="009103CC" w:rsidP="002718DF">
            <w:pPr>
              <w:pStyle w:val="Tabletext"/>
              <w:rPr>
                <w:rFonts w:cs="Preston"/>
                <w:b/>
                <w:bCs/>
                <w:szCs w:val="18"/>
              </w:rPr>
            </w:pPr>
          </w:p>
        </w:tc>
        <w:tc>
          <w:tcPr>
            <w:tcW w:w="569" w:type="pct"/>
            <w:tcBorders>
              <w:top w:val="single" w:sz="4" w:space="0" w:color="auto"/>
              <w:bottom w:val="single" w:sz="4" w:space="0" w:color="auto"/>
            </w:tcBorders>
            <w:tcMar>
              <w:top w:w="0" w:type="dxa"/>
              <w:left w:w="0" w:type="dxa"/>
              <w:bottom w:w="0" w:type="dxa"/>
              <w:right w:w="0" w:type="dxa"/>
            </w:tcMar>
          </w:tcPr>
          <w:p w14:paraId="1C733915" w14:textId="77777777" w:rsidR="009103CC" w:rsidRPr="001814D2" w:rsidRDefault="009103CC" w:rsidP="002718DF">
            <w:pPr>
              <w:pStyle w:val="Tabletext"/>
              <w:jc w:val="right"/>
              <w:rPr>
                <w:rFonts w:cs="Preston"/>
                <w:b/>
                <w:bCs/>
                <w:szCs w:val="18"/>
              </w:rPr>
            </w:pPr>
            <w:r w:rsidRPr="001814D2">
              <w:rPr>
                <w:rFonts w:cs="Preston"/>
                <w:b/>
                <w:bCs/>
                <w:szCs w:val="18"/>
              </w:rPr>
              <w:t>2021</w:t>
            </w:r>
          </w:p>
          <w:p w14:paraId="0B619168" w14:textId="77777777" w:rsidR="009103CC" w:rsidRPr="001814D2" w:rsidRDefault="009103CC" w:rsidP="002718DF">
            <w:pPr>
              <w:pStyle w:val="Tabletext"/>
              <w:jc w:val="right"/>
              <w:rPr>
                <w:rFonts w:cs="Preston"/>
                <w:b/>
                <w:bCs/>
                <w:szCs w:val="18"/>
              </w:rPr>
            </w:pPr>
            <w:r w:rsidRPr="001814D2">
              <w:rPr>
                <w:rFonts w:cs="Preston"/>
                <w:b/>
                <w:bCs/>
                <w:szCs w:val="18"/>
              </w:rPr>
              <w:t>$'000</w:t>
            </w:r>
          </w:p>
        </w:tc>
        <w:tc>
          <w:tcPr>
            <w:tcW w:w="569" w:type="pct"/>
            <w:tcBorders>
              <w:top w:val="single" w:sz="4" w:space="0" w:color="auto"/>
              <w:bottom w:val="single" w:sz="4" w:space="0" w:color="auto"/>
            </w:tcBorders>
            <w:tcMar>
              <w:top w:w="0" w:type="dxa"/>
              <w:left w:w="0" w:type="dxa"/>
              <w:bottom w:w="0" w:type="dxa"/>
              <w:right w:w="0" w:type="dxa"/>
            </w:tcMar>
          </w:tcPr>
          <w:p w14:paraId="3913EDCA" w14:textId="77777777" w:rsidR="009103CC" w:rsidRPr="001814D2" w:rsidRDefault="009103CC" w:rsidP="002718DF">
            <w:pPr>
              <w:pStyle w:val="Tabletext"/>
              <w:jc w:val="right"/>
              <w:rPr>
                <w:rFonts w:cs="Preston"/>
                <w:b/>
                <w:bCs/>
                <w:szCs w:val="18"/>
              </w:rPr>
            </w:pPr>
            <w:r w:rsidRPr="001814D2">
              <w:rPr>
                <w:rFonts w:cs="Preston"/>
                <w:b/>
                <w:bCs/>
                <w:szCs w:val="18"/>
              </w:rPr>
              <w:t>2020</w:t>
            </w:r>
          </w:p>
          <w:p w14:paraId="4C964243" w14:textId="77777777" w:rsidR="009103CC" w:rsidRPr="001814D2" w:rsidRDefault="009103CC" w:rsidP="002718DF">
            <w:pPr>
              <w:pStyle w:val="Tabletext"/>
              <w:jc w:val="right"/>
              <w:rPr>
                <w:rFonts w:cs="Preston"/>
                <w:b/>
                <w:bCs/>
                <w:szCs w:val="18"/>
              </w:rPr>
            </w:pPr>
            <w:r w:rsidRPr="001814D2">
              <w:rPr>
                <w:rFonts w:cs="Preston"/>
                <w:b/>
                <w:bCs/>
                <w:szCs w:val="18"/>
              </w:rPr>
              <w:t>$'000</w:t>
            </w:r>
          </w:p>
        </w:tc>
        <w:tc>
          <w:tcPr>
            <w:tcW w:w="935" w:type="pct"/>
            <w:tcBorders>
              <w:top w:val="single" w:sz="4" w:space="0" w:color="auto"/>
              <w:bottom w:val="single" w:sz="4" w:space="0" w:color="auto"/>
            </w:tcBorders>
            <w:tcMar>
              <w:top w:w="0" w:type="dxa"/>
              <w:left w:w="0" w:type="dxa"/>
              <w:bottom w:w="0" w:type="dxa"/>
              <w:right w:w="0" w:type="dxa"/>
            </w:tcMar>
          </w:tcPr>
          <w:p w14:paraId="3B78E30D" w14:textId="77777777" w:rsidR="009103CC" w:rsidRPr="001814D2" w:rsidRDefault="009103CC" w:rsidP="002718DF">
            <w:pPr>
              <w:pStyle w:val="Tabletext"/>
              <w:jc w:val="right"/>
              <w:rPr>
                <w:rFonts w:cs="Preston"/>
                <w:b/>
                <w:bCs/>
                <w:szCs w:val="18"/>
              </w:rPr>
            </w:pPr>
            <w:r w:rsidRPr="001814D2">
              <w:rPr>
                <w:rFonts w:cs="Preston"/>
                <w:b/>
                <w:bCs/>
                <w:szCs w:val="18"/>
              </w:rPr>
              <w:t>Annual budget</w:t>
            </w:r>
          </w:p>
          <w:p w14:paraId="27AB33FA" w14:textId="77777777" w:rsidR="009103CC" w:rsidRPr="001814D2" w:rsidRDefault="009103CC" w:rsidP="002718DF">
            <w:pPr>
              <w:pStyle w:val="Tabletext"/>
              <w:jc w:val="right"/>
              <w:rPr>
                <w:rFonts w:cs="Preston"/>
                <w:b/>
                <w:bCs/>
                <w:szCs w:val="18"/>
              </w:rPr>
            </w:pPr>
            <w:r w:rsidRPr="001814D2">
              <w:rPr>
                <w:rFonts w:cs="Preston"/>
                <w:b/>
                <w:bCs/>
                <w:szCs w:val="18"/>
              </w:rPr>
              <w:t>2021 $'000</w:t>
            </w:r>
          </w:p>
        </w:tc>
        <w:tc>
          <w:tcPr>
            <w:tcW w:w="569" w:type="pct"/>
            <w:tcBorders>
              <w:top w:val="single" w:sz="4" w:space="0" w:color="auto"/>
              <w:bottom w:val="single" w:sz="4" w:space="0" w:color="auto"/>
            </w:tcBorders>
            <w:tcMar>
              <w:top w:w="0" w:type="dxa"/>
              <w:left w:w="0" w:type="dxa"/>
              <w:bottom w:w="0" w:type="dxa"/>
              <w:right w:w="0" w:type="dxa"/>
            </w:tcMar>
          </w:tcPr>
          <w:p w14:paraId="6DF5D7E2" w14:textId="77777777" w:rsidR="009103CC" w:rsidRPr="001814D2" w:rsidRDefault="009103CC" w:rsidP="002718DF">
            <w:pPr>
              <w:pStyle w:val="Tabletext"/>
              <w:jc w:val="right"/>
              <w:rPr>
                <w:rFonts w:cs="Preston"/>
                <w:b/>
                <w:bCs/>
                <w:szCs w:val="18"/>
              </w:rPr>
            </w:pPr>
            <w:r w:rsidRPr="001814D2">
              <w:rPr>
                <w:rFonts w:cs="Preston"/>
                <w:b/>
                <w:bCs/>
                <w:szCs w:val="18"/>
              </w:rPr>
              <w:t>2021</w:t>
            </w:r>
          </w:p>
          <w:p w14:paraId="0B67DFAF" w14:textId="77777777" w:rsidR="009103CC" w:rsidRPr="001814D2" w:rsidRDefault="009103CC" w:rsidP="002718DF">
            <w:pPr>
              <w:pStyle w:val="Tabletext"/>
              <w:jc w:val="right"/>
              <w:rPr>
                <w:rFonts w:cs="Preston"/>
                <w:b/>
                <w:bCs/>
                <w:szCs w:val="18"/>
              </w:rPr>
            </w:pPr>
            <w:r w:rsidRPr="001814D2">
              <w:rPr>
                <w:rFonts w:cs="Preston"/>
                <w:b/>
                <w:bCs/>
                <w:szCs w:val="18"/>
              </w:rPr>
              <w:t>$'000</w:t>
            </w:r>
          </w:p>
        </w:tc>
        <w:tc>
          <w:tcPr>
            <w:tcW w:w="569" w:type="pct"/>
            <w:tcBorders>
              <w:top w:val="single" w:sz="4" w:space="0" w:color="auto"/>
              <w:bottom w:val="single" w:sz="4" w:space="0" w:color="auto"/>
            </w:tcBorders>
            <w:tcMar>
              <w:top w:w="0" w:type="dxa"/>
              <w:left w:w="0" w:type="dxa"/>
              <w:bottom w:w="0" w:type="dxa"/>
              <w:right w:w="0" w:type="dxa"/>
            </w:tcMar>
          </w:tcPr>
          <w:p w14:paraId="2AFCE350" w14:textId="77777777" w:rsidR="009103CC" w:rsidRPr="001814D2" w:rsidRDefault="009103CC" w:rsidP="002718DF">
            <w:pPr>
              <w:pStyle w:val="Tabletext"/>
              <w:jc w:val="right"/>
              <w:rPr>
                <w:rFonts w:cs="Preston"/>
                <w:b/>
                <w:bCs/>
                <w:szCs w:val="18"/>
              </w:rPr>
            </w:pPr>
            <w:r w:rsidRPr="001814D2">
              <w:rPr>
                <w:rFonts w:cs="Preston"/>
                <w:b/>
                <w:bCs/>
                <w:szCs w:val="18"/>
              </w:rPr>
              <w:t>2020</w:t>
            </w:r>
          </w:p>
          <w:p w14:paraId="42A94A61" w14:textId="77777777" w:rsidR="009103CC" w:rsidRPr="001814D2" w:rsidRDefault="009103CC" w:rsidP="002718DF">
            <w:pPr>
              <w:pStyle w:val="Tabletext"/>
              <w:jc w:val="right"/>
              <w:rPr>
                <w:rFonts w:cs="Preston"/>
                <w:b/>
                <w:bCs/>
                <w:szCs w:val="18"/>
              </w:rPr>
            </w:pPr>
            <w:r w:rsidRPr="001814D2">
              <w:rPr>
                <w:rFonts w:cs="Preston"/>
                <w:b/>
                <w:bCs/>
                <w:szCs w:val="18"/>
              </w:rPr>
              <w:t>$'000</w:t>
            </w:r>
          </w:p>
        </w:tc>
      </w:tr>
      <w:tr w:rsidR="009103CC" w:rsidRPr="001814D2" w14:paraId="2EE08624"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0EB1D163" w14:textId="77777777" w:rsidR="009103CC" w:rsidRPr="001814D2" w:rsidRDefault="009103CC" w:rsidP="002718DF">
            <w:pPr>
              <w:pStyle w:val="Tabletext"/>
              <w:rPr>
                <w:rFonts w:cs="Preston"/>
                <w:b/>
                <w:bCs/>
                <w:szCs w:val="18"/>
              </w:rPr>
            </w:pPr>
            <w:r w:rsidRPr="001814D2">
              <w:rPr>
                <w:rFonts w:cs="Preston"/>
                <w:b/>
                <w:bCs/>
                <w:szCs w:val="18"/>
              </w:rPr>
              <w:t xml:space="preserve">Revenue from continuing </w:t>
            </w:r>
          </w:p>
          <w:p w14:paraId="56BA7FBB" w14:textId="77777777" w:rsidR="009103CC" w:rsidRPr="001814D2" w:rsidRDefault="009103CC" w:rsidP="002718DF">
            <w:pPr>
              <w:pStyle w:val="Tabletext"/>
            </w:pPr>
            <w:r w:rsidRPr="001814D2">
              <w:rPr>
                <w:rFonts w:cs="Preston"/>
                <w:b/>
                <w:bCs/>
                <w:szCs w:val="18"/>
              </w:rPr>
              <w:t>operations</w:t>
            </w:r>
          </w:p>
        </w:tc>
        <w:tc>
          <w:tcPr>
            <w:tcW w:w="377" w:type="pct"/>
            <w:tcBorders>
              <w:top w:val="single" w:sz="4" w:space="0" w:color="auto"/>
              <w:bottom w:val="single" w:sz="4" w:space="0" w:color="auto"/>
            </w:tcBorders>
            <w:tcMar>
              <w:top w:w="0" w:type="dxa"/>
              <w:left w:w="0" w:type="dxa"/>
              <w:bottom w:w="0" w:type="dxa"/>
              <w:right w:w="0" w:type="dxa"/>
            </w:tcMar>
          </w:tcPr>
          <w:p w14:paraId="4BC30EB0"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1517430B"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3873ACF3" w14:textId="77777777" w:rsidR="009103CC" w:rsidRPr="001814D2" w:rsidRDefault="009103CC" w:rsidP="002718DF">
            <w:pPr>
              <w:pStyle w:val="Tabletext"/>
            </w:pPr>
          </w:p>
        </w:tc>
        <w:tc>
          <w:tcPr>
            <w:tcW w:w="935" w:type="pct"/>
            <w:tcBorders>
              <w:top w:val="single" w:sz="4" w:space="0" w:color="auto"/>
              <w:bottom w:val="single" w:sz="4" w:space="0" w:color="auto"/>
            </w:tcBorders>
            <w:tcMar>
              <w:top w:w="0" w:type="dxa"/>
              <w:left w:w="0" w:type="dxa"/>
              <w:bottom w:w="0" w:type="dxa"/>
              <w:right w:w="0" w:type="dxa"/>
            </w:tcMar>
          </w:tcPr>
          <w:p w14:paraId="48BEC9B5"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5A4D0004"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57067C6F" w14:textId="77777777" w:rsidR="009103CC" w:rsidRPr="001814D2" w:rsidRDefault="009103CC" w:rsidP="002718DF">
            <w:pPr>
              <w:pStyle w:val="Tabletext"/>
            </w:pPr>
          </w:p>
        </w:tc>
      </w:tr>
      <w:tr w:rsidR="009103CC" w:rsidRPr="001814D2" w14:paraId="47BE202F"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7686E86B" w14:textId="77777777" w:rsidR="009103CC" w:rsidRPr="001814D2" w:rsidRDefault="009103CC" w:rsidP="002718DF">
            <w:pPr>
              <w:pStyle w:val="Tabletext"/>
            </w:pPr>
            <w:r w:rsidRPr="001814D2">
              <w:t>Donations and gifts</w:t>
            </w:r>
          </w:p>
        </w:tc>
        <w:tc>
          <w:tcPr>
            <w:tcW w:w="377" w:type="pct"/>
            <w:tcBorders>
              <w:top w:val="single" w:sz="4" w:space="0" w:color="auto"/>
              <w:bottom w:val="single" w:sz="4" w:space="0" w:color="auto"/>
            </w:tcBorders>
            <w:tcMar>
              <w:top w:w="0" w:type="dxa"/>
              <w:left w:w="0" w:type="dxa"/>
              <w:bottom w:w="0" w:type="dxa"/>
              <w:right w:w="0" w:type="dxa"/>
            </w:tcMar>
          </w:tcPr>
          <w:p w14:paraId="308F4CCE"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04823F19" w14:textId="77777777" w:rsidR="009103CC" w:rsidRPr="001814D2" w:rsidRDefault="009103CC" w:rsidP="002718DF">
            <w:pPr>
              <w:pStyle w:val="Tabletext"/>
              <w:jc w:val="right"/>
            </w:pPr>
            <w:r w:rsidRPr="001814D2">
              <w:t>39,729</w:t>
            </w:r>
          </w:p>
        </w:tc>
        <w:tc>
          <w:tcPr>
            <w:tcW w:w="569" w:type="pct"/>
            <w:tcBorders>
              <w:top w:val="single" w:sz="4" w:space="0" w:color="auto"/>
              <w:bottom w:val="single" w:sz="4" w:space="0" w:color="auto"/>
            </w:tcBorders>
            <w:tcMar>
              <w:top w:w="0" w:type="dxa"/>
              <w:left w:w="0" w:type="dxa"/>
              <w:bottom w:w="0" w:type="dxa"/>
              <w:right w:w="0" w:type="dxa"/>
            </w:tcMar>
          </w:tcPr>
          <w:p w14:paraId="13BB67C5" w14:textId="77777777" w:rsidR="009103CC" w:rsidRPr="001814D2" w:rsidRDefault="009103CC" w:rsidP="002718DF">
            <w:pPr>
              <w:pStyle w:val="Tabletext"/>
              <w:jc w:val="right"/>
            </w:pPr>
            <w:r w:rsidRPr="001814D2">
              <w:t>48,697</w:t>
            </w:r>
          </w:p>
        </w:tc>
        <w:tc>
          <w:tcPr>
            <w:tcW w:w="935" w:type="pct"/>
            <w:tcBorders>
              <w:top w:val="single" w:sz="4" w:space="0" w:color="auto"/>
              <w:bottom w:val="single" w:sz="4" w:space="0" w:color="auto"/>
            </w:tcBorders>
            <w:tcMar>
              <w:top w:w="0" w:type="dxa"/>
              <w:left w:w="0" w:type="dxa"/>
              <w:bottom w:w="0" w:type="dxa"/>
              <w:right w:w="0" w:type="dxa"/>
            </w:tcMar>
          </w:tcPr>
          <w:p w14:paraId="1788A133" w14:textId="77777777" w:rsidR="009103CC" w:rsidRPr="001814D2" w:rsidRDefault="009103CC" w:rsidP="002718DF">
            <w:pPr>
              <w:pStyle w:val="Tabletext"/>
              <w:jc w:val="right"/>
            </w:pPr>
            <w:r w:rsidRPr="001814D2">
              <w:t>28,744</w:t>
            </w:r>
          </w:p>
        </w:tc>
        <w:tc>
          <w:tcPr>
            <w:tcW w:w="569" w:type="pct"/>
            <w:tcBorders>
              <w:top w:val="single" w:sz="4" w:space="0" w:color="auto"/>
              <w:bottom w:val="single" w:sz="4" w:space="0" w:color="auto"/>
            </w:tcBorders>
            <w:tcMar>
              <w:top w:w="0" w:type="dxa"/>
              <w:left w:w="0" w:type="dxa"/>
              <w:bottom w:w="0" w:type="dxa"/>
              <w:right w:w="0" w:type="dxa"/>
            </w:tcMar>
          </w:tcPr>
          <w:p w14:paraId="6F9CD094" w14:textId="77777777" w:rsidR="009103CC" w:rsidRPr="001814D2" w:rsidRDefault="009103CC" w:rsidP="002718DF">
            <w:pPr>
              <w:pStyle w:val="Tabletext"/>
              <w:jc w:val="right"/>
            </w:pPr>
            <w:r w:rsidRPr="001814D2">
              <w:t>39,581</w:t>
            </w:r>
          </w:p>
        </w:tc>
        <w:tc>
          <w:tcPr>
            <w:tcW w:w="569" w:type="pct"/>
            <w:tcBorders>
              <w:top w:val="single" w:sz="4" w:space="0" w:color="auto"/>
              <w:bottom w:val="single" w:sz="4" w:space="0" w:color="auto"/>
            </w:tcBorders>
            <w:tcMar>
              <w:top w:w="0" w:type="dxa"/>
              <w:left w:w="0" w:type="dxa"/>
              <w:bottom w:w="0" w:type="dxa"/>
              <w:right w:w="0" w:type="dxa"/>
            </w:tcMar>
          </w:tcPr>
          <w:p w14:paraId="6DFAC0AA" w14:textId="77777777" w:rsidR="009103CC" w:rsidRPr="001814D2" w:rsidRDefault="009103CC" w:rsidP="002718DF">
            <w:pPr>
              <w:pStyle w:val="Tabletext"/>
              <w:jc w:val="right"/>
            </w:pPr>
            <w:r w:rsidRPr="001814D2">
              <w:t>48,571</w:t>
            </w:r>
          </w:p>
        </w:tc>
      </w:tr>
      <w:tr w:rsidR="009103CC" w:rsidRPr="001814D2" w14:paraId="45AF833C"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63E5909A" w14:textId="77777777" w:rsidR="009103CC" w:rsidRPr="001814D2" w:rsidRDefault="009103CC" w:rsidP="002718DF">
            <w:pPr>
              <w:pStyle w:val="Tabletext"/>
            </w:pPr>
            <w:r w:rsidRPr="001814D2">
              <w:t>Capital grants – Sydney Modern Project</w:t>
            </w:r>
          </w:p>
        </w:tc>
        <w:tc>
          <w:tcPr>
            <w:tcW w:w="377" w:type="pct"/>
            <w:tcBorders>
              <w:top w:val="single" w:sz="4" w:space="0" w:color="auto"/>
              <w:bottom w:val="single" w:sz="4" w:space="0" w:color="auto"/>
            </w:tcBorders>
            <w:tcMar>
              <w:top w:w="0" w:type="dxa"/>
              <w:left w:w="0" w:type="dxa"/>
              <w:bottom w:w="0" w:type="dxa"/>
              <w:right w:w="0" w:type="dxa"/>
            </w:tcMar>
          </w:tcPr>
          <w:p w14:paraId="78E94280"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27A9318C" w14:textId="77777777" w:rsidR="009103CC" w:rsidRPr="001814D2" w:rsidRDefault="009103CC" w:rsidP="002718DF">
            <w:pPr>
              <w:pStyle w:val="Tabletext"/>
              <w:jc w:val="right"/>
            </w:pPr>
            <w:r w:rsidRPr="001814D2">
              <w:t>110,614</w:t>
            </w:r>
          </w:p>
          <w:p w14:paraId="20DE83E1"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tcPr>
          <w:p w14:paraId="1376152D" w14:textId="77777777" w:rsidR="009103CC" w:rsidRPr="001814D2" w:rsidRDefault="009103CC" w:rsidP="002718DF">
            <w:pPr>
              <w:pStyle w:val="Tabletext"/>
              <w:jc w:val="right"/>
            </w:pPr>
            <w:r w:rsidRPr="001814D2">
              <w:t>38,072</w:t>
            </w:r>
          </w:p>
          <w:p w14:paraId="341708EF" w14:textId="77777777" w:rsidR="009103CC" w:rsidRPr="001814D2" w:rsidRDefault="009103CC" w:rsidP="002718DF">
            <w:pPr>
              <w:pStyle w:val="Tabletext"/>
              <w:jc w:val="right"/>
              <w:rPr>
                <w:rFonts w:cs="Preston"/>
                <w:szCs w:val="18"/>
              </w:rPr>
            </w:pPr>
          </w:p>
        </w:tc>
        <w:tc>
          <w:tcPr>
            <w:tcW w:w="935" w:type="pct"/>
            <w:tcBorders>
              <w:top w:val="single" w:sz="4" w:space="0" w:color="auto"/>
              <w:bottom w:val="single" w:sz="4" w:space="0" w:color="auto"/>
            </w:tcBorders>
            <w:tcMar>
              <w:top w:w="0" w:type="dxa"/>
              <w:left w:w="0" w:type="dxa"/>
              <w:bottom w:w="0" w:type="dxa"/>
              <w:right w:w="0" w:type="dxa"/>
            </w:tcMar>
          </w:tcPr>
          <w:p w14:paraId="72BE8B64" w14:textId="77777777" w:rsidR="009103CC" w:rsidRPr="001814D2" w:rsidRDefault="009103CC" w:rsidP="002718DF">
            <w:pPr>
              <w:pStyle w:val="Tabletext"/>
              <w:jc w:val="right"/>
            </w:pPr>
            <w:r w:rsidRPr="001814D2">
              <w:t>113,412</w:t>
            </w:r>
          </w:p>
          <w:p w14:paraId="12F681FA"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tcPr>
          <w:p w14:paraId="15E51709" w14:textId="77777777" w:rsidR="009103CC" w:rsidRPr="001814D2" w:rsidRDefault="009103CC" w:rsidP="002718DF">
            <w:pPr>
              <w:pStyle w:val="Tabletext"/>
              <w:jc w:val="right"/>
            </w:pPr>
            <w:r w:rsidRPr="001814D2">
              <w:t>110,614</w:t>
            </w:r>
          </w:p>
          <w:p w14:paraId="10B16520"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tcPr>
          <w:p w14:paraId="00814097" w14:textId="77777777" w:rsidR="009103CC" w:rsidRPr="001814D2" w:rsidRDefault="009103CC" w:rsidP="002718DF">
            <w:pPr>
              <w:pStyle w:val="Tabletext"/>
              <w:jc w:val="right"/>
            </w:pPr>
            <w:r w:rsidRPr="001814D2">
              <w:t>38,072</w:t>
            </w:r>
          </w:p>
          <w:p w14:paraId="79978AAA" w14:textId="77777777" w:rsidR="009103CC" w:rsidRPr="001814D2" w:rsidRDefault="009103CC" w:rsidP="002718DF">
            <w:pPr>
              <w:pStyle w:val="Tabletext"/>
              <w:jc w:val="right"/>
              <w:rPr>
                <w:rFonts w:cs="Preston"/>
                <w:szCs w:val="18"/>
              </w:rPr>
            </w:pPr>
          </w:p>
        </w:tc>
      </w:tr>
      <w:tr w:rsidR="009103CC" w:rsidRPr="001814D2" w14:paraId="11BC0A3B"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794A7454" w14:textId="77777777" w:rsidR="009103CC" w:rsidRPr="001814D2" w:rsidRDefault="009103CC" w:rsidP="002718DF">
            <w:pPr>
              <w:pStyle w:val="Tabletext"/>
            </w:pPr>
            <w:r w:rsidRPr="001814D2">
              <w:t>Capital grants – other</w:t>
            </w:r>
          </w:p>
        </w:tc>
        <w:tc>
          <w:tcPr>
            <w:tcW w:w="377" w:type="pct"/>
            <w:tcBorders>
              <w:top w:val="single" w:sz="4" w:space="0" w:color="auto"/>
              <w:bottom w:val="single" w:sz="4" w:space="0" w:color="auto"/>
            </w:tcBorders>
            <w:tcMar>
              <w:top w:w="0" w:type="dxa"/>
              <w:left w:w="0" w:type="dxa"/>
              <w:bottom w:w="0" w:type="dxa"/>
              <w:right w:w="0" w:type="dxa"/>
            </w:tcMar>
          </w:tcPr>
          <w:p w14:paraId="385DAB0F"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7C7831B1" w14:textId="77777777" w:rsidR="009103CC" w:rsidRPr="001814D2" w:rsidRDefault="009103CC" w:rsidP="002718DF">
            <w:pPr>
              <w:pStyle w:val="Tabletext"/>
              <w:jc w:val="right"/>
            </w:pPr>
            <w:r w:rsidRPr="001814D2">
              <w:t>2,530</w:t>
            </w:r>
          </w:p>
        </w:tc>
        <w:tc>
          <w:tcPr>
            <w:tcW w:w="569" w:type="pct"/>
            <w:tcBorders>
              <w:top w:val="single" w:sz="4" w:space="0" w:color="auto"/>
              <w:bottom w:val="single" w:sz="4" w:space="0" w:color="auto"/>
            </w:tcBorders>
            <w:tcMar>
              <w:top w:w="0" w:type="dxa"/>
              <w:left w:w="0" w:type="dxa"/>
              <w:bottom w:w="0" w:type="dxa"/>
              <w:right w:w="0" w:type="dxa"/>
            </w:tcMar>
          </w:tcPr>
          <w:p w14:paraId="2A174BF0" w14:textId="77777777" w:rsidR="009103CC" w:rsidRPr="001814D2" w:rsidRDefault="009103CC" w:rsidP="002718DF">
            <w:pPr>
              <w:pStyle w:val="Tabletext"/>
              <w:jc w:val="right"/>
            </w:pPr>
            <w:r w:rsidRPr="001814D2">
              <w:t>3,020</w:t>
            </w:r>
          </w:p>
        </w:tc>
        <w:tc>
          <w:tcPr>
            <w:tcW w:w="935" w:type="pct"/>
            <w:tcBorders>
              <w:top w:val="single" w:sz="4" w:space="0" w:color="auto"/>
              <w:bottom w:val="single" w:sz="4" w:space="0" w:color="auto"/>
            </w:tcBorders>
            <w:tcMar>
              <w:top w:w="0" w:type="dxa"/>
              <w:left w:w="0" w:type="dxa"/>
              <w:bottom w:w="0" w:type="dxa"/>
              <w:right w:w="0" w:type="dxa"/>
            </w:tcMar>
          </w:tcPr>
          <w:p w14:paraId="5AC8FABF" w14:textId="77777777" w:rsidR="009103CC" w:rsidRPr="001814D2" w:rsidRDefault="009103CC" w:rsidP="002718DF">
            <w:pPr>
              <w:pStyle w:val="Tabletext"/>
              <w:jc w:val="right"/>
            </w:pPr>
            <w:r w:rsidRPr="001814D2">
              <w:t>2,330</w:t>
            </w:r>
          </w:p>
        </w:tc>
        <w:tc>
          <w:tcPr>
            <w:tcW w:w="569" w:type="pct"/>
            <w:tcBorders>
              <w:top w:val="single" w:sz="4" w:space="0" w:color="auto"/>
              <w:bottom w:val="single" w:sz="4" w:space="0" w:color="auto"/>
            </w:tcBorders>
            <w:tcMar>
              <w:top w:w="0" w:type="dxa"/>
              <w:left w:w="0" w:type="dxa"/>
              <w:bottom w:w="0" w:type="dxa"/>
              <w:right w:w="0" w:type="dxa"/>
            </w:tcMar>
          </w:tcPr>
          <w:p w14:paraId="6B4852F1" w14:textId="77777777" w:rsidR="009103CC" w:rsidRPr="001814D2" w:rsidRDefault="009103CC" w:rsidP="002718DF">
            <w:pPr>
              <w:pStyle w:val="Tabletext"/>
              <w:jc w:val="right"/>
            </w:pPr>
            <w:r w:rsidRPr="001814D2">
              <w:t>2,530</w:t>
            </w:r>
          </w:p>
        </w:tc>
        <w:tc>
          <w:tcPr>
            <w:tcW w:w="569" w:type="pct"/>
            <w:tcBorders>
              <w:top w:val="single" w:sz="4" w:space="0" w:color="auto"/>
              <w:bottom w:val="single" w:sz="4" w:space="0" w:color="auto"/>
            </w:tcBorders>
            <w:tcMar>
              <w:top w:w="0" w:type="dxa"/>
              <w:left w:w="0" w:type="dxa"/>
              <w:bottom w:w="0" w:type="dxa"/>
              <w:right w:w="0" w:type="dxa"/>
            </w:tcMar>
          </w:tcPr>
          <w:p w14:paraId="50A2D46C" w14:textId="77777777" w:rsidR="009103CC" w:rsidRPr="001814D2" w:rsidRDefault="009103CC" w:rsidP="002718DF">
            <w:pPr>
              <w:pStyle w:val="Tabletext"/>
              <w:jc w:val="right"/>
            </w:pPr>
            <w:r w:rsidRPr="001814D2">
              <w:t>3,020</w:t>
            </w:r>
          </w:p>
        </w:tc>
      </w:tr>
      <w:tr w:rsidR="009103CC" w:rsidRPr="001814D2" w14:paraId="438E2BF6"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75E1287C" w14:textId="77777777" w:rsidR="009103CC" w:rsidRPr="001814D2" w:rsidRDefault="009103CC" w:rsidP="002718DF">
            <w:pPr>
              <w:pStyle w:val="Tabletext"/>
            </w:pPr>
            <w:r w:rsidRPr="001814D2">
              <w:t>Operating grant revenue</w:t>
            </w:r>
          </w:p>
        </w:tc>
        <w:tc>
          <w:tcPr>
            <w:tcW w:w="377" w:type="pct"/>
            <w:tcBorders>
              <w:top w:val="single" w:sz="4" w:space="0" w:color="auto"/>
              <w:bottom w:val="single" w:sz="4" w:space="0" w:color="auto"/>
            </w:tcBorders>
            <w:tcMar>
              <w:top w:w="0" w:type="dxa"/>
              <w:left w:w="0" w:type="dxa"/>
              <w:bottom w:w="0" w:type="dxa"/>
              <w:right w:w="0" w:type="dxa"/>
            </w:tcMar>
          </w:tcPr>
          <w:p w14:paraId="59DB1FF2"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46656D57" w14:textId="77777777" w:rsidR="009103CC" w:rsidRPr="001814D2" w:rsidRDefault="009103CC" w:rsidP="002718DF">
            <w:pPr>
              <w:pStyle w:val="Tabletext"/>
              <w:jc w:val="right"/>
            </w:pPr>
            <w:r w:rsidRPr="001814D2">
              <w:t>33,019</w:t>
            </w:r>
          </w:p>
        </w:tc>
        <w:tc>
          <w:tcPr>
            <w:tcW w:w="569" w:type="pct"/>
            <w:tcBorders>
              <w:top w:val="single" w:sz="4" w:space="0" w:color="auto"/>
              <w:bottom w:val="single" w:sz="4" w:space="0" w:color="auto"/>
            </w:tcBorders>
            <w:tcMar>
              <w:top w:w="0" w:type="dxa"/>
              <w:left w:w="0" w:type="dxa"/>
              <w:bottom w:w="0" w:type="dxa"/>
              <w:right w:w="0" w:type="dxa"/>
            </w:tcMar>
          </w:tcPr>
          <w:p w14:paraId="3C20880F" w14:textId="77777777" w:rsidR="009103CC" w:rsidRPr="001814D2" w:rsidRDefault="009103CC" w:rsidP="002718DF">
            <w:pPr>
              <w:pStyle w:val="Tabletext"/>
              <w:jc w:val="right"/>
            </w:pPr>
            <w:r w:rsidRPr="001814D2">
              <w:t>29,358</w:t>
            </w:r>
          </w:p>
        </w:tc>
        <w:tc>
          <w:tcPr>
            <w:tcW w:w="935" w:type="pct"/>
            <w:tcBorders>
              <w:top w:val="single" w:sz="4" w:space="0" w:color="auto"/>
              <w:bottom w:val="single" w:sz="4" w:space="0" w:color="auto"/>
            </w:tcBorders>
            <w:tcMar>
              <w:top w:w="0" w:type="dxa"/>
              <w:left w:w="0" w:type="dxa"/>
              <w:bottom w:w="0" w:type="dxa"/>
              <w:right w:w="0" w:type="dxa"/>
            </w:tcMar>
          </w:tcPr>
          <w:p w14:paraId="47107F0A" w14:textId="77777777" w:rsidR="009103CC" w:rsidRPr="001814D2" w:rsidRDefault="009103CC" w:rsidP="002718DF">
            <w:pPr>
              <w:pStyle w:val="Tabletext"/>
              <w:jc w:val="right"/>
            </w:pPr>
            <w:r w:rsidRPr="001814D2">
              <w:t>33,378</w:t>
            </w:r>
          </w:p>
        </w:tc>
        <w:tc>
          <w:tcPr>
            <w:tcW w:w="569" w:type="pct"/>
            <w:tcBorders>
              <w:top w:val="single" w:sz="4" w:space="0" w:color="auto"/>
              <w:bottom w:val="single" w:sz="4" w:space="0" w:color="auto"/>
            </w:tcBorders>
            <w:tcMar>
              <w:top w:w="0" w:type="dxa"/>
              <w:left w:w="0" w:type="dxa"/>
              <w:bottom w:w="0" w:type="dxa"/>
              <w:right w:w="0" w:type="dxa"/>
            </w:tcMar>
          </w:tcPr>
          <w:p w14:paraId="5EE6896F" w14:textId="77777777" w:rsidR="009103CC" w:rsidRPr="001814D2" w:rsidRDefault="009103CC" w:rsidP="002718DF">
            <w:pPr>
              <w:pStyle w:val="Tabletext"/>
              <w:jc w:val="right"/>
            </w:pPr>
            <w:r w:rsidRPr="001814D2">
              <w:t>33,019</w:t>
            </w:r>
          </w:p>
        </w:tc>
        <w:tc>
          <w:tcPr>
            <w:tcW w:w="569" w:type="pct"/>
            <w:tcBorders>
              <w:top w:val="single" w:sz="4" w:space="0" w:color="auto"/>
              <w:bottom w:val="single" w:sz="4" w:space="0" w:color="auto"/>
            </w:tcBorders>
            <w:tcMar>
              <w:top w:w="0" w:type="dxa"/>
              <w:left w:w="0" w:type="dxa"/>
              <w:bottom w:w="0" w:type="dxa"/>
              <w:right w:w="0" w:type="dxa"/>
            </w:tcMar>
          </w:tcPr>
          <w:p w14:paraId="4D334941" w14:textId="77777777" w:rsidR="009103CC" w:rsidRPr="001814D2" w:rsidRDefault="009103CC" w:rsidP="002718DF">
            <w:pPr>
              <w:pStyle w:val="Tabletext"/>
              <w:jc w:val="right"/>
            </w:pPr>
            <w:r w:rsidRPr="001814D2">
              <w:t>29,358</w:t>
            </w:r>
          </w:p>
        </w:tc>
      </w:tr>
      <w:tr w:rsidR="009103CC" w:rsidRPr="001814D2" w14:paraId="590C04AD"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4039650B" w14:textId="77777777" w:rsidR="009103CC" w:rsidRPr="001814D2" w:rsidRDefault="009103CC" w:rsidP="002718DF">
            <w:pPr>
              <w:pStyle w:val="Tabletext"/>
            </w:pPr>
            <w:r w:rsidRPr="001814D2">
              <w:t>Other grants and sponsorship</w:t>
            </w:r>
          </w:p>
        </w:tc>
        <w:tc>
          <w:tcPr>
            <w:tcW w:w="377" w:type="pct"/>
            <w:tcBorders>
              <w:top w:val="single" w:sz="4" w:space="0" w:color="auto"/>
              <w:bottom w:val="single" w:sz="4" w:space="0" w:color="auto"/>
            </w:tcBorders>
            <w:tcMar>
              <w:top w:w="0" w:type="dxa"/>
              <w:left w:w="0" w:type="dxa"/>
              <w:bottom w:w="0" w:type="dxa"/>
              <w:right w:w="0" w:type="dxa"/>
            </w:tcMar>
          </w:tcPr>
          <w:p w14:paraId="74E62751"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3C7F43D7" w14:textId="77777777" w:rsidR="009103CC" w:rsidRPr="001814D2" w:rsidRDefault="009103CC" w:rsidP="002718DF">
            <w:pPr>
              <w:pStyle w:val="Tabletext"/>
              <w:jc w:val="right"/>
            </w:pPr>
            <w:r w:rsidRPr="001814D2">
              <w:t>3,722</w:t>
            </w:r>
          </w:p>
        </w:tc>
        <w:tc>
          <w:tcPr>
            <w:tcW w:w="569" w:type="pct"/>
            <w:tcBorders>
              <w:top w:val="single" w:sz="4" w:space="0" w:color="auto"/>
              <w:bottom w:val="single" w:sz="4" w:space="0" w:color="auto"/>
            </w:tcBorders>
            <w:tcMar>
              <w:top w:w="0" w:type="dxa"/>
              <w:left w:w="0" w:type="dxa"/>
              <w:bottom w:w="0" w:type="dxa"/>
              <w:right w:w="0" w:type="dxa"/>
            </w:tcMar>
          </w:tcPr>
          <w:p w14:paraId="795A5ADB" w14:textId="77777777" w:rsidR="009103CC" w:rsidRPr="001814D2" w:rsidRDefault="009103CC" w:rsidP="002718DF">
            <w:pPr>
              <w:pStyle w:val="Tabletext"/>
              <w:jc w:val="right"/>
            </w:pPr>
            <w:r w:rsidRPr="001814D2">
              <w:t>6,104</w:t>
            </w:r>
          </w:p>
        </w:tc>
        <w:tc>
          <w:tcPr>
            <w:tcW w:w="935" w:type="pct"/>
            <w:tcBorders>
              <w:top w:val="single" w:sz="4" w:space="0" w:color="auto"/>
              <w:bottom w:val="single" w:sz="4" w:space="0" w:color="auto"/>
            </w:tcBorders>
            <w:tcMar>
              <w:top w:w="0" w:type="dxa"/>
              <w:left w:w="0" w:type="dxa"/>
              <w:bottom w:w="0" w:type="dxa"/>
              <w:right w:w="0" w:type="dxa"/>
            </w:tcMar>
          </w:tcPr>
          <w:p w14:paraId="1A5C75E7" w14:textId="77777777" w:rsidR="009103CC" w:rsidRPr="001814D2" w:rsidRDefault="009103CC" w:rsidP="002718DF">
            <w:pPr>
              <w:pStyle w:val="Tabletext"/>
              <w:jc w:val="right"/>
            </w:pPr>
            <w:r w:rsidRPr="001814D2">
              <w:t>3,218</w:t>
            </w:r>
          </w:p>
        </w:tc>
        <w:tc>
          <w:tcPr>
            <w:tcW w:w="569" w:type="pct"/>
            <w:tcBorders>
              <w:top w:val="single" w:sz="4" w:space="0" w:color="auto"/>
              <w:bottom w:val="single" w:sz="4" w:space="0" w:color="auto"/>
            </w:tcBorders>
            <w:tcMar>
              <w:top w:w="0" w:type="dxa"/>
              <w:left w:w="0" w:type="dxa"/>
              <w:bottom w:w="0" w:type="dxa"/>
              <w:right w:w="0" w:type="dxa"/>
            </w:tcMar>
          </w:tcPr>
          <w:p w14:paraId="6823D996" w14:textId="77777777" w:rsidR="009103CC" w:rsidRPr="001814D2" w:rsidRDefault="009103CC" w:rsidP="002718DF">
            <w:pPr>
              <w:pStyle w:val="Tabletext"/>
              <w:jc w:val="right"/>
            </w:pPr>
            <w:r w:rsidRPr="001814D2">
              <w:t>3,722</w:t>
            </w:r>
          </w:p>
        </w:tc>
        <w:tc>
          <w:tcPr>
            <w:tcW w:w="569" w:type="pct"/>
            <w:tcBorders>
              <w:top w:val="single" w:sz="4" w:space="0" w:color="auto"/>
              <w:bottom w:val="single" w:sz="4" w:space="0" w:color="auto"/>
            </w:tcBorders>
            <w:tcMar>
              <w:top w:w="0" w:type="dxa"/>
              <w:left w:w="0" w:type="dxa"/>
              <w:bottom w:w="0" w:type="dxa"/>
              <w:right w:w="0" w:type="dxa"/>
            </w:tcMar>
          </w:tcPr>
          <w:p w14:paraId="425F31F3" w14:textId="77777777" w:rsidR="009103CC" w:rsidRPr="001814D2" w:rsidRDefault="009103CC" w:rsidP="002718DF">
            <w:pPr>
              <w:pStyle w:val="Tabletext"/>
              <w:jc w:val="right"/>
            </w:pPr>
            <w:r w:rsidRPr="001814D2">
              <w:t>11,077</w:t>
            </w:r>
          </w:p>
        </w:tc>
      </w:tr>
      <w:tr w:rsidR="009103CC" w:rsidRPr="001814D2" w14:paraId="5ACDC3D7"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3D1C530A" w14:textId="77777777" w:rsidR="009103CC" w:rsidRPr="001814D2" w:rsidRDefault="009103CC" w:rsidP="002718DF">
            <w:pPr>
              <w:pStyle w:val="Tabletext"/>
            </w:pPr>
            <w:r w:rsidRPr="001814D2">
              <w:t>Sale of goods and services</w:t>
            </w:r>
          </w:p>
        </w:tc>
        <w:tc>
          <w:tcPr>
            <w:tcW w:w="377" w:type="pct"/>
            <w:tcBorders>
              <w:top w:val="single" w:sz="4" w:space="0" w:color="auto"/>
              <w:bottom w:val="single" w:sz="4" w:space="0" w:color="auto"/>
            </w:tcBorders>
            <w:tcMar>
              <w:top w:w="0" w:type="dxa"/>
              <w:left w:w="0" w:type="dxa"/>
              <w:bottom w:w="0" w:type="dxa"/>
              <w:right w:w="0" w:type="dxa"/>
            </w:tcMar>
          </w:tcPr>
          <w:p w14:paraId="02AA7995"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6106FF86" w14:textId="77777777" w:rsidR="009103CC" w:rsidRPr="001814D2" w:rsidRDefault="009103CC" w:rsidP="002718DF">
            <w:pPr>
              <w:pStyle w:val="Tabletext"/>
              <w:jc w:val="right"/>
            </w:pPr>
            <w:r w:rsidRPr="001814D2">
              <w:t>7,055</w:t>
            </w:r>
          </w:p>
        </w:tc>
        <w:tc>
          <w:tcPr>
            <w:tcW w:w="569" w:type="pct"/>
            <w:tcBorders>
              <w:top w:val="single" w:sz="4" w:space="0" w:color="auto"/>
              <w:bottom w:val="single" w:sz="4" w:space="0" w:color="auto"/>
            </w:tcBorders>
            <w:tcMar>
              <w:top w:w="0" w:type="dxa"/>
              <w:left w:w="0" w:type="dxa"/>
              <w:bottom w:w="0" w:type="dxa"/>
              <w:right w:w="0" w:type="dxa"/>
            </w:tcMar>
          </w:tcPr>
          <w:p w14:paraId="6485B2F0" w14:textId="77777777" w:rsidR="009103CC" w:rsidRPr="001814D2" w:rsidRDefault="009103CC" w:rsidP="002718DF">
            <w:pPr>
              <w:pStyle w:val="Tabletext"/>
              <w:jc w:val="right"/>
            </w:pPr>
            <w:r w:rsidRPr="001814D2">
              <w:t>9,935</w:t>
            </w:r>
          </w:p>
        </w:tc>
        <w:tc>
          <w:tcPr>
            <w:tcW w:w="935" w:type="pct"/>
            <w:tcBorders>
              <w:top w:val="single" w:sz="4" w:space="0" w:color="auto"/>
              <w:bottom w:val="single" w:sz="4" w:space="0" w:color="auto"/>
            </w:tcBorders>
            <w:tcMar>
              <w:top w:w="0" w:type="dxa"/>
              <w:left w:w="0" w:type="dxa"/>
              <w:bottom w:w="0" w:type="dxa"/>
              <w:right w:w="0" w:type="dxa"/>
            </w:tcMar>
          </w:tcPr>
          <w:p w14:paraId="782E8A4F" w14:textId="77777777" w:rsidR="009103CC" w:rsidRPr="001814D2" w:rsidRDefault="009103CC" w:rsidP="002718DF">
            <w:pPr>
              <w:pStyle w:val="Tabletext"/>
              <w:jc w:val="right"/>
            </w:pPr>
            <w:r w:rsidRPr="001814D2">
              <w:t>15,781</w:t>
            </w:r>
          </w:p>
        </w:tc>
        <w:tc>
          <w:tcPr>
            <w:tcW w:w="569" w:type="pct"/>
            <w:tcBorders>
              <w:top w:val="single" w:sz="4" w:space="0" w:color="auto"/>
              <w:bottom w:val="single" w:sz="4" w:space="0" w:color="auto"/>
            </w:tcBorders>
            <w:tcMar>
              <w:top w:w="0" w:type="dxa"/>
              <w:left w:w="0" w:type="dxa"/>
              <w:bottom w:w="0" w:type="dxa"/>
              <w:right w:w="0" w:type="dxa"/>
            </w:tcMar>
          </w:tcPr>
          <w:p w14:paraId="2C7CF2D5" w14:textId="77777777" w:rsidR="009103CC" w:rsidRPr="001814D2" w:rsidRDefault="009103CC" w:rsidP="002718DF">
            <w:pPr>
              <w:pStyle w:val="Tabletext"/>
              <w:jc w:val="right"/>
            </w:pPr>
            <w:r w:rsidRPr="001814D2">
              <w:t>7,055</w:t>
            </w:r>
          </w:p>
        </w:tc>
        <w:tc>
          <w:tcPr>
            <w:tcW w:w="569" w:type="pct"/>
            <w:tcBorders>
              <w:top w:val="single" w:sz="4" w:space="0" w:color="auto"/>
              <w:bottom w:val="single" w:sz="4" w:space="0" w:color="auto"/>
            </w:tcBorders>
            <w:tcMar>
              <w:top w:w="0" w:type="dxa"/>
              <w:left w:w="0" w:type="dxa"/>
              <w:bottom w:w="0" w:type="dxa"/>
              <w:right w:w="0" w:type="dxa"/>
            </w:tcMar>
          </w:tcPr>
          <w:p w14:paraId="507CB237" w14:textId="77777777" w:rsidR="009103CC" w:rsidRPr="001814D2" w:rsidRDefault="009103CC" w:rsidP="002718DF">
            <w:pPr>
              <w:pStyle w:val="Tabletext"/>
              <w:jc w:val="right"/>
            </w:pPr>
            <w:r w:rsidRPr="001814D2">
              <w:t>9,935</w:t>
            </w:r>
          </w:p>
        </w:tc>
      </w:tr>
      <w:tr w:rsidR="009103CC" w:rsidRPr="001814D2" w14:paraId="25E6D7AC"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22DF0379" w14:textId="77777777" w:rsidR="009103CC" w:rsidRPr="001814D2" w:rsidRDefault="009103CC" w:rsidP="002718DF">
            <w:pPr>
              <w:pStyle w:val="Tabletext"/>
            </w:pPr>
            <w:r w:rsidRPr="001814D2">
              <w:t>Value of services provided by volunteers</w:t>
            </w:r>
          </w:p>
        </w:tc>
        <w:tc>
          <w:tcPr>
            <w:tcW w:w="377" w:type="pct"/>
            <w:tcBorders>
              <w:top w:val="single" w:sz="4" w:space="0" w:color="auto"/>
              <w:bottom w:val="single" w:sz="4" w:space="0" w:color="auto"/>
            </w:tcBorders>
            <w:tcMar>
              <w:top w:w="0" w:type="dxa"/>
              <w:left w:w="0" w:type="dxa"/>
              <w:bottom w:w="0" w:type="dxa"/>
              <w:right w:w="0" w:type="dxa"/>
            </w:tcMar>
          </w:tcPr>
          <w:p w14:paraId="6094EFCE"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4CC08A2D" w14:textId="77777777" w:rsidR="009103CC" w:rsidRPr="001814D2" w:rsidRDefault="009103CC" w:rsidP="002718DF">
            <w:pPr>
              <w:pStyle w:val="Tabletext"/>
              <w:jc w:val="right"/>
            </w:pPr>
            <w:r w:rsidRPr="001814D2">
              <w:t>159</w:t>
            </w:r>
          </w:p>
          <w:p w14:paraId="1181C01C"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tcPr>
          <w:p w14:paraId="39B3AAE5" w14:textId="77777777" w:rsidR="009103CC" w:rsidRPr="001814D2" w:rsidRDefault="009103CC" w:rsidP="002718DF">
            <w:pPr>
              <w:pStyle w:val="Tabletext"/>
              <w:jc w:val="right"/>
            </w:pPr>
            <w:r w:rsidRPr="001814D2">
              <w:t>551</w:t>
            </w:r>
          </w:p>
          <w:p w14:paraId="3CAFD9ED" w14:textId="77777777" w:rsidR="009103CC" w:rsidRPr="001814D2" w:rsidRDefault="009103CC" w:rsidP="002718DF">
            <w:pPr>
              <w:pStyle w:val="Tabletext"/>
              <w:jc w:val="right"/>
              <w:rPr>
                <w:rFonts w:cs="Preston"/>
                <w:szCs w:val="18"/>
              </w:rPr>
            </w:pPr>
          </w:p>
        </w:tc>
        <w:tc>
          <w:tcPr>
            <w:tcW w:w="935" w:type="pct"/>
            <w:tcBorders>
              <w:top w:val="single" w:sz="4" w:space="0" w:color="auto"/>
              <w:bottom w:val="single" w:sz="4" w:space="0" w:color="auto"/>
            </w:tcBorders>
            <w:tcMar>
              <w:top w:w="0" w:type="dxa"/>
              <w:left w:w="0" w:type="dxa"/>
              <w:bottom w:w="0" w:type="dxa"/>
              <w:right w:w="0" w:type="dxa"/>
            </w:tcMar>
          </w:tcPr>
          <w:p w14:paraId="41481E8E" w14:textId="77777777" w:rsidR="009103CC" w:rsidRPr="001814D2" w:rsidRDefault="009103CC" w:rsidP="002718DF">
            <w:pPr>
              <w:pStyle w:val="Tabletext"/>
              <w:jc w:val="right"/>
            </w:pPr>
            <w:r w:rsidRPr="001814D2">
              <w:t>400</w:t>
            </w:r>
          </w:p>
          <w:p w14:paraId="06C9160A"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tcPr>
          <w:p w14:paraId="6B5F390C" w14:textId="77777777" w:rsidR="009103CC" w:rsidRPr="001814D2" w:rsidRDefault="009103CC" w:rsidP="002718DF">
            <w:pPr>
              <w:pStyle w:val="Tabletext"/>
              <w:jc w:val="right"/>
            </w:pPr>
            <w:r w:rsidRPr="001814D2">
              <w:t>159</w:t>
            </w:r>
          </w:p>
          <w:p w14:paraId="3F1C8323"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tcPr>
          <w:p w14:paraId="43DFA045" w14:textId="77777777" w:rsidR="009103CC" w:rsidRPr="001814D2" w:rsidRDefault="009103CC" w:rsidP="002718DF">
            <w:pPr>
              <w:pStyle w:val="Tabletext"/>
              <w:jc w:val="right"/>
            </w:pPr>
            <w:r w:rsidRPr="001814D2">
              <w:t>551</w:t>
            </w:r>
          </w:p>
          <w:p w14:paraId="751446A3" w14:textId="77777777" w:rsidR="009103CC" w:rsidRPr="001814D2" w:rsidRDefault="009103CC" w:rsidP="002718DF">
            <w:pPr>
              <w:pStyle w:val="Tabletext"/>
              <w:jc w:val="right"/>
              <w:rPr>
                <w:rFonts w:cs="Preston"/>
                <w:szCs w:val="18"/>
              </w:rPr>
            </w:pPr>
          </w:p>
        </w:tc>
      </w:tr>
      <w:tr w:rsidR="009103CC" w:rsidRPr="001814D2" w14:paraId="5324083D"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23ECB016" w14:textId="77777777" w:rsidR="009103CC" w:rsidRPr="001814D2" w:rsidRDefault="009103CC" w:rsidP="002718DF">
            <w:pPr>
              <w:pStyle w:val="Tabletext"/>
              <w:rPr>
                <w:rFonts w:cs="Preston"/>
                <w:b/>
                <w:bCs/>
                <w:szCs w:val="18"/>
              </w:rPr>
            </w:pPr>
            <w:r w:rsidRPr="001814D2">
              <w:rPr>
                <w:rFonts w:cs="Preston"/>
                <w:b/>
                <w:bCs/>
                <w:szCs w:val="18"/>
              </w:rPr>
              <w:t>Total revenue from continuing operations</w:t>
            </w:r>
          </w:p>
        </w:tc>
        <w:tc>
          <w:tcPr>
            <w:tcW w:w="377" w:type="pct"/>
            <w:tcBorders>
              <w:top w:val="single" w:sz="4" w:space="0" w:color="auto"/>
              <w:bottom w:val="single" w:sz="4" w:space="0" w:color="auto"/>
            </w:tcBorders>
            <w:tcMar>
              <w:top w:w="0" w:type="dxa"/>
              <w:left w:w="0" w:type="dxa"/>
              <w:bottom w:w="0" w:type="dxa"/>
              <w:right w:w="0" w:type="dxa"/>
            </w:tcMar>
          </w:tcPr>
          <w:p w14:paraId="4A2C0439" w14:textId="77777777" w:rsidR="009103CC" w:rsidRPr="001814D2" w:rsidRDefault="009103CC" w:rsidP="002718DF">
            <w:pPr>
              <w:pStyle w:val="Tabletext"/>
              <w:rPr>
                <w:rFonts w:cs="Preston"/>
                <w:b/>
                <w:bCs/>
                <w:szCs w:val="18"/>
              </w:rPr>
            </w:pPr>
            <w:r w:rsidRPr="001814D2">
              <w:rPr>
                <w:rFonts w:cs="Preston"/>
                <w:b/>
                <w:bCs/>
                <w:szCs w:val="18"/>
              </w:rPr>
              <w:t>2</w:t>
            </w:r>
          </w:p>
          <w:p w14:paraId="15AADC72" w14:textId="77777777" w:rsidR="009103CC" w:rsidRPr="001814D2" w:rsidRDefault="009103CC" w:rsidP="002718DF">
            <w:pPr>
              <w:pStyle w:val="Tabletext"/>
              <w:rPr>
                <w:rFonts w:cs="Preston"/>
                <w:b/>
                <w:bCs/>
                <w:szCs w:val="18"/>
              </w:rPr>
            </w:pPr>
          </w:p>
        </w:tc>
        <w:tc>
          <w:tcPr>
            <w:tcW w:w="569" w:type="pct"/>
            <w:tcBorders>
              <w:top w:val="single" w:sz="4" w:space="0" w:color="auto"/>
              <w:bottom w:val="single" w:sz="4" w:space="0" w:color="auto"/>
            </w:tcBorders>
            <w:tcMar>
              <w:top w:w="0" w:type="dxa"/>
              <w:left w:w="0" w:type="dxa"/>
              <w:bottom w:w="0" w:type="dxa"/>
              <w:right w:w="0" w:type="dxa"/>
            </w:tcMar>
          </w:tcPr>
          <w:p w14:paraId="56D7BDCE" w14:textId="77777777" w:rsidR="009103CC" w:rsidRPr="001814D2" w:rsidRDefault="009103CC" w:rsidP="002718DF">
            <w:pPr>
              <w:pStyle w:val="Tabletext"/>
              <w:jc w:val="right"/>
              <w:rPr>
                <w:rFonts w:cs="Preston"/>
                <w:b/>
                <w:bCs/>
                <w:szCs w:val="18"/>
              </w:rPr>
            </w:pPr>
            <w:r w:rsidRPr="001814D2">
              <w:rPr>
                <w:rFonts w:cs="Preston"/>
                <w:b/>
                <w:bCs/>
                <w:szCs w:val="18"/>
              </w:rPr>
              <w:t>196,828</w:t>
            </w:r>
          </w:p>
          <w:p w14:paraId="2D99711D" w14:textId="77777777" w:rsidR="009103CC" w:rsidRPr="001814D2" w:rsidRDefault="009103CC" w:rsidP="002718DF">
            <w:pPr>
              <w:pStyle w:val="Tabletext"/>
              <w:jc w:val="right"/>
              <w:rPr>
                <w:rFonts w:cs="Preston"/>
                <w:b/>
                <w:bCs/>
                <w:szCs w:val="18"/>
              </w:rPr>
            </w:pPr>
          </w:p>
        </w:tc>
        <w:tc>
          <w:tcPr>
            <w:tcW w:w="569" w:type="pct"/>
            <w:tcBorders>
              <w:top w:val="single" w:sz="4" w:space="0" w:color="auto"/>
              <w:bottom w:val="single" w:sz="4" w:space="0" w:color="auto"/>
            </w:tcBorders>
            <w:tcMar>
              <w:top w:w="0" w:type="dxa"/>
              <w:left w:w="0" w:type="dxa"/>
              <w:bottom w:w="0" w:type="dxa"/>
              <w:right w:w="0" w:type="dxa"/>
            </w:tcMar>
          </w:tcPr>
          <w:p w14:paraId="729520E0" w14:textId="77777777" w:rsidR="009103CC" w:rsidRPr="001814D2" w:rsidRDefault="009103CC" w:rsidP="002718DF">
            <w:pPr>
              <w:pStyle w:val="Tabletext"/>
              <w:jc w:val="right"/>
              <w:rPr>
                <w:rFonts w:cs="Preston"/>
                <w:b/>
                <w:bCs/>
                <w:szCs w:val="18"/>
              </w:rPr>
            </w:pPr>
            <w:r w:rsidRPr="001814D2">
              <w:rPr>
                <w:rFonts w:cs="Preston"/>
                <w:b/>
                <w:bCs/>
                <w:szCs w:val="18"/>
              </w:rPr>
              <w:t>135,737</w:t>
            </w:r>
          </w:p>
          <w:p w14:paraId="5E1B2C2E" w14:textId="77777777" w:rsidR="009103CC" w:rsidRPr="001814D2" w:rsidRDefault="009103CC" w:rsidP="002718DF">
            <w:pPr>
              <w:pStyle w:val="Tabletext"/>
              <w:jc w:val="right"/>
              <w:rPr>
                <w:rFonts w:cs="Preston"/>
                <w:b/>
                <w:bCs/>
                <w:szCs w:val="18"/>
              </w:rPr>
            </w:pPr>
          </w:p>
        </w:tc>
        <w:tc>
          <w:tcPr>
            <w:tcW w:w="935" w:type="pct"/>
            <w:tcBorders>
              <w:top w:val="single" w:sz="4" w:space="0" w:color="auto"/>
              <w:bottom w:val="single" w:sz="4" w:space="0" w:color="auto"/>
            </w:tcBorders>
            <w:tcMar>
              <w:top w:w="0" w:type="dxa"/>
              <w:left w:w="0" w:type="dxa"/>
              <w:bottom w:w="0" w:type="dxa"/>
              <w:right w:w="0" w:type="dxa"/>
            </w:tcMar>
          </w:tcPr>
          <w:p w14:paraId="537AD5D3" w14:textId="77777777" w:rsidR="009103CC" w:rsidRPr="001814D2" w:rsidRDefault="009103CC" w:rsidP="002718DF">
            <w:pPr>
              <w:pStyle w:val="Tabletext"/>
              <w:jc w:val="right"/>
              <w:rPr>
                <w:rFonts w:cs="Preston"/>
                <w:b/>
                <w:bCs/>
                <w:szCs w:val="18"/>
              </w:rPr>
            </w:pPr>
            <w:r w:rsidRPr="001814D2">
              <w:rPr>
                <w:rFonts w:cs="Preston"/>
                <w:b/>
                <w:bCs/>
                <w:szCs w:val="18"/>
              </w:rPr>
              <w:t>197,263</w:t>
            </w:r>
          </w:p>
          <w:p w14:paraId="2A69D5D2" w14:textId="77777777" w:rsidR="009103CC" w:rsidRPr="001814D2" w:rsidRDefault="009103CC" w:rsidP="002718DF">
            <w:pPr>
              <w:pStyle w:val="Tabletext"/>
              <w:jc w:val="right"/>
              <w:rPr>
                <w:rFonts w:cs="Preston"/>
                <w:b/>
                <w:bCs/>
                <w:szCs w:val="18"/>
              </w:rPr>
            </w:pPr>
          </w:p>
        </w:tc>
        <w:tc>
          <w:tcPr>
            <w:tcW w:w="569" w:type="pct"/>
            <w:tcBorders>
              <w:top w:val="single" w:sz="4" w:space="0" w:color="auto"/>
              <w:bottom w:val="single" w:sz="4" w:space="0" w:color="auto"/>
            </w:tcBorders>
            <w:tcMar>
              <w:top w:w="0" w:type="dxa"/>
              <w:left w:w="0" w:type="dxa"/>
              <w:bottom w:w="0" w:type="dxa"/>
              <w:right w:w="0" w:type="dxa"/>
            </w:tcMar>
          </w:tcPr>
          <w:p w14:paraId="393CAEC8" w14:textId="77777777" w:rsidR="009103CC" w:rsidRPr="001814D2" w:rsidRDefault="009103CC" w:rsidP="002718DF">
            <w:pPr>
              <w:pStyle w:val="Tabletext"/>
              <w:jc w:val="right"/>
              <w:rPr>
                <w:rFonts w:cs="Preston"/>
                <w:b/>
                <w:bCs/>
                <w:szCs w:val="18"/>
              </w:rPr>
            </w:pPr>
            <w:r w:rsidRPr="001814D2">
              <w:rPr>
                <w:rFonts w:cs="Preston"/>
                <w:b/>
                <w:bCs/>
                <w:szCs w:val="18"/>
              </w:rPr>
              <w:t>196,680</w:t>
            </w:r>
          </w:p>
          <w:p w14:paraId="680A1229" w14:textId="77777777" w:rsidR="009103CC" w:rsidRPr="001814D2" w:rsidRDefault="009103CC" w:rsidP="002718DF">
            <w:pPr>
              <w:pStyle w:val="Tabletext"/>
              <w:jc w:val="right"/>
              <w:rPr>
                <w:rFonts w:cs="Preston"/>
                <w:b/>
                <w:bCs/>
                <w:szCs w:val="18"/>
              </w:rPr>
            </w:pPr>
          </w:p>
        </w:tc>
        <w:tc>
          <w:tcPr>
            <w:tcW w:w="569" w:type="pct"/>
            <w:tcBorders>
              <w:top w:val="single" w:sz="4" w:space="0" w:color="auto"/>
              <w:bottom w:val="single" w:sz="4" w:space="0" w:color="auto"/>
            </w:tcBorders>
            <w:tcMar>
              <w:top w:w="0" w:type="dxa"/>
              <w:left w:w="0" w:type="dxa"/>
              <w:bottom w:w="0" w:type="dxa"/>
              <w:right w:w="0" w:type="dxa"/>
            </w:tcMar>
          </w:tcPr>
          <w:p w14:paraId="65679120" w14:textId="77777777" w:rsidR="009103CC" w:rsidRPr="001814D2" w:rsidRDefault="009103CC" w:rsidP="002718DF">
            <w:pPr>
              <w:pStyle w:val="Tabletext"/>
              <w:jc w:val="right"/>
              <w:rPr>
                <w:rFonts w:cs="Preston"/>
                <w:b/>
                <w:bCs/>
                <w:szCs w:val="18"/>
              </w:rPr>
            </w:pPr>
            <w:r w:rsidRPr="001814D2">
              <w:rPr>
                <w:rFonts w:cs="Preston"/>
                <w:b/>
                <w:bCs/>
                <w:szCs w:val="18"/>
              </w:rPr>
              <w:t>140,584</w:t>
            </w:r>
          </w:p>
          <w:p w14:paraId="5137577C" w14:textId="77777777" w:rsidR="009103CC" w:rsidRPr="001814D2" w:rsidRDefault="009103CC" w:rsidP="002718DF">
            <w:pPr>
              <w:pStyle w:val="Tabletext"/>
              <w:jc w:val="right"/>
              <w:rPr>
                <w:rFonts w:cs="Preston"/>
                <w:b/>
                <w:bCs/>
                <w:szCs w:val="18"/>
              </w:rPr>
            </w:pPr>
          </w:p>
        </w:tc>
      </w:tr>
      <w:tr w:rsidR="009103CC" w:rsidRPr="001814D2" w14:paraId="74FEA480" w14:textId="77777777" w:rsidTr="002718DF">
        <w:trPr>
          <w:cantSplit/>
          <w:trHeight w:val="170"/>
        </w:trPr>
        <w:tc>
          <w:tcPr>
            <w:tcW w:w="1412" w:type="pct"/>
            <w:tcBorders>
              <w:top w:val="single" w:sz="4" w:space="0" w:color="auto"/>
            </w:tcBorders>
            <w:tcMar>
              <w:top w:w="0" w:type="dxa"/>
              <w:left w:w="0" w:type="dxa"/>
              <w:bottom w:w="0" w:type="dxa"/>
              <w:right w:w="0" w:type="dxa"/>
            </w:tcMar>
          </w:tcPr>
          <w:p w14:paraId="285CDDFC" w14:textId="77777777" w:rsidR="009103CC" w:rsidRPr="001814D2" w:rsidRDefault="009103CC" w:rsidP="002718DF">
            <w:pPr>
              <w:pStyle w:val="Tabletext"/>
            </w:pPr>
          </w:p>
        </w:tc>
        <w:tc>
          <w:tcPr>
            <w:tcW w:w="377" w:type="pct"/>
            <w:tcBorders>
              <w:top w:val="single" w:sz="4" w:space="0" w:color="auto"/>
            </w:tcBorders>
            <w:tcMar>
              <w:top w:w="0" w:type="dxa"/>
              <w:left w:w="0" w:type="dxa"/>
              <w:bottom w:w="0" w:type="dxa"/>
              <w:right w:w="0" w:type="dxa"/>
            </w:tcMar>
          </w:tcPr>
          <w:p w14:paraId="0DBCCD83"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tcPr>
          <w:p w14:paraId="1F24E093"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tcPr>
          <w:p w14:paraId="64C833E7" w14:textId="77777777" w:rsidR="009103CC" w:rsidRPr="001814D2" w:rsidRDefault="009103CC" w:rsidP="002718DF">
            <w:pPr>
              <w:pStyle w:val="Tabletext"/>
            </w:pPr>
          </w:p>
        </w:tc>
        <w:tc>
          <w:tcPr>
            <w:tcW w:w="935" w:type="pct"/>
            <w:tcBorders>
              <w:top w:val="single" w:sz="4" w:space="0" w:color="auto"/>
            </w:tcBorders>
            <w:tcMar>
              <w:top w:w="0" w:type="dxa"/>
              <w:left w:w="0" w:type="dxa"/>
              <w:bottom w:w="0" w:type="dxa"/>
              <w:right w:w="0" w:type="dxa"/>
            </w:tcMar>
          </w:tcPr>
          <w:p w14:paraId="6F7C1036"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tcPr>
          <w:p w14:paraId="0586EC05"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tcPr>
          <w:p w14:paraId="24192DCC" w14:textId="77777777" w:rsidR="009103CC" w:rsidRPr="001814D2" w:rsidRDefault="009103CC" w:rsidP="002718DF">
            <w:pPr>
              <w:pStyle w:val="Tabletext"/>
            </w:pPr>
          </w:p>
        </w:tc>
      </w:tr>
      <w:tr w:rsidR="009103CC" w:rsidRPr="001814D2" w14:paraId="74787C15" w14:textId="77777777" w:rsidTr="002718DF">
        <w:trPr>
          <w:cantSplit/>
          <w:trHeight w:val="170"/>
        </w:trPr>
        <w:tc>
          <w:tcPr>
            <w:tcW w:w="5000" w:type="pct"/>
            <w:gridSpan w:val="7"/>
            <w:tcBorders>
              <w:bottom w:val="single" w:sz="4" w:space="0" w:color="auto"/>
            </w:tcBorders>
            <w:tcMar>
              <w:top w:w="0" w:type="dxa"/>
              <w:left w:w="0" w:type="dxa"/>
              <w:bottom w:w="0" w:type="dxa"/>
              <w:right w:w="0" w:type="dxa"/>
            </w:tcMar>
          </w:tcPr>
          <w:p w14:paraId="67F9C7F2" w14:textId="77777777" w:rsidR="009103CC" w:rsidRPr="001814D2" w:rsidRDefault="009103CC" w:rsidP="002718DF">
            <w:pPr>
              <w:pStyle w:val="Tabletext"/>
              <w:rPr>
                <w:rFonts w:cs="Preston"/>
                <w:b/>
                <w:bCs/>
                <w:szCs w:val="18"/>
              </w:rPr>
            </w:pPr>
            <w:r w:rsidRPr="001814D2">
              <w:rPr>
                <w:rFonts w:cs="Preston"/>
                <w:b/>
                <w:bCs/>
                <w:szCs w:val="18"/>
              </w:rPr>
              <w:t>Other income</w:t>
            </w:r>
          </w:p>
        </w:tc>
      </w:tr>
      <w:tr w:rsidR="009103CC" w:rsidRPr="001814D2" w14:paraId="1DE015A5"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4D3D246B" w14:textId="77777777" w:rsidR="009103CC" w:rsidRPr="001814D2" w:rsidRDefault="009103CC" w:rsidP="002718DF">
            <w:pPr>
              <w:pStyle w:val="Tabletext"/>
            </w:pPr>
            <w:r w:rsidRPr="001814D2">
              <w:t>Investment revenue</w:t>
            </w:r>
          </w:p>
        </w:tc>
        <w:tc>
          <w:tcPr>
            <w:tcW w:w="377" w:type="pct"/>
            <w:tcBorders>
              <w:top w:val="single" w:sz="4" w:space="0" w:color="auto"/>
              <w:bottom w:val="single" w:sz="4" w:space="0" w:color="auto"/>
            </w:tcBorders>
            <w:tcMar>
              <w:top w:w="0" w:type="dxa"/>
              <w:left w:w="0" w:type="dxa"/>
              <w:bottom w:w="0" w:type="dxa"/>
              <w:right w:w="0" w:type="dxa"/>
            </w:tcMar>
          </w:tcPr>
          <w:p w14:paraId="3DAB0133" w14:textId="77777777" w:rsidR="009103CC" w:rsidRPr="001814D2" w:rsidRDefault="009103CC" w:rsidP="002718DF">
            <w:pPr>
              <w:pStyle w:val="Tabletext"/>
            </w:pPr>
            <w:r w:rsidRPr="001814D2">
              <w:t>2 (a)</w:t>
            </w:r>
          </w:p>
        </w:tc>
        <w:tc>
          <w:tcPr>
            <w:tcW w:w="569" w:type="pct"/>
            <w:tcBorders>
              <w:top w:val="single" w:sz="4" w:space="0" w:color="auto"/>
              <w:bottom w:val="single" w:sz="4" w:space="0" w:color="auto"/>
            </w:tcBorders>
            <w:tcMar>
              <w:top w:w="0" w:type="dxa"/>
              <w:left w:w="0" w:type="dxa"/>
              <w:bottom w:w="0" w:type="dxa"/>
              <w:right w:w="0" w:type="dxa"/>
            </w:tcMar>
          </w:tcPr>
          <w:p w14:paraId="6459E3AE" w14:textId="77777777" w:rsidR="009103CC" w:rsidRPr="001814D2" w:rsidRDefault="009103CC" w:rsidP="002718DF">
            <w:pPr>
              <w:pStyle w:val="Tabletext"/>
              <w:jc w:val="right"/>
            </w:pPr>
            <w:r w:rsidRPr="001814D2">
              <w:t>8,395</w:t>
            </w:r>
          </w:p>
        </w:tc>
        <w:tc>
          <w:tcPr>
            <w:tcW w:w="569" w:type="pct"/>
            <w:tcBorders>
              <w:top w:val="single" w:sz="4" w:space="0" w:color="auto"/>
              <w:bottom w:val="single" w:sz="4" w:space="0" w:color="auto"/>
            </w:tcBorders>
            <w:tcMar>
              <w:top w:w="0" w:type="dxa"/>
              <w:left w:w="0" w:type="dxa"/>
              <w:bottom w:w="0" w:type="dxa"/>
              <w:right w:w="0" w:type="dxa"/>
            </w:tcMar>
          </w:tcPr>
          <w:p w14:paraId="67808877" w14:textId="77777777" w:rsidR="009103CC" w:rsidRPr="001814D2" w:rsidRDefault="009103CC" w:rsidP="002718DF">
            <w:pPr>
              <w:pStyle w:val="Tabletext"/>
              <w:jc w:val="right"/>
            </w:pPr>
            <w:r w:rsidRPr="001814D2">
              <w:t>890</w:t>
            </w:r>
          </w:p>
        </w:tc>
        <w:tc>
          <w:tcPr>
            <w:tcW w:w="935" w:type="pct"/>
            <w:tcBorders>
              <w:top w:val="single" w:sz="4" w:space="0" w:color="auto"/>
              <w:bottom w:val="single" w:sz="4" w:space="0" w:color="auto"/>
            </w:tcBorders>
            <w:tcMar>
              <w:top w:w="0" w:type="dxa"/>
              <w:left w:w="0" w:type="dxa"/>
              <w:bottom w:w="0" w:type="dxa"/>
              <w:right w:w="0" w:type="dxa"/>
            </w:tcMar>
          </w:tcPr>
          <w:p w14:paraId="4900198B" w14:textId="77777777" w:rsidR="009103CC" w:rsidRPr="001814D2" w:rsidRDefault="009103CC" w:rsidP="002718DF">
            <w:pPr>
              <w:pStyle w:val="Tabletext"/>
              <w:jc w:val="right"/>
            </w:pPr>
            <w:r w:rsidRPr="001814D2">
              <w:t>888</w:t>
            </w:r>
          </w:p>
        </w:tc>
        <w:tc>
          <w:tcPr>
            <w:tcW w:w="569" w:type="pct"/>
            <w:tcBorders>
              <w:top w:val="single" w:sz="4" w:space="0" w:color="auto"/>
              <w:bottom w:val="single" w:sz="4" w:space="0" w:color="auto"/>
            </w:tcBorders>
            <w:tcMar>
              <w:top w:w="0" w:type="dxa"/>
              <w:left w:w="0" w:type="dxa"/>
              <w:bottom w:w="0" w:type="dxa"/>
              <w:right w:w="0" w:type="dxa"/>
            </w:tcMar>
          </w:tcPr>
          <w:p w14:paraId="23E0BAF2" w14:textId="77777777" w:rsidR="009103CC" w:rsidRPr="001814D2" w:rsidRDefault="009103CC" w:rsidP="002718DF">
            <w:pPr>
              <w:pStyle w:val="Tabletext"/>
              <w:jc w:val="right"/>
            </w:pPr>
            <w:r w:rsidRPr="001814D2">
              <w:t>8,292</w:t>
            </w:r>
          </w:p>
        </w:tc>
        <w:tc>
          <w:tcPr>
            <w:tcW w:w="569" w:type="pct"/>
            <w:tcBorders>
              <w:top w:val="single" w:sz="4" w:space="0" w:color="auto"/>
              <w:bottom w:val="single" w:sz="4" w:space="0" w:color="auto"/>
            </w:tcBorders>
            <w:tcMar>
              <w:top w:w="0" w:type="dxa"/>
              <w:left w:w="0" w:type="dxa"/>
              <w:bottom w:w="0" w:type="dxa"/>
              <w:right w:w="0" w:type="dxa"/>
            </w:tcMar>
          </w:tcPr>
          <w:p w14:paraId="7F709A65" w14:textId="77777777" w:rsidR="009103CC" w:rsidRPr="001814D2" w:rsidRDefault="009103CC" w:rsidP="002718DF">
            <w:pPr>
              <w:pStyle w:val="Tabletext"/>
              <w:jc w:val="right"/>
            </w:pPr>
            <w:r w:rsidRPr="001814D2">
              <w:t>911</w:t>
            </w:r>
          </w:p>
        </w:tc>
      </w:tr>
      <w:tr w:rsidR="009103CC" w:rsidRPr="001814D2" w14:paraId="39228F37"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38AB25A5" w14:textId="77777777" w:rsidR="009103CC" w:rsidRPr="001814D2" w:rsidRDefault="009103CC" w:rsidP="002718DF">
            <w:pPr>
              <w:pStyle w:val="Tabletext"/>
            </w:pPr>
            <w:r w:rsidRPr="001814D2">
              <w:t>Acceptance by the Crown* of employee benefits</w:t>
            </w:r>
          </w:p>
        </w:tc>
        <w:tc>
          <w:tcPr>
            <w:tcW w:w="377" w:type="pct"/>
            <w:tcBorders>
              <w:top w:val="single" w:sz="4" w:space="0" w:color="auto"/>
              <w:bottom w:val="single" w:sz="4" w:space="0" w:color="auto"/>
            </w:tcBorders>
            <w:tcMar>
              <w:top w:w="0" w:type="dxa"/>
              <w:left w:w="0" w:type="dxa"/>
              <w:bottom w:w="0" w:type="dxa"/>
              <w:right w:w="0" w:type="dxa"/>
            </w:tcMar>
          </w:tcPr>
          <w:p w14:paraId="18D00874"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7FE117FD" w14:textId="77777777" w:rsidR="009103CC" w:rsidRPr="001814D2" w:rsidRDefault="009103CC" w:rsidP="002718DF">
            <w:pPr>
              <w:pStyle w:val="Tabletext"/>
              <w:jc w:val="right"/>
            </w:pPr>
            <w:r w:rsidRPr="001814D2">
              <w:t>(2,728)</w:t>
            </w:r>
          </w:p>
          <w:p w14:paraId="79623A8B"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tcPr>
          <w:p w14:paraId="486CED97" w14:textId="77777777" w:rsidR="009103CC" w:rsidRPr="001814D2" w:rsidRDefault="009103CC" w:rsidP="002718DF">
            <w:pPr>
              <w:pStyle w:val="Tabletext"/>
              <w:jc w:val="right"/>
            </w:pPr>
            <w:r w:rsidRPr="001814D2">
              <w:t>4,973</w:t>
            </w:r>
          </w:p>
          <w:p w14:paraId="15E3A6E1" w14:textId="77777777" w:rsidR="009103CC" w:rsidRPr="001814D2" w:rsidRDefault="009103CC" w:rsidP="002718DF">
            <w:pPr>
              <w:pStyle w:val="Tabletext"/>
              <w:jc w:val="right"/>
              <w:rPr>
                <w:rFonts w:cs="Preston"/>
                <w:szCs w:val="18"/>
              </w:rPr>
            </w:pPr>
          </w:p>
        </w:tc>
        <w:tc>
          <w:tcPr>
            <w:tcW w:w="935" w:type="pct"/>
            <w:tcBorders>
              <w:top w:val="single" w:sz="4" w:space="0" w:color="auto"/>
              <w:bottom w:val="single" w:sz="4" w:space="0" w:color="auto"/>
            </w:tcBorders>
            <w:tcMar>
              <w:top w:w="0" w:type="dxa"/>
              <w:left w:w="0" w:type="dxa"/>
              <w:bottom w:w="0" w:type="dxa"/>
              <w:right w:w="0" w:type="dxa"/>
            </w:tcMar>
          </w:tcPr>
          <w:p w14:paraId="5985C43A" w14:textId="77777777" w:rsidR="009103CC" w:rsidRPr="001814D2" w:rsidRDefault="009103CC" w:rsidP="002718DF">
            <w:pPr>
              <w:pStyle w:val="Tabletext"/>
              <w:jc w:val="right"/>
            </w:pPr>
            <w:r w:rsidRPr="001814D2">
              <w:t>730</w:t>
            </w:r>
          </w:p>
          <w:p w14:paraId="7BC5D1A3"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tcPr>
          <w:p w14:paraId="6F0861FB" w14:textId="77777777" w:rsidR="009103CC" w:rsidRPr="001814D2" w:rsidRDefault="009103CC" w:rsidP="002718DF">
            <w:pPr>
              <w:pStyle w:val="Tabletext"/>
              <w:jc w:val="right"/>
            </w:pPr>
            <w:r w:rsidRPr="001814D2">
              <w:t>-</w:t>
            </w:r>
          </w:p>
          <w:p w14:paraId="2FA3DF7B"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tcPr>
          <w:p w14:paraId="3CC150EB" w14:textId="77777777" w:rsidR="009103CC" w:rsidRPr="001814D2" w:rsidRDefault="009103CC" w:rsidP="002718DF">
            <w:pPr>
              <w:pStyle w:val="Tabletext"/>
              <w:jc w:val="right"/>
            </w:pPr>
            <w:r w:rsidRPr="001814D2">
              <w:t>-</w:t>
            </w:r>
          </w:p>
          <w:p w14:paraId="5F4A1C0A" w14:textId="77777777" w:rsidR="009103CC" w:rsidRPr="001814D2" w:rsidRDefault="009103CC" w:rsidP="002718DF">
            <w:pPr>
              <w:pStyle w:val="Tabletext"/>
              <w:jc w:val="right"/>
              <w:rPr>
                <w:rFonts w:cs="Preston"/>
                <w:szCs w:val="18"/>
              </w:rPr>
            </w:pPr>
          </w:p>
        </w:tc>
      </w:tr>
      <w:tr w:rsidR="009103CC" w:rsidRPr="001814D2" w14:paraId="3302C226"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7DDCF3D0" w14:textId="77777777" w:rsidR="009103CC" w:rsidRPr="001814D2" w:rsidRDefault="009103CC" w:rsidP="002718DF">
            <w:pPr>
              <w:pStyle w:val="Tabletext"/>
            </w:pPr>
            <w:r w:rsidRPr="001814D2">
              <w:t>Other revenue</w:t>
            </w:r>
          </w:p>
        </w:tc>
        <w:tc>
          <w:tcPr>
            <w:tcW w:w="377" w:type="pct"/>
            <w:tcBorders>
              <w:top w:val="single" w:sz="4" w:space="0" w:color="auto"/>
              <w:bottom w:val="single" w:sz="4" w:space="0" w:color="auto"/>
            </w:tcBorders>
            <w:tcMar>
              <w:top w:w="0" w:type="dxa"/>
              <w:left w:w="0" w:type="dxa"/>
              <w:bottom w:w="0" w:type="dxa"/>
              <w:right w:w="0" w:type="dxa"/>
            </w:tcMar>
          </w:tcPr>
          <w:p w14:paraId="208273AB"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479C1966" w14:textId="77777777" w:rsidR="009103CC" w:rsidRPr="001814D2" w:rsidRDefault="009103CC" w:rsidP="002718DF">
            <w:pPr>
              <w:pStyle w:val="Tabletext"/>
              <w:jc w:val="right"/>
            </w:pPr>
            <w:r w:rsidRPr="001814D2">
              <w:t>3,951</w:t>
            </w:r>
          </w:p>
        </w:tc>
        <w:tc>
          <w:tcPr>
            <w:tcW w:w="569" w:type="pct"/>
            <w:tcBorders>
              <w:top w:val="single" w:sz="4" w:space="0" w:color="auto"/>
              <w:bottom w:val="single" w:sz="4" w:space="0" w:color="auto"/>
            </w:tcBorders>
            <w:tcMar>
              <w:top w:w="0" w:type="dxa"/>
              <w:left w:w="0" w:type="dxa"/>
              <w:bottom w:w="0" w:type="dxa"/>
              <w:right w:w="0" w:type="dxa"/>
            </w:tcMar>
          </w:tcPr>
          <w:p w14:paraId="4A873353" w14:textId="77777777" w:rsidR="009103CC" w:rsidRPr="001814D2" w:rsidRDefault="009103CC" w:rsidP="002718DF">
            <w:pPr>
              <w:pStyle w:val="Tabletext"/>
              <w:jc w:val="right"/>
            </w:pPr>
            <w:r w:rsidRPr="001814D2">
              <w:t>1,738</w:t>
            </w:r>
          </w:p>
        </w:tc>
        <w:tc>
          <w:tcPr>
            <w:tcW w:w="935" w:type="pct"/>
            <w:tcBorders>
              <w:top w:val="single" w:sz="4" w:space="0" w:color="auto"/>
              <w:bottom w:val="single" w:sz="4" w:space="0" w:color="auto"/>
            </w:tcBorders>
            <w:tcMar>
              <w:top w:w="0" w:type="dxa"/>
              <w:left w:w="0" w:type="dxa"/>
              <w:bottom w:w="0" w:type="dxa"/>
              <w:right w:w="0" w:type="dxa"/>
            </w:tcMar>
          </w:tcPr>
          <w:p w14:paraId="3FC8C5C1" w14:textId="77777777" w:rsidR="009103CC" w:rsidRPr="001814D2" w:rsidRDefault="009103CC" w:rsidP="002718DF">
            <w:pPr>
              <w:pStyle w:val="Tabletext"/>
              <w:jc w:val="right"/>
            </w:pPr>
            <w:r w:rsidRPr="001814D2">
              <w:t>15</w:t>
            </w:r>
          </w:p>
        </w:tc>
        <w:tc>
          <w:tcPr>
            <w:tcW w:w="569" w:type="pct"/>
            <w:tcBorders>
              <w:top w:val="single" w:sz="4" w:space="0" w:color="auto"/>
              <w:bottom w:val="single" w:sz="4" w:space="0" w:color="auto"/>
            </w:tcBorders>
            <w:tcMar>
              <w:top w:w="0" w:type="dxa"/>
              <w:left w:w="0" w:type="dxa"/>
              <w:bottom w:w="0" w:type="dxa"/>
              <w:right w:w="0" w:type="dxa"/>
            </w:tcMar>
          </w:tcPr>
          <w:p w14:paraId="14574559" w14:textId="77777777" w:rsidR="009103CC" w:rsidRPr="001814D2" w:rsidRDefault="009103CC" w:rsidP="002718DF">
            <w:pPr>
              <w:pStyle w:val="Tabletext"/>
              <w:jc w:val="right"/>
            </w:pPr>
            <w:r w:rsidRPr="001814D2">
              <w:t>3,951</w:t>
            </w:r>
          </w:p>
        </w:tc>
        <w:tc>
          <w:tcPr>
            <w:tcW w:w="569" w:type="pct"/>
            <w:tcBorders>
              <w:top w:val="single" w:sz="4" w:space="0" w:color="auto"/>
              <w:bottom w:val="single" w:sz="4" w:space="0" w:color="auto"/>
            </w:tcBorders>
            <w:tcMar>
              <w:top w:w="0" w:type="dxa"/>
              <w:left w:w="0" w:type="dxa"/>
              <w:bottom w:w="0" w:type="dxa"/>
              <w:right w:w="0" w:type="dxa"/>
            </w:tcMar>
          </w:tcPr>
          <w:p w14:paraId="730C1EB4" w14:textId="77777777" w:rsidR="009103CC" w:rsidRPr="001814D2" w:rsidRDefault="009103CC" w:rsidP="002718DF">
            <w:pPr>
              <w:pStyle w:val="Tabletext"/>
              <w:jc w:val="right"/>
            </w:pPr>
            <w:r w:rsidRPr="001814D2">
              <w:t>1,738</w:t>
            </w:r>
          </w:p>
        </w:tc>
      </w:tr>
      <w:tr w:rsidR="009103CC" w:rsidRPr="001814D2" w14:paraId="37606491"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0BDEEEDE" w14:textId="77777777" w:rsidR="009103CC" w:rsidRPr="001814D2" w:rsidRDefault="009103CC" w:rsidP="002718DF">
            <w:pPr>
              <w:pStyle w:val="Tabletext"/>
              <w:rPr>
                <w:rFonts w:cs="Preston"/>
                <w:b/>
                <w:bCs/>
                <w:szCs w:val="18"/>
              </w:rPr>
            </w:pPr>
            <w:r w:rsidRPr="001814D2">
              <w:rPr>
                <w:rFonts w:cs="Preston"/>
                <w:b/>
                <w:bCs/>
                <w:szCs w:val="18"/>
              </w:rPr>
              <w:t>Total revenue and other income</w:t>
            </w:r>
          </w:p>
        </w:tc>
        <w:tc>
          <w:tcPr>
            <w:tcW w:w="377" w:type="pct"/>
            <w:tcBorders>
              <w:top w:val="single" w:sz="4" w:space="0" w:color="auto"/>
              <w:bottom w:val="single" w:sz="4" w:space="0" w:color="auto"/>
            </w:tcBorders>
            <w:tcMar>
              <w:top w:w="0" w:type="dxa"/>
              <w:left w:w="0" w:type="dxa"/>
              <w:bottom w:w="0" w:type="dxa"/>
              <w:right w:w="0" w:type="dxa"/>
            </w:tcMar>
          </w:tcPr>
          <w:p w14:paraId="027E83EF" w14:textId="77777777" w:rsidR="009103CC" w:rsidRPr="001814D2" w:rsidRDefault="009103CC" w:rsidP="002718DF">
            <w:pPr>
              <w:pStyle w:val="Tabletext"/>
              <w:rPr>
                <w:b/>
                <w:bCs/>
              </w:rPr>
            </w:pPr>
          </w:p>
        </w:tc>
        <w:tc>
          <w:tcPr>
            <w:tcW w:w="569" w:type="pct"/>
            <w:tcBorders>
              <w:top w:val="single" w:sz="4" w:space="0" w:color="auto"/>
              <w:bottom w:val="single" w:sz="4" w:space="0" w:color="auto"/>
            </w:tcBorders>
            <w:tcMar>
              <w:top w:w="0" w:type="dxa"/>
              <w:left w:w="0" w:type="dxa"/>
              <w:bottom w:w="0" w:type="dxa"/>
              <w:right w:w="0" w:type="dxa"/>
            </w:tcMar>
          </w:tcPr>
          <w:p w14:paraId="4A980DAA" w14:textId="77777777" w:rsidR="009103CC" w:rsidRPr="001814D2" w:rsidRDefault="009103CC" w:rsidP="002718DF">
            <w:pPr>
              <w:pStyle w:val="Tabletext"/>
              <w:jc w:val="right"/>
              <w:rPr>
                <w:rFonts w:cs="Preston"/>
                <w:b/>
                <w:bCs/>
                <w:szCs w:val="18"/>
              </w:rPr>
            </w:pPr>
            <w:r w:rsidRPr="001814D2">
              <w:rPr>
                <w:rFonts w:cs="Preston"/>
                <w:b/>
                <w:bCs/>
                <w:szCs w:val="18"/>
              </w:rPr>
              <w:t>206,446</w:t>
            </w:r>
          </w:p>
        </w:tc>
        <w:tc>
          <w:tcPr>
            <w:tcW w:w="569" w:type="pct"/>
            <w:tcBorders>
              <w:top w:val="single" w:sz="4" w:space="0" w:color="auto"/>
              <w:bottom w:val="single" w:sz="4" w:space="0" w:color="auto"/>
            </w:tcBorders>
            <w:tcMar>
              <w:top w:w="0" w:type="dxa"/>
              <w:left w:w="0" w:type="dxa"/>
              <w:bottom w:w="0" w:type="dxa"/>
              <w:right w:w="0" w:type="dxa"/>
            </w:tcMar>
          </w:tcPr>
          <w:p w14:paraId="4651022F" w14:textId="77777777" w:rsidR="009103CC" w:rsidRPr="001814D2" w:rsidRDefault="009103CC" w:rsidP="002718DF">
            <w:pPr>
              <w:pStyle w:val="Tabletext"/>
              <w:jc w:val="right"/>
              <w:rPr>
                <w:rFonts w:cs="Preston"/>
                <w:b/>
                <w:bCs/>
                <w:szCs w:val="18"/>
              </w:rPr>
            </w:pPr>
            <w:r w:rsidRPr="001814D2">
              <w:rPr>
                <w:rFonts w:cs="Preston"/>
                <w:b/>
                <w:bCs/>
                <w:szCs w:val="18"/>
              </w:rPr>
              <w:t>143,338</w:t>
            </w:r>
          </w:p>
        </w:tc>
        <w:tc>
          <w:tcPr>
            <w:tcW w:w="935" w:type="pct"/>
            <w:tcBorders>
              <w:top w:val="single" w:sz="4" w:space="0" w:color="auto"/>
              <w:bottom w:val="single" w:sz="4" w:space="0" w:color="auto"/>
            </w:tcBorders>
            <w:tcMar>
              <w:top w:w="0" w:type="dxa"/>
              <w:left w:w="0" w:type="dxa"/>
              <w:bottom w:w="0" w:type="dxa"/>
              <w:right w:w="0" w:type="dxa"/>
            </w:tcMar>
          </w:tcPr>
          <w:p w14:paraId="2CCDA43C" w14:textId="77777777" w:rsidR="009103CC" w:rsidRPr="001814D2" w:rsidRDefault="009103CC" w:rsidP="002718DF">
            <w:pPr>
              <w:pStyle w:val="Tabletext"/>
              <w:jc w:val="right"/>
              <w:rPr>
                <w:rFonts w:cs="Preston"/>
                <w:b/>
                <w:bCs/>
                <w:szCs w:val="18"/>
              </w:rPr>
            </w:pPr>
            <w:r w:rsidRPr="001814D2">
              <w:rPr>
                <w:rFonts w:cs="Preston"/>
                <w:b/>
                <w:bCs/>
                <w:szCs w:val="18"/>
              </w:rPr>
              <w:t>198,896</w:t>
            </w:r>
          </w:p>
        </w:tc>
        <w:tc>
          <w:tcPr>
            <w:tcW w:w="569" w:type="pct"/>
            <w:tcBorders>
              <w:top w:val="single" w:sz="4" w:space="0" w:color="auto"/>
              <w:bottom w:val="single" w:sz="4" w:space="0" w:color="auto"/>
            </w:tcBorders>
            <w:tcMar>
              <w:top w:w="0" w:type="dxa"/>
              <w:left w:w="0" w:type="dxa"/>
              <w:bottom w:w="0" w:type="dxa"/>
              <w:right w:w="0" w:type="dxa"/>
            </w:tcMar>
          </w:tcPr>
          <w:p w14:paraId="68225F7F" w14:textId="77777777" w:rsidR="009103CC" w:rsidRPr="001814D2" w:rsidRDefault="009103CC" w:rsidP="002718DF">
            <w:pPr>
              <w:pStyle w:val="Tabletext"/>
              <w:jc w:val="right"/>
              <w:rPr>
                <w:rFonts w:cs="Preston"/>
                <w:b/>
                <w:bCs/>
                <w:szCs w:val="18"/>
              </w:rPr>
            </w:pPr>
            <w:r w:rsidRPr="001814D2">
              <w:rPr>
                <w:rFonts w:cs="Preston"/>
                <w:b/>
                <w:bCs/>
                <w:szCs w:val="18"/>
              </w:rPr>
              <w:t>208,923</w:t>
            </w:r>
          </w:p>
        </w:tc>
        <w:tc>
          <w:tcPr>
            <w:tcW w:w="569" w:type="pct"/>
            <w:tcBorders>
              <w:top w:val="single" w:sz="4" w:space="0" w:color="auto"/>
              <w:bottom w:val="single" w:sz="4" w:space="0" w:color="auto"/>
            </w:tcBorders>
            <w:tcMar>
              <w:top w:w="0" w:type="dxa"/>
              <w:left w:w="0" w:type="dxa"/>
              <w:bottom w:w="0" w:type="dxa"/>
              <w:right w:w="0" w:type="dxa"/>
            </w:tcMar>
          </w:tcPr>
          <w:p w14:paraId="09B672D7" w14:textId="77777777" w:rsidR="009103CC" w:rsidRPr="001814D2" w:rsidRDefault="009103CC" w:rsidP="002718DF">
            <w:pPr>
              <w:pStyle w:val="Tabletext"/>
              <w:jc w:val="right"/>
              <w:rPr>
                <w:rFonts w:cs="Preston"/>
                <w:b/>
                <w:bCs/>
                <w:szCs w:val="18"/>
              </w:rPr>
            </w:pPr>
            <w:r w:rsidRPr="001814D2">
              <w:rPr>
                <w:rFonts w:cs="Preston"/>
                <w:b/>
                <w:bCs/>
                <w:szCs w:val="18"/>
              </w:rPr>
              <w:t>143,233</w:t>
            </w:r>
          </w:p>
        </w:tc>
      </w:tr>
      <w:tr w:rsidR="009103CC" w:rsidRPr="001814D2" w14:paraId="5E39B691" w14:textId="77777777" w:rsidTr="002718DF">
        <w:trPr>
          <w:cantSplit/>
          <w:trHeight w:val="170"/>
        </w:trPr>
        <w:tc>
          <w:tcPr>
            <w:tcW w:w="1412" w:type="pct"/>
            <w:tcBorders>
              <w:top w:val="single" w:sz="4" w:space="0" w:color="auto"/>
            </w:tcBorders>
            <w:tcMar>
              <w:top w:w="0" w:type="dxa"/>
              <w:left w:w="0" w:type="dxa"/>
              <w:bottom w:w="0" w:type="dxa"/>
              <w:right w:w="0" w:type="dxa"/>
            </w:tcMar>
          </w:tcPr>
          <w:p w14:paraId="07FEECF0" w14:textId="77777777" w:rsidR="009103CC" w:rsidRPr="001814D2" w:rsidRDefault="009103CC" w:rsidP="002718DF">
            <w:pPr>
              <w:pStyle w:val="Tabletext"/>
            </w:pPr>
          </w:p>
        </w:tc>
        <w:tc>
          <w:tcPr>
            <w:tcW w:w="377" w:type="pct"/>
            <w:tcBorders>
              <w:top w:val="single" w:sz="4" w:space="0" w:color="auto"/>
            </w:tcBorders>
            <w:tcMar>
              <w:top w:w="0" w:type="dxa"/>
              <w:left w:w="0" w:type="dxa"/>
              <w:bottom w:w="0" w:type="dxa"/>
              <w:right w:w="0" w:type="dxa"/>
            </w:tcMar>
          </w:tcPr>
          <w:p w14:paraId="59D479FE"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tcPr>
          <w:p w14:paraId="4758F810"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tcPr>
          <w:p w14:paraId="3B316224" w14:textId="77777777" w:rsidR="009103CC" w:rsidRPr="001814D2" w:rsidRDefault="009103CC" w:rsidP="002718DF">
            <w:pPr>
              <w:pStyle w:val="Tabletext"/>
            </w:pPr>
          </w:p>
        </w:tc>
        <w:tc>
          <w:tcPr>
            <w:tcW w:w="935" w:type="pct"/>
            <w:tcBorders>
              <w:top w:val="single" w:sz="4" w:space="0" w:color="auto"/>
            </w:tcBorders>
            <w:tcMar>
              <w:top w:w="0" w:type="dxa"/>
              <w:left w:w="0" w:type="dxa"/>
              <w:bottom w:w="0" w:type="dxa"/>
              <w:right w:w="0" w:type="dxa"/>
            </w:tcMar>
          </w:tcPr>
          <w:p w14:paraId="708EE13B"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tcPr>
          <w:p w14:paraId="346392B0"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tcPr>
          <w:p w14:paraId="6AFF4652" w14:textId="77777777" w:rsidR="009103CC" w:rsidRPr="001814D2" w:rsidRDefault="009103CC" w:rsidP="002718DF">
            <w:pPr>
              <w:pStyle w:val="Tabletext"/>
            </w:pPr>
          </w:p>
        </w:tc>
      </w:tr>
      <w:tr w:rsidR="009103CC" w:rsidRPr="001814D2" w14:paraId="7B44AD61" w14:textId="77777777" w:rsidTr="002718DF">
        <w:trPr>
          <w:cantSplit/>
          <w:trHeight w:val="170"/>
        </w:trPr>
        <w:tc>
          <w:tcPr>
            <w:tcW w:w="5000" w:type="pct"/>
            <w:gridSpan w:val="7"/>
            <w:tcBorders>
              <w:bottom w:val="single" w:sz="4" w:space="0" w:color="auto"/>
            </w:tcBorders>
            <w:tcMar>
              <w:top w:w="0" w:type="dxa"/>
              <w:left w:w="0" w:type="dxa"/>
              <w:bottom w:w="0" w:type="dxa"/>
              <w:right w:w="0" w:type="dxa"/>
            </w:tcMar>
          </w:tcPr>
          <w:p w14:paraId="671DBF67" w14:textId="77777777" w:rsidR="009103CC" w:rsidRPr="001814D2" w:rsidRDefault="009103CC" w:rsidP="002718DF">
            <w:pPr>
              <w:pStyle w:val="Tabletext"/>
              <w:rPr>
                <w:rFonts w:cs="Preston"/>
                <w:b/>
                <w:bCs/>
                <w:szCs w:val="18"/>
              </w:rPr>
            </w:pPr>
            <w:r w:rsidRPr="001814D2">
              <w:rPr>
                <w:rFonts w:cs="Preston"/>
                <w:b/>
                <w:bCs/>
                <w:szCs w:val="18"/>
              </w:rPr>
              <w:t>Expenditure</w:t>
            </w:r>
          </w:p>
        </w:tc>
      </w:tr>
      <w:tr w:rsidR="009103CC" w:rsidRPr="001814D2" w14:paraId="2F0B180F"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14BC4FB6" w14:textId="77777777" w:rsidR="009103CC" w:rsidRPr="001814D2" w:rsidRDefault="009103CC" w:rsidP="002718DF">
            <w:pPr>
              <w:pStyle w:val="Tabletext"/>
            </w:pPr>
            <w:r w:rsidRPr="001814D2">
              <w:t>Personnel services</w:t>
            </w:r>
          </w:p>
        </w:tc>
        <w:tc>
          <w:tcPr>
            <w:tcW w:w="377" w:type="pct"/>
            <w:tcBorders>
              <w:top w:val="single" w:sz="4" w:space="0" w:color="auto"/>
              <w:bottom w:val="single" w:sz="4" w:space="0" w:color="auto"/>
            </w:tcBorders>
            <w:tcMar>
              <w:top w:w="0" w:type="dxa"/>
              <w:left w:w="0" w:type="dxa"/>
              <w:bottom w:w="0" w:type="dxa"/>
              <w:right w:w="0" w:type="dxa"/>
            </w:tcMar>
          </w:tcPr>
          <w:p w14:paraId="174ABB22" w14:textId="77777777" w:rsidR="009103CC" w:rsidRPr="001814D2" w:rsidRDefault="009103CC" w:rsidP="002718DF">
            <w:pPr>
              <w:pStyle w:val="Tabletext"/>
            </w:pPr>
            <w:r w:rsidRPr="001814D2">
              <w:t>3 (a)</w:t>
            </w:r>
          </w:p>
        </w:tc>
        <w:tc>
          <w:tcPr>
            <w:tcW w:w="569" w:type="pct"/>
            <w:tcBorders>
              <w:top w:val="single" w:sz="4" w:space="0" w:color="auto"/>
              <w:bottom w:val="single" w:sz="4" w:space="0" w:color="auto"/>
            </w:tcBorders>
            <w:tcMar>
              <w:top w:w="0" w:type="dxa"/>
              <w:left w:w="0" w:type="dxa"/>
              <w:bottom w:w="0" w:type="dxa"/>
              <w:right w:w="0" w:type="dxa"/>
            </w:tcMar>
          </w:tcPr>
          <w:p w14:paraId="28F9BBCE" w14:textId="77777777" w:rsidR="009103CC" w:rsidRPr="001814D2" w:rsidRDefault="009103CC" w:rsidP="002718DF">
            <w:pPr>
              <w:pStyle w:val="Tabletext"/>
              <w:jc w:val="right"/>
            </w:pPr>
            <w:r w:rsidRPr="001814D2">
              <w:t>-</w:t>
            </w:r>
          </w:p>
        </w:tc>
        <w:tc>
          <w:tcPr>
            <w:tcW w:w="569" w:type="pct"/>
            <w:tcBorders>
              <w:top w:val="single" w:sz="4" w:space="0" w:color="auto"/>
              <w:bottom w:val="single" w:sz="4" w:space="0" w:color="auto"/>
            </w:tcBorders>
            <w:tcMar>
              <w:top w:w="0" w:type="dxa"/>
              <w:left w:w="0" w:type="dxa"/>
              <w:bottom w:w="0" w:type="dxa"/>
              <w:right w:w="0" w:type="dxa"/>
            </w:tcMar>
          </w:tcPr>
          <w:p w14:paraId="0FA68702" w14:textId="77777777" w:rsidR="009103CC" w:rsidRPr="001814D2" w:rsidRDefault="009103CC" w:rsidP="002718DF">
            <w:pPr>
              <w:pStyle w:val="Tabletext"/>
              <w:jc w:val="right"/>
            </w:pPr>
            <w:r w:rsidRPr="001814D2">
              <w:t>-</w:t>
            </w:r>
          </w:p>
        </w:tc>
        <w:tc>
          <w:tcPr>
            <w:tcW w:w="935" w:type="pct"/>
            <w:tcBorders>
              <w:top w:val="single" w:sz="4" w:space="0" w:color="auto"/>
              <w:bottom w:val="single" w:sz="4" w:space="0" w:color="auto"/>
            </w:tcBorders>
            <w:tcMar>
              <w:top w:w="0" w:type="dxa"/>
              <w:left w:w="0" w:type="dxa"/>
              <w:bottom w:w="0" w:type="dxa"/>
              <w:right w:w="0" w:type="dxa"/>
            </w:tcMar>
          </w:tcPr>
          <w:p w14:paraId="029621E9" w14:textId="77777777" w:rsidR="009103CC" w:rsidRPr="001814D2" w:rsidRDefault="009103CC" w:rsidP="002718DF">
            <w:pPr>
              <w:pStyle w:val="Tabletext"/>
              <w:jc w:val="right"/>
            </w:pPr>
            <w:r w:rsidRPr="001814D2">
              <w:t>-</w:t>
            </w:r>
          </w:p>
        </w:tc>
        <w:tc>
          <w:tcPr>
            <w:tcW w:w="569" w:type="pct"/>
            <w:tcBorders>
              <w:top w:val="single" w:sz="4" w:space="0" w:color="auto"/>
              <w:bottom w:val="single" w:sz="4" w:space="0" w:color="auto"/>
            </w:tcBorders>
            <w:tcMar>
              <w:top w:w="0" w:type="dxa"/>
              <w:left w:w="0" w:type="dxa"/>
              <w:bottom w:w="0" w:type="dxa"/>
              <w:right w:w="0" w:type="dxa"/>
            </w:tcMar>
          </w:tcPr>
          <w:p w14:paraId="549F9460" w14:textId="77777777" w:rsidR="009103CC" w:rsidRPr="001814D2" w:rsidRDefault="009103CC" w:rsidP="002718DF">
            <w:pPr>
              <w:pStyle w:val="Tabletext"/>
              <w:jc w:val="right"/>
            </w:pPr>
            <w:r w:rsidRPr="001814D2">
              <w:t>29,785</w:t>
            </w:r>
          </w:p>
        </w:tc>
        <w:tc>
          <w:tcPr>
            <w:tcW w:w="569" w:type="pct"/>
            <w:tcBorders>
              <w:top w:val="single" w:sz="4" w:space="0" w:color="auto"/>
              <w:bottom w:val="single" w:sz="4" w:space="0" w:color="auto"/>
            </w:tcBorders>
            <w:tcMar>
              <w:top w:w="0" w:type="dxa"/>
              <w:left w:w="0" w:type="dxa"/>
              <w:bottom w:w="0" w:type="dxa"/>
              <w:right w:w="0" w:type="dxa"/>
            </w:tcMar>
          </w:tcPr>
          <w:p w14:paraId="090C1194" w14:textId="77777777" w:rsidR="009103CC" w:rsidRPr="001814D2" w:rsidRDefault="009103CC" w:rsidP="002718DF">
            <w:pPr>
              <w:pStyle w:val="Tabletext"/>
              <w:jc w:val="right"/>
            </w:pPr>
            <w:r w:rsidRPr="001814D2">
              <w:t>33,931</w:t>
            </w:r>
          </w:p>
        </w:tc>
      </w:tr>
      <w:tr w:rsidR="009103CC" w:rsidRPr="001814D2" w14:paraId="451AAC6F"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57A6C141" w14:textId="77777777" w:rsidR="009103CC" w:rsidRPr="001814D2" w:rsidRDefault="009103CC" w:rsidP="002718DF">
            <w:pPr>
              <w:pStyle w:val="Tabletext"/>
            </w:pPr>
            <w:r w:rsidRPr="001814D2">
              <w:t>Employee related expenses</w:t>
            </w:r>
          </w:p>
        </w:tc>
        <w:tc>
          <w:tcPr>
            <w:tcW w:w="377" w:type="pct"/>
            <w:tcBorders>
              <w:top w:val="single" w:sz="4" w:space="0" w:color="auto"/>
              <w:bottom w:val="single" w:sz="4" w:space="0" w:color="auto"/>
            </w:tcBorders>
            <w:tcMar>
              <w:top w:w="0" w:type="dxa"/>
              <w:left w:w="0" w:type="dxa"/>
              <w:bottom w:w="0" w:type="dxa"/>
              <w:right w:w="0" w:type="dxa"/>
            </w:tcMar>
          </w:tcPr>
          <w:p w14:paraId="3350B13B" w14:textId="77777777" w:rsidR="009103CC" w:rsidRPr="001814D2" w:rsidRDefault="009103CC" w:rsidP="002718DF">
            <w:pPr>
              <w:pStyle w:val="Tabletext"/>
            </w:pPr>
            <w:r w:rsidRPr="001814D2">
              <w:t>3 (b)</w:t>
            </w:r>
          </w:p>
        </w:tc>
        <w:tc>
          <w:tcPr>
            <w:tcW w:w="569" w:type="pct"/>
            <w:tcBorders>
              <w:top w:val="single" w:sz="4" w:space="0" w:color="auto"/>
              <w:bottom w:val="single" w:sz="4" w:space="0" w:color="auto"/>
            </w:tcBorders>
            <w:tcMar>
              <w:top w:w="0" w:type="dxa"/>
              <w:left w:w="0" w:type="dxa"/>
              <w:bottom w:w="0" w:type="dxa"/>
              <w:right w:w="0" w:type="dxa"/>
            </w:tcMar>
          </w:tcPr>
          <w:p w14:paraId="39ABFD60" w14:textId="77777777" w:rsidR="009103CC" w:rsidRPr="001814D2" w:rsidRDefault="009103CC" w:rsidP="002718DF">
            <w:pPr>
              <w:pStyle w:val="Tabletext"/>
              <w:jc w:val="right"/>
            </w:pPr>
            <w:r w:rsidRPr="001814D2">
              <w:t>27,057</w:t>
            </w:r>
          </w:p>
        </w:tc>
        <w:tc>
          <w:tcPr>
            <w:tcW w:w="569" w:type="pct"/>
            <w:tcBorders>
              <w:top w:val="single" w:sz="4" w:space="0" w:color="auto"/>
              <w:bottom w:val="single" w:sz="4" w:space="0" w:color="auto"/>
            </w:tcBorders>
            <w:tcMar>
              <w:top w:w="0" w:type="dxa"/>
              <w:left w:w="0" w:type="dxa"/>
              <w:bottom w:w="0" w:type="dxa"/>
              <w:right w:w="0" w:type="dxa"/>
            </w:tcMar>
          </w:tcPr>
          <w:p w14:paraId="162416A8" w14:textId="77777777" w:rsidR="009103CC" w:rsidRPr="001814D2" w:rsidRDefault="009103CC" w:rsidP="002718DF">
            <w:pPr>
              <w:pStyle w:val="Tabletext"/>
              <w:jc w:val="right"/>
            </w:pPr>
            <w:r w:rsidRPr="001814D2">
              <w:t>33,931</w:t>
            </w:r>
          </w:p>
        </w:tc>
        <w:tc>
          <w:tcPr>
            <w:tcW w:w="935" w:type="pct"/>
            <w:tcBorders>
              <w:top w:val="single" w:sz="4" w:space="0" w:color="auto"/>
              <w:bottom w:val="single" w:sz="4" w:space="0" w:color="auto"/>
            </w:tcBorders>
            <w:tcMar>
              <w:top w:w="0" w:type="dxa"/>
              <w:left w:w="0" w:type="dxa"/>
              <w:bottom w:w="0" w:type="dxa"/>
              <w:right w:w="0" w:type="dxa"/>
            </w:tcMar>
          </w:tcPr>
          <w:p w14:paraId="0185E927" w14:textId="77777777" w:rsidR="009103CC" w:rsidRPr="001814D2" w:rsidRDefault="009103CC" w:rsidP="002718DF">
            <w:pPr>
              <w:pStyle w:val="Tabletext"/>
              <w:jc w:val="right"/>
            </w:pPr>
            <w:r w:rsidRPr="001814D2">
              <w:t>26,279</w:t>
            </w:r>
          </w:p>
        </w:tc>
        <w:tc>
          <w:tcPr>
            <w:tcW w:w="569" w:type="pct"/>
            <w:tcBorders>
              <w:top w:val="single" w:sz="4" w:space="0" w:color="auto"/>
              <w:bottom w:val="single" w:sz="4" w:space="0" w:color="auto"/>
            </w:tcBorders>
            <w:tcMar>
              <w:top w:w="0" w:type="dxa"/>
              <w:left w:w="0" w:type="dxa"/>
              <w:bottom w:w="0" w:type="dxa"/>
              <w:right w:w="0" w:type="dxa"/>
            </w:tcMar>
          </w:tcPr>
          <w:p w14:paraId="094E208A" w14:textId="77777777" w:rsidR="009103CC" w:rsidRPr="001814D2" w:rsidRDefault="009103CC" w:rsidP="002718DF">
            <w:pPr>
              <w:pStyle w:val="Tabletext"/>
              <w:jc w:val="right"/>
            </w:pPr>
            <w:r w:rsidRPr="001814D2">
              <w:t>-</w:t>
            </w:r>
          </w:p>
        </w:tc>
        <w:tc>
          <w:tcPr>
            <w:tcW w:w="569" w:type="pct"/>
            <w:tcBorders>
              <w:top w:val="single" w:sz="4" w:space="0" w:color="auto"/>
              <w:bottom w:val="single" w:sz="4" w:space="0" w:color="auto"/>
            </w:tcBorders>
            <w:tcMar>
              <w:top w:w="0" w:type="dxa"/>
              <w:left w:w="0" w:type="dxa"/>
              <w:bottom w:w="0" w:type="dxa"/>
              <w:right w:w="0" w:type="dxa"/>
            </w:tcMar>
          </w:tcPr>
          <w:p w14:paraId="1542F76C" w14:textId="77777777" w:rsidR="009103CC" w:rsidRPr="001814D2" w:rsidRDefault="009103CC" w:rsidP="002718DF">
            <w:pPr>
              <w:pStyle w:val="Tabletext"/>
              <w:jc w:val="right"/>
            </w:pPr>
            <w:r w:rsidRPr="001814D2">
              <w:t>-</w:t>
            </w:r>
          </w:p>
        </w:tc>
      </w:tr>
      <w:tr w:rsidR="009103CC" w:rsidRPr="001814D2" w14:paraId="27F84750"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2B55F761" w14:textId="77777777" w:rsidR="009103CC" w:rsidRPr="001814D2" w:rsidRDefault="009103CC" w:rsidP="002718DF">
            <w:pPr>
              <w:pStyle w:val="Tabletext"/>
            </w:pPr>
            <w:r w:rsidRPr="001814D2">
              <w:t>Other operating expenses</w:t>
            </w:r>
          </w:p>
        </w:tc>
        <w:tc>
          <w:tcPr>
            <w:tcW w:w="377" w:type="pct"/>
            <w:tcBorders>
              <w:top w:val="single" w:sz="4" w:space="0" w:color="auto"/>
              <w:bottom w:val="single" w:sz="4" w:space="0" w:color="auto"/>
            </w:tcBorders>
            <w:tcMar>
              <w:top w:w="0" w:type="dxa"/>
              <w:left w:w="0" w:type="dxa"/>
              <w:bottom w:w="0" w:type="dxa"/>
              <w:right w:w="0" w:type="dxa"/>
            </w:tcMar>
          </w:tcPr>
          <w:p w14:paraId="1C000654" w14:textId="77777777" w:rsidR="009103CC" w:rsidRPr="001814D2" w:rsidRDefault="009103CC" w:rsidP="002718DF">
            <w:pPr>
              <w:pStyle w:val="Tabletext"/>
            </w:pPr>
            <w:r w:rsidRPr="001814D2">
              <w:t>3 (c)</w:t>
            </w:r>
          </w:p>
        </w:tc>
        <w:tc>
          <w:tcPr>
            <w:tcW w:w="569" w:type="pct"/>
            <w:tcBorders>
              <w:top w:val="single" w:sz="4" w:space="0" w:color="auto"/>
              <w:bottom w:val="single" w:sz="4" w:space="0" w:color="auto"/>
            </w:tcBorders>
            <w:tcMar>
              <w:top w:w="0" w:type="dxa"/>
              <w:left w:w="0" w:type="dxa"/>
              <w:bottom w:w="0" w:type="dxa"/>
              <w:right w:w="0" w:type="dxa"/>
            </w:tcMar>
          </w:tcPr>
          <w:p w14:paraId="47FF7FEF" w14:textId="77777777" w:rsidR="009103CC" w:rsidRPr="001814D2" w:rsidRDefault="009103CC" w:rsidP="002718DF">
            <w:pPr>
              <w:pStyle w:val="Tabletext"/>
              <w:jc w:val="right"/>
            </w:pPr>
            <w:r w:rsidRPr="001814D2">
              <w:t>20,907</w:t>
            </w:r>
          </w:p>
        </w:tc>
        <w:tc>
          <w:tcPr>
            <w:tcW w:w="569" w:type="pct"/>
            <w:tcBorders>
              <w:top w:val="single" w:sz="4" w:space="0" w:color="auto"/>
              <w:bottom w:val="single" w:sz="4" w:space="0" w:color="auto"/>
            </w:tcBorders>
            <w:tcMar>
              <w:top w:w="0" w:type="dxa"/>
              <w:left w:w="0" w:type="dxa"/>
              <w:bottom w:w="0" w:type="dxa"/>
              <w:right w:w="0" w:type="dxa"/>
            </w:tcMar>
          </w:tcPr>
          <w:p w14:paraId="2FDBCF3D" w14:textId="77777777" w:rsidR="009103CC" w:rsidRPr="001814D2" w:rsidRDefault="009103CC" w:rsidP="002718DF">
            <w:pPr>
              <w:pStyle w:val="Tabletext"/>
              <w:jc w:val="right"/>
            </w:pPr>
            <w:r w:rsidRPr="001814D2">
              <w:t>24,578</w:t>
            </w:r>
          </w:p>
        </w:tc>
        <w:tc>
          <w:tcPr>
            <w:tcW w:w="935" w:type="pct"/>
            <w:tcBorders>
              <w:top w:val="single" w:sz="4" w:space="0" w:color="auto"/>
              <w:bottom w:val="single" w:sz="4" w:space="0" w:color="auto"/>
            </w:tcBorders>
            <w:tcMar>
              <w:top w:w="0" w:type="dxa"/>
              <w:left w:w="0" w:type="dxa"/>
              <w:bottom w:w="0" w:type="dxa"/>
              <w:right w:w="0" w:type="dxa"/>
            </w:tcMar>
          </w:tcPr>
          <w:p w14:paraId="1EAA21B7" w14:textId="77777777" w:rsidR="009103CC" w:rsidRPr="001814D2" w:rsidRDefault="009103CC" w:rsidP="002718DF">
            <w:pPr>
              <w:pStyle w:val="Tabletext"/>
              <w:jc w:val="right"/>
            </w:pPr>
            <w:r w:rsidRPr="001814D2">
              <w:t>24,409</w:t>
            </w:r>
          </w:p>
        </w:tc>
        <w:tc>
          <w:tcPr>
            <w:tcW w:w="569" w:type="pct"/>
            <w:tcBorders>
              <w:top w:val="single" w:sz="4" w:space="0" w:color="auto"/>
              <w:bottom w:val="single" w:sz="4" w:space="0" w:color="auto"/>
            </w:tcBorders>
            <w:tcMar>
              <w:top w:w="0" w:type="dxa"/>
              <w:left w:w="0" w:type="dxa"/>
              <w:bottom w:w="0" w:type="dxa"/>
              <w:right w:w="0" w:type="dxa"/>
            </w:tcMar>
          </w:tcPr>
          <w:p w14:paraId="7FDC390D" w14:textId="77777777" w:rsidR="009103CC" w:rsidRPr="001814D2" w:rsidRDefault="009103CC" w:rsidP="002718DF">
            <w:pPr>
              <w:pStyle w:val="Tabletext"/>
              <w:jc w:val="right"/>
            </w:pPr>
            <w:r w:rsidRPr="001814D2">
              <w:t>20,704</w:t>
            </w:r>
          </w:p>
        </w:tc>
        <w:tc>
          <w:tcPr>
            <w:tcW w:w="569" w:type="pct"/>
            <w:tcBorders>
              <w:top w:val="single" w:sz="4" w:space="0" w:color="auto"/>
              <w:bottom w:val="single" w:sz="4" w:space="0" w:color="auto"/>
            </w:tcBorders>
            <w:tcMar>
              <w:top w:w="0" w:type="dxa"/>
              <w:left w:w="0" w:type="dxa"/>
              <w:bottom w:w="0" w:type="dxa"/>
              <w:right w:w="0" w:type="dxa"/>
            </w:tcMar>
          </w:tcPr>
          <w:p w14:paraId="3E85A42E" w14:textId="77777777" w:rsidR="009103CC" w:rsidRPr="001814D2" w:rsidRDefault="009103CC" w:rsidP="002718DF">
            <w:pPr>
              <w:pStyle w:val="Tabletext"/>
              <w:jc w:val="right"/>
            </w:pPr>
            <w:r w:rsidRPr="001814D2">
              <w:t>24,277</w:t>
            </w:r>
          </w:p>
        </w:tc>
      </w:tr>
      <w:tr w:rsidR="009103CC" w:rsidRPr="001814D2" w14:paraId="5EDA4468"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7AD4904A" w14:textId="77777777" w:rsidR="009103CC" w:rsidRPr="001814D2" w:rsidRDefault="009103CC" w:rsidP="002718DF">
            <w:pPr>
              <w:pStyle w:val="Tabletext"/>
            </w:pPr>
            <w:r w:rsidRPr="001814D2">
              <w:t>Depreciation and amortisation</w:t>
            </w:r>
          </w:p>
        </w:tc>
        <w:tc>
          <w:tcPr>
            <w:tcW w:w="377" w:type="pct"/>
            <w:tcBorders>
              <w:top w:val="single" w:sz="4" w:space="0" w:color="auto"/>
              <w:bottom w:val="single" w:sz="4" w:space="0" w:color="auto"/>
            </w:tcBorders>
            <w:tcMar>
              <w:top w:w="0" w:type="dxa"/>
              <w:left w:w="0" w:type="dxa"/>
              <w:bottom w:w="0" w:type="dxa"/>
              <w:right w:w="0" w:type="dxa"/>
            </w:tcMar>
          </w:tcPr>
          <w:p w14:paraId="47B06AFB" w14:textId="77777777" w:rsidR="009103CC" w:rsidRPr="001814D2" w:rsidRDefault="009103CC" w:rsidP="002718DF">
            <w:pPr>
              <w:pStyle w:val="Tabletext"/>
            </w:pPr>
            <w:r w:rsidRPr="001814D2">
              <w:t>3 (d)</w:t>
            </w:r>
          </w:p>
        </w:tc>
        <w:tc>
          <w:tcPr>
            <w:tcW w:w="569" w:type="pct"/>
            <w:tcBorders>
              <w:top w:val="single" w:sz="4" w:space="0" w:color="auto"/>
              <w:bottom w:val="single" w:sz="4" w:space="0" w:color="auto"/>
            </w:tcBorders>
            <w:tcMar>
              <w:top w:w="0" w:type="dxa"/>
              <w:left w:w="0" w:type="dxa"/>
              <w:bottom w:w="0" w:type="dxa"/>
              <w:right w:w="0" w:type="dxa"/>
            </w:tcMar>
          </w:tcPr>
          <w:p w14:paraId="56050203" w14:textId="77777777" w:rsidR="009103CC" w:rsidRPr="001814D2" w:rsidRDefault="009103CC" w:rsidP="002718DF">
            <w:pPr>
              <w:pStyle w:val="Tabletext"/>
              <w:jc w:val="right"/>
            </w:pPr>
            <w:r w:rsidRPr="001814D2">
              <w:t>3,521</w:t>
            </w:r>
          </w:p>
        </w:tc>
        <w:tc>
          <w:tcPr>
            <w:tcW w:w="569" w:type="pct"/>
            <w:tcBorders>
              <w:top w:val="single" w:sz="4" w:space="0" w:color="auto"/>
              <w:bottom w:val="single" w:sz="4" w:space="0" w:color="auto"/>
            </w:tcBorders>
            <w:tcMar>
              <w:top w:w="0" w:type="dxa"/>
              <w:left w:w="0" w:type="dxa"/>
              <w:bottom w:w="0" w:type="dxa"/>
              <w:right w:w="0" w:type="dxa"/>
            </w:tcMar>
          </w:tcPr>
          <w:p w14:paraId="192B1D56" w14:textId="77777777" w:rsidR="009103CC" w:rsidRPr="001814D2" w:rsidRDefault="009103CC" w:rsidP="002718DF">
            <w:pPr>
              <w:pStyle w:val="Tabletext"/>
              <w:jc w:val="right"/>
            </w:pPr>
            <w:r w:rsidRPr="001814D2">
              <w:t>4,586</w:t>
            </w:r>
          </w:p>
        </w:tc>
        <w:tc>
          <w:tcPr>
            <w:tcW w:w="935" w:type="pct"/>
            <w:tcBorders>
              <w:top w:val="single" w:sz="4" w:space="0" w:color="auto"/>
              <w:bottom w:val="single" w:sz="4" w:space="0" w:color="auto"/>
            </w:tcBorders>
            <w:tcMar>
              <w:top w:w="0" w:type="dxa"/>
              <w:left w:w="0" w:type="dxa"/>
              <w:bottom w:w="0" w:type="dxa"/>
              <w:right w:w="0" w:type="dxa"/>
            </w:tcMar>
          </w:tcPr>
          <w:p w14:paraId="26112377" w14:textId="77777777" w:rsidR="009103CC" w:rsidRPr="001814D2" w:rsidRDefault="009103CC" w:rsidP="002718DF">
            <w:pPr>
              <w:pStyle w:val="Tabletext"/>
              <w:jc w:val="right"/>
            </w:pPr>
            <w:r w:rsidRPr="001814D2">
              <w:t>3,136</w:t>
            </w:r>
          </w:p>
        </w:tc>
        <w:tc>
          <w:tcPr>
            <w:tcW w:w="569" w:type="pct"/>
            <w:tcBorders>
              <w:top w:val="single" w:sz="4" w:space="0" w:color="auto"/>
              <w:bottom w:val="single" w:sz="4" w:space="0" w:color="auto"/>
            </w:tcBorders>
            <w:tcMar>
              <w:top w:w="0" w:type="dxa"/>
              <w:left w:w="0" w:type="dxa"/>
              <w:bottom w:w="0" w:type="dxa"/>
              <w:right w:w="0" w:type="dxa"/>
            </w:tcMar>
          </w:tcPr>
          <w:p w14:paraId="7A8A610C" w14:textId="77777777" w:rsidR="009103CC" w:rsidRPr="001814D2" w:rsidRDefault="009103CC" w:rsidP="002718DF">
            <w:pPr>
              <w:pStyle w:val="Tabletext"/>
              <w:jc w:val="right"/>
            </w:pPr>
            <w:r w:rsidRPr="001814D2">
              <w:t>3,521</w:t>
            </w:r>
          </w:p>
        </w:tc>
        <w:tc>
          <w:tcPr>
            <w:tcW w:w="569" w:type="pct"/>
            <w:tcBorders>
              <w:top w:val="single" w:sz="4" w:space="0" w:color="auto"/>
              <w:bottom w:val="single" w:sz="4" w:space="0" w:color="auto"/>
            </w:tcBorders>
            <w:tcMar>
              <w:top w:w="0" w:type="dxa"/>
              <w:left w:w="0" w:type="dxa"/>
              <w:bottom w:w="0" w:type="dxa"/>
              <w:right w:w="0" w:type="dxa"/>
            </w:tcMar>
          </w:tcPr>
          <w:p w14:paraId="29B9FAE1" w14:textId="77777777" w:rsidR="009103CC" w:rsidRPr="001814D2" w:rsidRDefault="009103CC" w:rsidP="002718DF">
            <w:pPr>
              <w:pStyle w:val="Tabletext"/>
              <w:jc w:val="right"/>
            </w:pPr>
            <w:r w:rsidRPr="001814D2">
              <w:t>4,582</w:t>
            </w:r>
          </w:p>
        </w:tc>
      </w:tr>
      <w:tr w:rsidR="009103CC" w:rsidRPr="001814D2" w14:paraId="154D1B84"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767F2C3C" w14:textId="77777777" w:rsidR="009103CC" w:rsidRPr="001814D2" w:rsidRDefault="009103CC" w:rsidP="002718DF">
            <w:pPr>
              <w:pStyle w:val="Tabletext"/>
              <w:rPr>
                <w:rFonts w:cs="Preston"/>
                <w:b/>
                <w:bCs/>
                <w:szCs w:val="18"/>
              </w:rPr>
            </w:pPr>
            <w:r w:rsidRPr="001814D2">
              <w:rPr>
                <w:rFonts w:cs="Preston"/>
                <w:b/>
                <w:bCs/>
                <w:szCs w:val="18"/>
              </w:rPr>
              <w:t>Total expenses</w:t>
            </w:r>
          </w:p>
        </w:tc>
        <w:tc>
          <w:tcPr>
            <w:tcW w:w="377" w:type="pct"/>
            <w:tcBorders>
              <w:top w:val="single" w:sz="4" w:space="0" w:color="auto"/>
              <w:bottom w:val="single" w:sz="4" w:space="0" w:color="auto"/>
            </w:tcBorders>
            <w:tcMar>
              <w:top w:w="0" w:type="dxa"/>
              <w:left w:w="0" w:type="dxa"/>
              <w:bottom w:w="0" w:type="dxa"/>
              <w:right w:w="0" w:type="dxa"/>
            </w:tcMar>
          </w:tcPr>
          <w:p w14:paraId="07D0ED91" w14:textId="77777777" w:rsidR="009103CC" w:rsidRPr="001814D2" w:rsidRDefault="009103CC" w:rsidP="002718DF">
            <w:pPr>
              <w:pStyle w:val="Tabletext"/>
              <w:rPr>
                <w:b/>
                <w:bCs/>
              </w:rPr>
            </w:pPr>
          </w:p>
        </w:tc>
        <w:tc>
          <w:tcPr>
            <w:tcW w:w="569" w:type="pct"/>
            <w:tcBorders>
              <w:top w:val="single" w:sz="4" w:space="0" w:color="auto"/>
              <w:bottom w:val="single" w:sz="4" w:space="0" w:color="auto"/>
            </w:tcBorders>
            <w:tcMar>
              <w:top w:w="0" w:type="dxa"/>
              <w:left w:w="0" w:type="dxa"/>
              <w:bottom w:w="0" w:type="dxa"/>
              <w:right w:w="0" w:type="dxa"/>
            </w:tcMar>
          </w:tcPr>
          <w:p w14:paraId="75367936" w14:textId="77777777" w:rsidR="009103CC" w:rsidRPr="001814D2" w:rsidRDefault="009103CC" w:rsidP="002718DF">
            <w:pPr>
              <w:pStyle w:val="Tabletext"/>
              <w:jc w:val="right"/>
              <w:rPr>
                <w:rFonts w:cs="Preston"/>
                <w:b/>
                <w:bCs/>
                <w:szCs w:val="18"/>
              </w:rPr>
            </w:pPr>
            <w:r w:rsidRPr="001814D2">
              <w:rPr>
                <w:rFonts w:cs="Preston"/>
                <w:b/>
                <w:bCs/>
                <w:szCs w:val="18"/>
              </w:rPr>
              <w:t>51,485</w:t>
            </w:r>
          </w:p>
        </w:tc>
        <w:tc>
          <w:tcPr>
            <w:tcW w:w="569" w:type="pct"/>
            <w:tcBorders>
              <w:top w:val="single" w:sz="4" w:space="0" w:color="auto"/>
              <w:bottom w:val="single" w:sz="4" w:space="0" w:color="auto"/>
            </w:tcBorders>
            <w:tcMar>
              <w:top w:w="0" w:type="dxa"/>
              <w:left w:w="0" w:type="dxa"/>
              <w:bottom w:w="0" w:type="dxa"/>
              <w:right w:w="0" w:type="dxa"/>
            </w:tcMar>
          </w:tcPr>
          <w:p w14:paraId="45D50CE5" w14:textId="77777777" w:rsidR="009103CC" w:rsidRPr="001814D2" w:rsidRDefault="009103CC" w:rsidP="002718DF">
            <w:pPr>
              <w:pStyle w:val="Tabletext"/>
              <w:jc w:val="right"/>
              <w:rPr>
                <w:rFonts w:cs="Preston"/>
                <w:b/>
                <w:bCs/>
                <w:szCs w:val="18"/>
              </w:rPr>
            </w:pPr>
            <w:r w:rsidRPr="001814D2">
              <w:rPr>
                <w:rFonts w:cs="Preston"/>
                <w:b/>
                <w:bCs/>
                <w:szCs w:val="18"/>
              </w:rPr>
              <w:t>63,095</w:t>
            </w:r>
          </w:p>
        </w:tc>
        <w:tc>
          <w:tcPr>
            <w:tcW w:w="935" w:type="pct"/>
            <w:tcBorders>
              <w:top w:val="single" w:sz="4" w:space="0" w:color="auto"/>
              <w:bottom w:val="single" w:sz="4" w:space="0" w:color="auto"/>
            </w:tcBorders>
            <w:tcMar>
              <w:top w:w="0" w:type="dxa"/>
              <w:left w:w="0" w:type="dxa"/>
              <w:bottom w:w="0" w:type="dxa"/>
              <w:right w:w="0" w:type="dxa"/>
            </w:tcMar>
          </w:tcPr>
          <w:p w14:paraId="195C85D6" w14:textId="77777777" w:rsidR="009103CC" w:rsidRPr="001814D2" w:rsidRDefault="009103CC" w:rsidP="002718DF">
            <w:pPr>
              <w:pStyle w:val="Tabletext"/>
              <w:jc w:val="right"/>
              <w:rPr>
                <w:rFonts w:cs="Preston"/>
                <w:b/>
                <w:bCs/>
                <w:szCs w:val="18"/>
              </w:rPr>
            </w:pPr>
            <w:r w:rsidRPr="001814D2">
              <w:rPr>
                <w:rFonts w:cs="Preston"/>
                <w:b/>
                <w:bCs/>
                <w:szCs w:val="18"/>
              </w:rPr>
              <w:t>53,824</w:t>
            </w:r>
          </w:p>
        </w:tc>
        <w:tc>
          <w:tcPr>
            <w:tcW w:w="569" w:type="pct"/>
            <w:tcBorders>
              <w:top w:val="single" w:sz="4" w:space="0" w:color="auto"/>
              <w:bottom w:val="single" w:sz="4" w:space="0" w:color="auto"/>
            </w:tcBorders>
            <w:tcMar>
              <w:top w:w="0" w:type="dxa"/>
              <w:left w:w="0" w:type="dxa"/>
              <w:bottom w:w="0" w:type="dxa"/>
              <w:right w:w="0" w:type="dxa"/>
            </w:tcMar>
          </w:tcPr>
          <w:p w14:paraId="0D8711A7" w14:textId="77777777" w:rsidR="009103CC" w:rsidRPr="001814D2" w:rsidRDefault="009103CC" w:rsidP="002718DF">
            <w:pPr>
              <w:pStyle w:val="Tabletext"/>
              <w:jc w:val="right"/>
              <w:rPr>
                <w:rFonts w:cs="Preston"/>
                <w:b/>
                <w:bCs/>
                <w:szCs w:val="18"/>
              </w:rPr>
            </w:pPr>
            <w:r w:rsidRPr="001814D2">
              <w:rPr>
                <w:rFonts w:cs="Preston"/>
                <w:b/>
                <w:bCs/>
                <w:szCs w:val="18"/>
              </w:rPr>
              <w:t>54,010</w:t>
            </w:r>
          </w:p>
        </w:tc>
        <w:tc>
          <w:tcPr>
            <w:tcW w:w="569" w:type="pct"/>
            <w:tcBorders>
              <w:top w:val="single" w:sz="4" w:space="0" w:color="auto"/>
              <w:bottom w:val="single" w:sz="4" w:space="0" w:color="auto"/>
            </w:tcBorders>
            <w:tcMar>
              <w:top w:w="0" w:type="dxa"/>
              <w:left w:w="0" w:type="dxa"/>
              <w:bottom w:w="0" w:type="dxa"/>
              <w:right w:w="0" w:type="dxa"/>
            </w:tcMar>
          </w:tcPr>
          <w:p w14:paraId="11BCDBE8" w14:textId="77777777" w:rsidR="009103CC" w:rsidRPr="001814D2" w:rsidRDefault="009103CC" w:rsidP="002718DF">
            <w:pPr>
              <w:pStyle w:val="Tabletext"/>
              <w:jc w:val="right"/>
              <w:rPr>
                <w:rFonts w:cs="Preston"/>
                <w:b/>
                <w:bCs/>
                <w:szCs w:val="18"/>
              </w:rPr>
            </w:pPr>
            <w:r w:rsidRPr="001814D2">
              <w:rPr>
                <w:rFonts w:cs="Preston"/>
                <w:b/>
                <w:bCs/>
                <w:szCs w:val="18"/>
              </w:rPr>
              <w:t>62,790</w:t>
            </w:r>
          </w:p>
        </w:tc>
      </w:tr>
      <w:tr w:rsidR="009103CC" w:rsidRPr="001814D2" w14:paraId="05265A6F"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4A254E53" w14:textId="77777777" w:rsidR="009103CC" w:rsidRPr="001814D2" w:rsidRDefault="009103CC" w:rsidP="002718DF">
            <w:pPr>
              <w:pStyle w:val="Tabletext"/>
              <w:rPr>
                <w:rFonts w:cs="Preston"/>
                <w:b/>
                <w:bCs/>
                <w:szCs w:val="18"/>
              </w:rPr>
            </w:pPr>
            <w:r w:rsidRPr="001814D2">
              <w:rPr>
                <w:rFonts w:cs="Preston"/>
                <w:b/>
                <w:bCs/>
                <w:szCs w:val="18"/>
              </w:rPr>
              <w:t>Net result for the year</w:t>
            </w:r>
          </w:p>
        </w:tc>
        <w:tc>
          <w:tcPr>
            <w:tcW w:w="377" w:type="pct"/>
            <w:tcBorders>
              <w:top w:val="single" w:sz="4" w:space="0" w:color="auto"/>
              <w:bottom w:val="single" w:sz="4" w:space="0" w:color="auto"/>
            </w:tcBorders>
            <w:tcMar>
              <w:top w:w="0" w:type="dxa"/>
              <w:left w:w="0" w:type="dxa"/>
              <w:bottom w:w="0" w:type="dxa"/>
              <w:right w:w="0" w:type="dxa"/>
            </w:tcMar>
          </w:tcPr>
          <w:p w14:paraId="143AA8E9" w14:textId="77777777" w:rsidR="009103CC" w:rsidRPr="001814D2" w:rsidRDefault="009103CC" w:rsidP="002718DF">
            <w:pPr>
              <w:pStyle w:val="Tabletext"/>
              <w:rPr>
                <w:b/>
                <w:bCs/>
              </w:rPr>
            </w:pPr>
          </w:p>
        </w:tc>
        <w:tc>
          <w:tcPr>
            <w:tcW w:w="569" w:type="pct"/>
            <w:tcBorders>
              <w:top w:val="single" w:sz="4" w:space="0" w:color="auto"/>
              <w:bottom w:val="single" w:sz="4" w:space="0" w:color="auto"/>
            </w:tcBorders>
            <w:tcMar>
              <w:top w:w="0" w:type="dxa"/>
              <w:left w:w="0" w:type="dxa"/>
              <w:bottom w:w="0" w:type="dxa"/>
              <w:right w:w="0" w:type="dxa"/>
            </w:tcMar>
          </w:tcPr>
          <w:p w14:paraId="296EB58F" w14:textId="77777777" w:rsidR="009103CC" w:rsidRPr="001814D2" w:rsidRDefault="009103CC" w:rsidP="002718DF">
            <w:pPr>
              <w:pStyle w:val="Tabletext"/>
              <w:jc w:val="right"/>
              <w:rPr>
                <w:rFonts w:cs="Preston"/>
                <w:b/>
                <w:bCs/>
                <w:szCs w:val="18"/>
              </w:rPr>
            </w:pPr>
            <w:r w:rsidRPr="001814D2">
              <w:rPr>
                <w:rFonts w:cs="Preston"/>
                <w:b/>
                <w:bCs/>
                <w:szCs w:val="18"/>
              </w:rPr>
              <w:t>154,961</w:t>
            </w:r>
          </w:p>
        </w:tc>
        <w:tc>
          <w:tcPr>
            <w:tcW w:w="569" w:type="pct"/>
            <w:tcBorders>
              <w:top w:val="single" w:sz="4" w:space="0" w:color="auto"/>
              <w:bottom w:val="single" w:sz="4" w:space="0" w:color="auto"/>
            </w:tcBorders>
            <w:tcMar>
              <w:top w:w="0" w:type="dxa"/>
              <w:left w:w="0" w:type="dxa"/>
              <w:bottom w:w="0" w:type="dxa"/>
              <w:right w:w="0" w:type="dxa"/>
            </w:tcMar>
          </w:tcPr>
          <w:p w14:paraId="1737EA4C" w14:textId="77777777" w:rsidR="009103CC" w:rsidRPr="001814D2" w:rsidRDefault="009103CC" w:rsidP="002718DF">
            <w:pPr>
              <w:pStyle w:val="Tabletext"/>
              <w:jc w:val="right"/>
              <w:rPr>
                <w:rFonts w:cs="Preston"/>
                <w:b/>
                <w:bCs/>
                <w:szCs w:val="18"/>
              </w:rPr>
            </w:pPr>
            <w:r w:rsidRPr="001814D2">
              <w:rPr>
                <w:rFonts w:cs="Preston"/>
                <w:b/>
                <w:bCs/>
                <w:szCs w:val="18"/>
              </w:rPr>
              <w:t>80,243</w:t>
            </w:r>
          </w:p>
        </w:tc>
        <w:tc>
          <w:tcPr>
            <w:tcW w:w="935" w:type="pct"/>
            <w:tcBorders>
              <w:top w:val="single" w:sz="4" w:space="0" w:color="auto"/>
              <w:bottom w:val="single" w:sz="4" w:space="0" w:color="auto"/>
            </w:tcBorders>
            <w:tcMar>
              <w:top w:w="0" w:type="dxa"/>
              <w:left w:w="0" w:type="dxa"/>
              <w:bottom w:w="0" w:type="dxa"/>
              <w:right w:w="0" w:type="dxa"/>
            </w:tcMar>
          </w:tcPr>
          <w:p w14:paraId="572413B0" w14:textId="77777777" w:rsidR="009103CC" w:rsidRPr="001814D2" w:rsidRDefault="009103CC" w:rsidP="002718DF">
            <w:pPr>
              <w:pStyle w:val="Tabletext"/>
              <w:jc w:val="right"/>
              <w:rPr>
                <w:rFonts w:cs="Preston"/>
                <w:b/>
                <w:bCs/>
                <w:szCs w:val="18"/>
              </w:rPr>
            </w:pPr>
            <w:r w:rsidRPr="001814D2">
              <w:rPr>
                <w:rFonts w:cs="Preston"/>
                <w:b/>
                <w:bCs/>
                <w:szCs w:val="18"/>
              </w:rPr>
              <w:t>145,072</w:t>
            </w:r>
          </w:p>
        </w:tc>
        <w:tc>
          <w:tcPr>
            <w:tcW w:w="569" w:type="pct"/>
            <w:tcBorders>
              <w:top w:val="single" w:sz="4" w:space="0" w:color="auto"/>
              <w:bottom w:val="single" w:sz="4" w:space="0" w:color="auto"/>
            </w:tcBorders>
            <w:tcMar>
              <w:top w:w="0" w:type="dxa"/>
              <w:left w:w="0" w:type="dxa"/>
              <w:bottom w:w="0" w:type="dxa"/>
              <w:right w:w="0" w:type="dxa"/>
            </w:tcMar>
          </w:tcPr>
          <w:p w14:paraId="1E143BFA" w14:textId="77777777" w:rsidR="009103CC" w:rsidRPr="001814D2" w:rsidRDefault="009103CC" w:rsidP="002718DF">
            <w:pPr>
              <w:pStyle w:val="Tabletext"/>
              <w:jc w:val="right"/>
              <w:rPr>
                <w:rFonts w:cs="Preston"/>
                <w:b/>
                <w:bCs/>
                <w:szCs w:val="18"/>
              </w:rPr>
            </w:pPr>
            <w:r w:rsidRPr="001814D2">
              <w:rPr>
                <w:rFonts w:cs="Preston"/>
                <w:b/>
                <w:bCs/>
                <w:szCs w:val="18"/>
              </w:rPr>
              <w:t>154,913</w:t>
            </w:r>
          </w:p>
        </w:tc>
        <w:tc>
          <w:tcPr>
            <w:tcW w:w="569" w:type="pct"/>
            <w:tcBorders>
              <w:top w:val="single" w:sz="4" w:space="0" w:color="auto"/>
              <w:bottom w:val="single" w:sz="4" w:space="0" w:color="auto"/>
            </w:tcBorders>
            <w:tcMar>
              <w:top w:w="0" w:type="dxa"/>
              <w:left w:w="0" w:type="dxa"/>
              <w:bottom w:w="0" w:type="dxa"/>
              <w:right w:w="0" w:type="dxa"/>
            </w:tcMar>
          </w:tcPr>
          <w:p w14:paraId="094DB506" w14:textId="77777777" w:rsidR="009103CC" w:rsidRPr="001814D2" w:rsidRDefault="009103CC" w:rsidP="002718DF">
            <w:pPr>
              <w:pStyle w:val="Tabletext"/>
              <w:jc w:val="right"/>
              <w:rPr>
                <w:rFonts w:cs="Preston"/>
                <w:b/>
                <w:bCs/>
                <w:szCs w:val="18"/>
              </w:rPr>
            </w:pPr>
            <w:r w:rsidRPr="001814D2">
              <w:rPr>
                <w:rFonts w:cs="Preston"/>
                <w:b/>
                <w:bCs/>
                <w:szCs w:val="18"/>
              </w:rPr>
              <w:t>80,443</w:t>
            </w:r>
          </w:p>
        </w:tc>
      </w:tr>
      <w:tr w:rsidR="009103CC" w:rsidRPr="001814D2" w14:paraId="1AF8D6B1" w14:textId="77777777" w:rsidTr="002718DF">
        <w:trPr>
          <w:cantSplit/>
          <w:trHeight w:val="170"/>
        </w:trPr>
        <w:tc>
          <w:tcPr>
            <w:tcW w:w="1412" w:type="pct"/>
            <w:tcBorders>
              <w:top w:val="single" w:sz="4" w:space="0" w:color="auto"/>
            </w:tcBorders>
            <w:tcMar>
              <w:top w:w="0" w:type="dxa"/>
              <w:left w:w="0" w:type="dxa"/>
              <w:bottom w:w="0" w:type="dxa"/>
              <w:right w:w="0" w:type="dxa"/>
            </w:tcMar>
          </w:tcPr>
          <w:p w14:paraId="2B681118" w14:textId="77777777" w:rsidR="009103CC" w:rsidRPr="001814D2" w:rsidRDefault="009103CC" w:rsidP="002718DF">
            <w:pPr>
              <w:pStyle w:val="Tabletext"/>
            </w:pPr>
          </w:p>
        </w:tc>
        <w:tc>
          <w:tcPr>
            <w:tcW w:w="377" w:type="pct"/>
            <w:tcBorders>
              <w:top w:val="single" w:sz="4" w:space="0" w:color="auto"/>
            </w:tcBorders>
            <w:tcMar>
              <w:top w:w="0" w:type="dxa"/>
              <w:left w:w="0" w:type="dxa"/>
              <w:bottom w:w="0" w:type="dxa"/>
              <w:right w:w="0" w:type="dxa"/>
            </w:tcMar>
          </w:tcPr>
          <w:p w14:paraId="5264851B"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tcPr>
          <w:p w14:paraId="75535045"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tcPr>
          <w:p w14:paraId="183B63C0" w14:textId="77777777" w:rsidR="009103CC" w:rsidRPr="001814D2" w:rsidRDefault="009103CC" w:rsidP="002718DF">
            <w:pPr>
              <w:pStyle w:val="Tabletext"/>
            </w:pPr>
          </w:p>
        </w:tc>
        <w:tc>
          <w:tcPr>
            <w:tcW w:w="935" w:type="pct"/>
            <w:tcBorders>
              <w:top w:val="single" w:sz="4" w:space="0" w:color="auto"/>
            </w:tcBorders>
            <w:tcMar>
              <w:top w:w="0" w:type="dxa"/>
              <w:left w:w="0" w:type="dxa"/>
              <w:bottom w:w="0" w:type="dxa"/>
              <w:right w:w="0" w:type="dxa"/>
            </w:tcMar>
          </w:tcPr>
          <w:p w14:paraId="396E79D1"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tcPr>
          <w:p w14:paraId="5E442230"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tcPr>
          <w:p w14:paraId="76E06E6A" w14:textId="77777777" w:rsidR="009103CC" w:rsidRPr="001814D2" w:rsidRDefault="009103CC" w:rsidP="002718DF">
            <w:pPr>
              <w:pStyle w:val="Tabletext"/>
            </w:pPr>
          </w:p>
        </w:tc>
      </w:tr>
      <w:tr w:rsidR="009103CC" w:rsidRPr="001814D2" w14:paraId="5791E6B9" w14:textId="77777777" w:rsidTr="002718DF">
        <w:trPr>
          <w:cantSplit/>
          <w:trHeight w:val="170"/>
        </w:trPr>
        <w:tc>
          <w:tcPr>
            <w:tcW w:w="5000" w:type="pct"/>
            <w:gridSpan w:val="7"/>
            <w:tcBorders>
              <w:bottom w:val="single" w:sz="4" w:space="0" w:color="auto"/>
            </w:tcBorders>
            <w:tcMar>
              <w:top w:w="0" w:type="dxa"/>
              <w:left w:w="0" w:type="dxa"/>
              <w:bottom w:w="0" w:type="dxa"/>
              <w:right w:w="0" w:type="dxa"/>
            </w:tcMar>
          </w:tcPr>
          <w:p w14:paraId="5750F348" w14:textId="77777777" w:rsidR="009103CC" w:rsidRPr="001814D2" w:rsidRDefault="009103CC" w:rsidP="002718DF">
            <w:pPr>
              <w:pStyle w:val="Tabletext"/>
              <w:rPr>
                <w:rFonts w:cs="Preston"/>
                <w:b/>
                <w:bCs/>
                <w:szCs w:val="18"/>
              </w:rPr>
            </w:pPr>
            <w:r w:rsidRPr="001814D2">
              <w:rPr>
                <w:rFonts w:cs="Preston"/>
                <w:b/>
                <w:bCs/>
                <w:szCs w:val="18"/>
              </w:rPr>
              <w:t>Other comprehensive income Items that will not be reclassified subsequently to profit or loss</w:t>
            </w:r>
          </w:p>
        </w:tc>
      </w:tr>
      <w:tr w:rsidR="009103CC" w:rsidRPr="001814D2" w14:paraId="4CACEC77"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134D31AF" w14:textId="77777777" w:rsidR="009103CC" w:rsidRPr="001814D2" w:rsidRDefault="009103CC" w:rsidP="002718DF">
            <w:pPr>
              <w:pStyle w:val="Tabletext"/>
            </w:pPr>
            <w:r w:rsidRPr="001814D2">
              <w:t>Net increase in asset revaluation</w:t>
            </w:r>
          </w:p>
        </w:tc>
        <w:tc>
          <w:tcPr>
            <w:tcW w:w="377" w:type="pct"/>
            <w:tcBorders>
              <w:top w:val="single" w:sz="4" w:space="0" w:color="auto"/>
              <w:bottom w:val="single" w:sz="4" w:space="0" w:color="auto"/>
            </w:tcBorders>
            <w:tcMar>
              <w:top w:w="0" w:type="dxa"/>
              <w:left w:w="0" w:type="dxa"/>
              <w:bottom w:w="0" w:type="dxa"/>
              <w:right w:w="0" w:type="dxa"/>
            </w:tcMar>
          </w:tcPr>
          <w:p w14:paraId="1377BE53" w14:textId="77777777" w:rsidR="009103CC" w:rsidRPr="001814D2" w:rsidRDefault="009103CC" w:rsidP="002718DF">
            <w:pPr>
              <w:pStyle w:val="Tabletext"/>
            </w:pPr>
            <w:r w:rsidRPr="001814D2">
              <w:t>9</w:t>
            </w:r>
          </w:p>
        </w:tc>
        <w:tc>
          <w:tcPr>
            <w:tcW w:w="569" w:type="pct"/>
            <w:tcBorders>
              <w:top w:val="single" w:sz="4" w:space="0" w:color="auto"/>
              <w:bottom w:val="single" w:sz="4" w:space="0" w:color="auto"/>
            </w:tcBorders>
            <w:tcMar>
              <w:top w:w="0" w:type="dxa"/>
              <w:left w:w="0" w:type="dxa"/>
              <w:bottom w:w="0" w:type="dxa"/>
              <w:right w:w="0" w:type="dxa"/>
            </w:tcMar>
          </w:tcPr>
          <w:p w14:paraId="73CD2F05" w14:textId="77777777" w:rsidR="009103CC" w:rsidRPr="001814D2" w:rsidRDefault="009103CC" w:rsidP="002718DF">
            <w:pPr>
              <w:pStyle w:val="Tabletext"/>
              <w:jc w:val="right"/>
            </w:pPr>
            <w:r w:rsidRPr="001814D2">
              <w:t>1,500</w:t>
            </w:r>
          </w:p>
        </w:tc>
        <w:tc>
          <w:tcPr>
            <w:tcW w:w="569" w:type="pct"/>
            <w:tcBorders>
              <w:top w:val="single" w:sz="4" w:space="0" w:color="auto"/>
              <w:bottom w:val="single" w:sz="4" w:space="0" w:color="auto"/>
            </w:tcBorders>
            <w:tcMar>
              <w:top w:w="0" w:type="dxa"/>
              <w:left w:w="0" w:type="dxa"/>
              <w:bottom w:w="0" w:type="dxa"/>
              <w:right w:w="0" w:type="dxa"/>
            </w:tcMar>
          </w:tcPr>
          <w:p w14:paraId="2191CDDA" w14:textId="77777777" w:rsidR="009103CC" w:rsidRPr="001814D2" w:rsidRDefault="009103CC" w:rsidP="002718DF">
            <w:pPr>
              <w:pStyle w:val="Tabletext"/>
              <w:jc w:val="right"/>
            </w:pPr>
            <w:r w:rsidRPr="001814D2">
              <w:t>385,638</w:t>
            </w:r>
          </w:p>
        </w:tc>
        <w:tc>
          <w:tcPr>
            <w:tcW w:w="935" w:type="pct"/>
            <w:tcBorders>
              <w:top w:val="single" w:sz="4" w:space="0" w:color="auto"/>
              <w:bottom w:val="single" w:sz="4" w:space="0" w:color="auto"/>
            </w:tcBorders>
            <w:tcMar>
              <w:top w:w="0" w:type="dxa"/>
              <w:left w:w="0" w:type="dxa"/>
              <w:bottom w:w="0" w:type="dxa"/>
              <w:right w:w="0" w:type="dxa"/>
            </w:tcMar>
          </w:tcPr>
          <w:p w14:paraId="7192E18F" w14:textId="77777777" w:rsidR="009103CC" w:rsidRPr="001814D2" w:rsidRDefault="009103CC" w:rsidP="002718DF">
            <w:pPr>
              <w:pStyle w:val="Tabletext"/>
              <w:jc w:val="right"/>
            </w:pPr>
            <w:r w:rsidRPr="001814D2">
              <w:t>-</w:t>
            </w:r>
          </w:p>
        </w:tc>
        <w:tc>
          <w:tcPr>
            <w:tcW w:w="569" w:type="pct"/>
            <w:tcBorders>
              <w:top w:val="single" w:sz="4" w:space="0" w:color="auto"/>
              <w:bottom w:val="single" w:sz="4" w:space="0" w:color="auto"/>
            </w:tcBorders>
            <w:tcMar>
              <w:top w:w="0" w:type="dxa"/>
              <w:left w:w="0" w:type="dxa"/>
              <w:bottom w:w="0" w:type="dxa"/>
              <w:right w:w="0" w:type="dxa"/>
            </w:tcMar>
          </w:tcPr>
          <w:p w14:paraId="2AE42216" w14:textId="77777777" w:rsidR="009103CC" w:rsidRPr="001814D2" w:rsidRDefault="009103CC" w:rsidP="002718DF">
            <w:pPr>
              <w:pStyle w:val="Tabletext"/>
              <w:jc w:val="right"/>
            </w:pPr>
            <w:r w:rsidRPr="001814D2">
              <w:t>1,500</w:t>
            </w:r>
          </w:p>
        </w:tc>
        <w:tc>
          <w:tcPr>
            <w:tcW w:w="569" w:type="pct"/>
            <w:tcBorders>
              <w:top w:val="single" w:sz="4" w:space="0" w:color="auto"/>
              <w:bottom w:val="single" w:sz="4" w:space="0" w:color="auto"/>
            </w:tcBorders>
            <w:tcMar>
              <w:top w:w="0" w:type="dxa"/>
              <w:left w:w="0" w:type="dxa"/>
              <w:bottom w:w="0" w:type="dxa"/>
              <w:right w:w="0" w:type="dxa"/>
            </w:tcMar>
          </w:tcPr>
          <w:p w14:paraId="0CFC78A4" w14:textId="77777777" w:rsidR="009103CC" w:rsidRPr="001814D2" w:rsidRDefault="009103CC" w:rsidP="002718DF">
            <w:pPr>
              <w:pStyle w:val="Tabletext"/>
              <w:jc w:val="right"/>
            </w:pPr>
            <w:r w:rsidRPr="001814D2">
              <w:t>385,638</w:t>
            </w:r>
          </w:p>
        </w:tc>
      </w:tr>
      <w:tr w:rsidR="009103CC" w:rsidRPr="001814D2" w14:paraId="333BE1BD"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20F8769C" w14:textId="77777777" w:rsidR="009103CC" w:rsidRPr="001814D2" w:rsidRDefault="009103CC" w:rsidP="002718DF">
            <w:pPr>
              <w:pStyle w:val="Tabletext"/>
            </w:pPr>
            <w:r w:rsidRPr="001814D2">
              <w:t xml:space="preserve">Total other comprehensive </w:t>
            </w:r>
            <w:r w:rsidRPr="001814D2">
              <w:br/>
              <w:t>income for the year</w:t>
            </w:r>
          </w:p>
        </w:tc>
        <w:tc>
          <w:tcPr>
            <w:tcW w:w="377" w:type="pct"/>
            <w:tcBorders>
              <w:top w:val="single" w:sz="4" w:space="0" w:color="auto"/>
              <w:bottom w:val="single" w:sz="4" w:space="0" w:color="auto"/>
            </w:tcBorders>
            <w:tcMar>
              <w:top w:w="0" w:type="dxa"/>
              <w:left w:w="0" w:type="dxa"/>
              <w:bottom w:w="0" w:type="dxa"/>
              <w:right w:w="0" w:type="dxa"/>
            </w:tcMar>
          </w:tcPr>
          <w:p w14:paraId="76EB0F4B"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tcPr>
          <w:p w14:paraId="32B69B2B" w14:textId="77777777" w:rsidR="009103CC" w:rsidRPr="001814D2" w:rsidRDefault="009103CC" w:rsidP="002718DF">
            <w:pPr>
              <w:pStyle w:val="Tabletext"/>
              <w:jc w:val="right"/>
            </w:pPr>
            <w:r w:rsidRPr="001814D2">
              <w:t>1,500</w:t>
            </w:r>
          </w:p>
          <w:p w14:paraId="226BA241"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tcPr>
          <w:p w14:paraId="163C6518" w14:textId="77777777" w:rsidR="009103CC" w:rsidRPr="001814D2" w:rsidRDefault="009103CC" w:rsidP="002718DF">
            <w:pPr>
              <w:pStyle w:val="Tabletext"/>
              <w:jc w:val="right"/>
            </w:pPr>
            <w:r w:rsidRPr="001814D2">
              <w:t>385,638</w:t>
            </w:r>
          </w:p>
          <w:p w14:paraId="25FEF627" w14:textId="77777777" w:rsidR="009103CC" w:rsidRPr="001814D2" w:rsidRDefault="009103CC" w:rsidP="002718DF">
            <w:pPr>
              <w:pStyle w:val="Tabletext"/>
              <w:jc w:val="right"/>
              <w:rPr>
                <w:rFonts w:cs="Preston"/>
                <w:szCs w:val="18"/>
              </w:rPr>
            </w:pPr>
          </w:p>
        </w:tc>
        <w:tc>
          <w:tcPr>
            <w:tcW w:w="935" w:type="pct"/>
            <w:tcBorders>
              <w:top w:val="single" w:sz="4" w:space="0" w:color="auto"/>
              <w:bottom w:val="single" w:sz="4" w:space="0" w:color="auto"/>
            </w:tcBorders>
            <w:tcMar>
              <w:top w:w="0" w:type="dxa"/>
              <w:left w:w="0" w:type="dxa"/>
              <w:bottom w:w="0" w:type="dxa"/>
              <w:right w:w="0" w:type="dxa"/>
            </w:tcMar>
          </w:tcPr>
          <w:p w14:paraId="413604FE" w14:textId="77777777" w:rsidR="009103CC" w:rsidRPr="001814D2" w:rsidRDefault="009103CC" w:rsidP="002718DF">
            <w:pPr>
              <w:pStyle w:val="Tabletext"/>
              <w:jc w:val="right"/>
            </w:pPr>
            <w:r w:rsidRPr="001814D2">
              <w:t>-</w:t>
            </w:r>
          </w:p>
          <w:p w14:paraId="506A6169"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tcPr>
          <w:p w14:paraId="1C27CA85" w14:textId="77777777" w:rsidR="009103CC" w:rsidRPr="001814D2" w:rsidRDefault="009103CC" w:rsidP="002718DF">
            <w:pPr>
              <w:pStyle w:val="Tabletext"/>
              <w:jc w:val="right"/>
            </w:pPr>
            <w:r w:rsidRPr="001814D2">
              <w:t>1,500</w:t>
            </w:r>
          </w:p>
          <w:p w14:paraId="3D910DD5"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tcPr>
          <w:p w14:paraId="00CC8318" w14:textId="77777777" w:rsidR="009103CC" w:rsidRPr="001814D2" w:rsidRDefault="009103CC" w:rsidP="002718DF">
            <w:pPr>
              <w:pStyle w:val="Tabletext"/>
              <w:jc w:val="right"/>
            </w:pPr>
            <w:r w:rsidRPr="001814D2">
              <w:t>385,638</w:t>
            </w:r>
          </w:p>
          <w:p w14:paraId="40CDD39C" w14:textId="77777777" w:rsidR="009103CC" w:rsidRPr="001814D2" w:rsidRDefault="009103CC" w:rsidP="002718DF">
            <w:pPr>
              <w:pStyle w:val="Tabletext"/>
              <w:jc w:val="right"/>
              <w:rPr>
                <w:rFonts w:cs="Preston"/>
                <w:szCs w:val="18"/>
              </w:rPr>
            </w:pPr>
          </w:p>
        </w:tc>
      </w:tr>
      <w:tr w:rsidR="009103CC" w:rsidRPr="001814D2" w14:paraId="1D60E5A1" w14:textId="77777777" w:rsidTr="002718DF">
        <w:trPr>
          <w:cantSplit/>
          <w:trHeight w:val="170"/>
        </w:trPr>
        <w:tc>
          <w:tcPr>
            <w:tcW w:w="1412" w:type="pct"/>
            <w:tcBorders>
              <w:top w:val="single" w:sz="4" w:space="0" w:color="auto"/>
              <w:bottom w:val="single" w:sz="4" w:space="0" w:color="auto"/>
            </w:tcBorders>
            <w:tcMar>
              <w:top w:w="0" w:type="dxa"/>
              <w:left w:w="0" w:type="dxa"/>
              <w:bottom w:w="0" w:type="dxa"/>
              <w:right w:w="0" w:type="dxa"/>
            </w:tcMar>
          </w:tcPr>
          <w:p w14:paraId="1B4FDB57" w14:textId="77777777" w:rsidR="009103CC" w:rsidRPr="001814D2" w:rsidRDefault="009103CC" w:rsidP="002718DF">
            <w:pPr>
              <w:pStyle w:val="Tabletext"/>
              <w:rPr>
                <w:rFonts w:cs="Preston"/>
                <w:b/>
                <w:bCs/>
                <w:szCs w:val="18"/>
              </w:rPr>
            </w:pPr>
            <w:r w:rsidRPr="001814D2">
              <w:rPr>
                <w:rFonts w:cs="Preston"/>
                <w:b/>
                <w:bCs/>
                <w:szCs w:val="18"/>
              </w:rPr>
              <w:t xml:space="preserve">Total comprehensive </w:t>
            </w:r>
            <w:r w:rsidRPr="001814D2">
              <w:rPr>
                <w:rFonts w:cs="Preston"/>
                <w:b/>
                <w:bCs/>
                <w:szCs w:val="18"/>
              </w:rPr>
              <w:br/>
              <w:t>income for the year</w:t>
            </w:r>
          </w:p>
        </w:tc>
        <w:tc>
          <w:tcPr>
            <w:tcW w:w="377" w:type="pct"/>
            <w:tcBorders>
              <w:top w:val="single" w:sz="4" w:space="0" w:color="auto"/>
              <w:bottom w:val="single" w:sz="4" w:space="0" w:color="auto"/>
            </w:tcBorders>
            <w:tcMar>
              <w:top w:w="0" w:type="dxa"/>
              <w:left w:w="0" w:type="dxa"/>
              <w:bottom w:w="0" w:type="dxa"/>
              <w:right w:w="0" w:type="dxa"/>
            </w:tcMar>
          </w:tcPr>
          <w:p w14:paraId="619E5D9D" w14:textId="77777777" w:rsidR="009103CC" w:rsidRPr="001814D2" w:rsidRDefault="009103CC" w:rsidP="002718DF">
            <w:pPr>
              <w:pStyle w:val="Tabletext"/>
              <w:rPr>
                <w:b/>
                <w:bCs/>
              </w:rPr>
            </w:pPr>
          </w:p>
        </w:tc>
        <w:tc>
          <w:tcPr>
            <w:tcW w:w="569" w:type="pct"/>
            <w:tcBorders>
              <w:top w:val="single" w:sz="4" w:space="0" w:color="auto"/>
              <w:bottom w:val="single" w:sz="4" w:space="0" w:color="auto"/>
            </w:tcBorders>
            <w:tcMar>
              <w:top w:w="0" w:type="dxa"/>
              <w:left w:w="0" w:type="dxa"/>
              <w:bottom w:w="0" w:type="dxa"/>
              <w:right w:w="0" w:type="dxa"/>
            </w:tcMar>
          </w:tcPr>
          <w:p w14:paraId="137A350B" w14:textId="77777777" w:rsidR="009103CC" w:rsidRPr="001814D2" w:rsidRDefault="009103CC" w:rsidP="002718DF">
            <w:pPr>
              <w:pStyle w:val="Tabletext"/>
              <w:jc w:val="right"/>
              <w:rPr>
                <w:rFonts w:cs="Preston"/>
                <w:b/>
                <w:bCs/>
                <w:szCs w:val="18"/>
              </w:rPr>
            </w:pPr>
            <w:r w:rsidRPr="001814D2">
              <w:rPr>
                <w:rFonts w:cs="Preston"/>
                <w:b/>
                <w:bCs/>
                <w:szCs w:val="18"/>
              </w:rPr>
              <w:t>156,461</w:t>
            </w:r>
          </w:p>
          <w:p w14:paraId="525194C7" w14:textId="77777777" w:rsidR="009103CC" w:rsidRPr="001814D2" w:rsidRDefault="009103CC" w:rsidP="002718DF">
            <w:pPr>
              <w:pStyle w:val="Tabletext"/>
              <w:jc w:val="right"/>
              <w:rPr>
                <w:rFonts w:cs="Preston"/>
                <w:b/>
                <w:bCs/>
                <w:szCs w:val="18"/>
              </w:rPr>
            </w:pPr>
          </w:p>
        </w:tc>
        <w:tc>
          <w:tcPr>
            <w:tcW w:w="569" w:type="pct"/>
            <w:tcBorders>
              <w:top w:val="single" w:sz="4" w:space="0" w:color="auto"/>
              <w:bottom w:val="single" w:sz="4" w:space="0" w:color="auto"/>
            </w:tcBorders>
            <w:tcMar>
              <w:top w:w="0" w:type="dxa"/>
              <w:left w:w="0" w:type="dxa"/>
              <w:bottom w:w="0" w:type="dxa"/>
              <w:right w:w="0" w:type="dxa"/>
            </w:tcMar>
          </w:tcPr>
          <w:p w14:paraId="1EC56F76" w14:textId="77777777" w:rsidR="009103CC" w:rsidRPr="001814D2" w:rsidRDefault="009103CC" w:rsidP="002718DF">
            <w:pPr>
              <w:pStyle w:val="Tabletext"/>
              <w:jc w:val="right"/>
              <w:rPr>
                <w:rFonts w:cs="Preston"/>
                <w:b/>
                <w:bCs/>
                <w:szCs w:val="18"/>
              </w:rPr>
            </w:pPr>
            <w:r w:rsidRPr="001814D2">
              <w:rPr>
                <w:rFonts w:cs="Preston"/>
                <w:b/>
                <w:bCs/>
                <w:szCs w:val="18"/>
              </w:rPr>
              <w:t>465,881</w:t>
            </w:r>
          </w:p>
          <w:p w14:paraId="1751BB31" w14:textId="77777777" w:rsidR="009103CC" w:rsidRPr="001814D2" w:rsidRDefault="009103CC" w:rsidP="002718DF">
            <w:pPr>
              <w:pStyle w:val="Tabletext"/>
              <w:jc w:val="right"/>
              <w:rPr>
                <w:rFonts w:cs="Preston"/>
                <w:b/>
                <w:bCs/>
                <w:szCs w:val="18"/>
              </w:rPr>
            </w:pPr>
          </w:p>
        </w:tc>
        <w:tc>
          <w:tcPr>
            <w:tcW w:w="935" w:type="pct"/>
            <w:tcBorders>
              <w:top w:val="single" w:sz="4" w:space="0" w:color="auto"/>
              <w:bottom w:val="single" w:sz="4" w:space="0" w:color="auto"/>
            </w:tcBorders>
            <w:tcMar>
              <w:top w:w="0" w:type="dxa"/>
              <w:left w:w="0" w:type="dxa"/>
              <w:bottom w:w="0" w:type="dxa"/>
              <w:right w:w="0" w:type="dxa"/>
            </w:tcMar>
          </w:tcPr>
          <w:p w14:paraId="3586F88E" w14:textId="77777777" w:rsidR="009103CC" w:rsidRPr="001814D2" w:rsidRDefault="009103CC" w:rsidP="002718DF">
            <w:pPr>
              <w:pStyle w:val="Tabletext"/>
              <w:jc w:val="right"/>
              <w:rPr>
                <w:rFonts w:cs="Preston"/>
                <w:b/>
                <w:bCs/>
                <w:szCs w:val="18"/>
              </w:rPr>
            </w:pPr>
            <w:r w:rsidRPr="001814D2">
              <w:rPr>
                <w:rFonts w:cs="Preston"/>
                <w:b/>
                <w:bCs/>
                <w:szCs w:val="18"/>
              </w:rPr>
              <w:t>145,072</w:t>
            </w:r>
          </w:p>
          <w:p w14:paraId="15FA2A71" w14:textId="77777777" w:rsidR="009103CC" w:rsidRPr="001814D2" w:rsidRDefault="009103CC" w:rsidP="002718DF">
            <w:pPr>
              <w:pStyle w:val="Tabletext"/>
              <w:jc w:val="right"/>
              <w:rPr>
                <w:rFonts w:cs="Preston"/>
                <w:b/>
                <w:bCs/>
                <w:szCs w:val="18"/>
              </w:rPr>
            </w:pPr>
          </w:p>
        </w:tc>
        <w:tc>
          <w:tcPr>
            <w:tcW w:w="569" w:type="pct"/>
            <w:tcBorders>
              <w:top w:val="single" w:sz="4" w:space="0" w:color="auto"/>
              <w:bottom w:val="single" w:sz="4" w:space="0" w:color="auto"/>
            </w:tcBorders>
            <w:tcMar>
              <w:top w:w="0" w:type="dxa"/>
              <w:left w:w="0" w:type="dxa"/>
              <w:bottom w:w="0" w:type="dxa"/>
              <w:right w:w="0" w:type="dxa"/>
            </w:tcMar>
          </w:tcPr>
          <w:p w14:paraId="393AF623" w14:textId="77777777" w:rsidR="009103CC" w:rsidRPr="001814D2" w:rsidRDefault="009103CC" w:rsidP="002718DF">
            <w:pPr>
              <w:pStyle w:val="Tabletext"/>
              <w:jc w:val="right"/>
              <w:rPr>
                <w:rFonts w:cs="Preston"/>
                <w:b/>
                <w:bCs/>
                <w:szCs w:val="18"/>
              </w:rPr>
            </w:pPr>
            <w:r w:rsidRPr="001814D2">
              <w:rPr>
                <w:rFonts w:cs="Preston"/>
                <w:b/>
                <w:bCs/>
                <w:szCs w:val="18"/>
              </w:rPr>
              <w:t>156,413</w:t>
            </w:r>
          </w:p>
          <w:p w14:paraId="26016253" w14:textId="77777777" w:rsidR="009103CC" w:rsidRPr="001814D2" w:rsidRDefault="009103CC" w:rsidP="002718DF">
            <w:pPr>
              <w:pStyle w:val="Tabletext"/>
              <w:jc w:val="right"/>
              <w:rPr>
                <w:rFonts w:cs="Preston"/>
                <w:b/>
                <w:bCs/>
                <w:szCs w:val="18"/>
              </w:rPr>
            </w:pPr>
          </w:p>
        </w:tc>
        <w:tc>
          <w:tcPr>
            <w:tcW w:w="569" w:type="pct"/>
            <w:tcBorders>
              <w:top w:val="single" w:sz="4" w:space="0" w:color="auto"/>
              <w:bottom w:val="single" w:sz="4" w:space="0" w:color="auto"/>
            </w:tcBorders>
            <w:tcMar>
              <w:top w:w="0" w:type="dxa"/>
              <w:left w:w="0" w:type="dxa"/>
              <w:bottom w:w="0" w:type="dxa"/>
              <w:right w:w="0" w:type="dxa"/>
            </w:tcMar>
          </w:tcPr>
          <w:p w14:paraId="1E25DA2E" w14:textId="77777777" w:rsidR="009103CC" w:rsidRPr="001814D2" w:rsidRDefault="009103CC" w:rsidP="002718DF">
            <w:pPr>
              <w:pStyle w:val="Tabletext"/>
              <w:jc w:val="right"/>
              <w:rPr>
                <w:rFonts w:cs="Preston"/>
                <w:b/>
                <w:bCs/>
                <w:szCs w:val="18"/>
              </w:rPr>
            </w:pPr>
            <w:r w:rsidRPr="001814D2">
              <w:rPr>
                <w:rFonts w:cs="Preston"/>
                <w:b/>
                <w:bCs/>
                <w:szCs w:val="18"/>
              </w:rPr>
              <w:t>466,081</w:t>
            </w:r>
          </w:p>
          <w:p w14:paraId="2D2FC9E3" w14:textId="77777777" w:rsidR="009103CC" w:rsidRPr="001814D2" w:rsidRDefault="009103CC" w:rsidP="002718DF">
            <w:pPr>
              <w:pStyle w:val="Tabletext"/>
              <w:jc w:val="right"/>
              <w:rPr>
                <w:rFonts w:cs="Preston"/>
                <w:b/>
                <w:bCs/>
                <w:szCs w:val="18"/>
              </w:rPr>
            </w:pPr>
          </w:p>
        </w:tc>
      </w:tr>
      <w:tr w:rsidR="009103CC" w:rsidRPr="001814D2" w14:paraId="66706DB9" w14:textId="77777777" w:rsidTr="002718DF">
        <w:trPr>
          <w:cantSplit/>
          <w:trHeight w:val="170"/>
        </w:trPr>
        <w:tc>
          <w:tcPr>
            <w:tcW w:w="5000" w:type="pct"/>
            <w:gridSpan w:val="7"/>
            <w:tcBorders>
              <w:top w:val="single" w:sz="4" w:space="0" w:color="auto"/>
            </w:tcBorders>
            <w:tcMar>
              <w:top w:w="111" w:type="dxa"/>
              <w:left w:w="0" w:type="dxa"/>
              <w:bottom w:w="0" w:type="dxa"/>
              <w:right w:w="0" w:type="dxa"/>
            </w:tcMar>
            <w:vAlign w:val="center"/>
          </w:tcPr>
          <w:p w14:paraId="29561500" w14:textId="77777777" w:rsidR="009103CC" w:rsidRPr="00DA7FC7" w:rsidRDefault="009103CC" w:rsidP="002718DF">
            <w:pPr>
              <w:pStyle w:val="Tabletext"/>
            </w:pPr>
            <w:r w:rsidRPr="00DA7FC7">
              <w:t>* The Crown in right of the State of New South Wales (Crown)</w:t>
            </w:r>
            <w:r>
              <w:br/>
            </w:r>
            <w:r w:rsidRPr="00DA7FC7">
              <w:t>The statement of profit or loss and other comprehensive income is to be read in conjunction with the attached notes.</w:t>
            </w:r>
          </w:p>
        </w:tc>
      </w:tr>
    </w:tbl>
    <w:p w14:paraId="022E526A" w14:textId="77777777" w:rsidR="009103CC" w:rsidRPr="00933FC4" w:rsidRDefault="009103CC" w:rsidP="009103CC">
      <w:pPr>
        <w:pStyle w:val="ARbody"/>
      </w:pPr>
      <w:r w:rsidRPr="00933FC4">
        <w:br w:type="page"/>
      </w:r>
    </w:p>
    <w:p w14:paraId="461C57D1" w14:textId="77777777" w:rsidR="009103CC" w:rsidRPr="001814D2" w:rsidRDefault="009103CC" w:rsidP="009103CC">
      <w:pPr>
        <w:pStyle w:val="ARheading3"/>
      </w:pPr>
      <w:r w:rsidRPr="001814D2">
        <w:t xml:space="preserve">Statement of financial position </w:t>
      </w:r>
      <w:r>
        <w:br/>
      </w:r>
      <w:r w:rsidRPr="001814D2">
        <w:t>For the year ended 30 June 2021</w:t>
      </w:r>
    </w:p>
    <w:tbl>
      <w:tblPr>
        <w:tblW w:w="5000" w:type="pct"/>
        <w:tblCellMar>
          <w:left w:w="0" w:type="dxa"/>
          <w:right w:w="0" w:type="dxa"/>
        </w:tblCellMar>
        <w:tblLook w:val="0000" w:firstRow="0" w:lastRow="0" w:firstColumn="0" w:lastColumn="0" w:noHBand="0" w:noVBand="0"/>
        <w:tblCaption w:val="Statement of financial position for the year ended 30 June 2021"/>
        <w:tblDescription w:val="This table provides figures for 2020 and 2021 for both the consolidated entity and parent entity, and the annual budget for 2021. It includes current and non-current assets and liabilities, and total funds, among other items."/>
      </w:tblPr>
      <w:tblGrid>
        <w:gridCol w:w="2562"/>
        <w:gridCol w:w="684"/>
        <w:gridCol w:w="1032"/>
        <w:gridCol w:w="1032"/>
        <w:gridCol w:w="1696"/>
        <w:gridCol w:w="1032"/>
        <w:gridCol w:w="1032"/>
      </w:tblGrid>
      <w:tr w:rsidR="009103CC" w:rsidRPr="001814D2" w14:paraId="765F92BF" w14:textId="77777777" w:rsidTr="002718DF">
        <w:trPr>
          <w:cantSplit/>
          <w:trHeight w:hRule="exact" w:val="332"/>
          <w:tblHeader/>
        </w:trPr>
        <w:tc>
          <w:tcPr>
            <w:tcW w:w="1412" w:type="pct"/>
            <w:tcBorders>
              <w:bottom w:val="single" w:sz="4" w:space="0" w:color="auto"/>
            </w:tcBorders>
            <w:tcMar>
              <w:top w:w="0" w:type="dxa"/>
              <w:left w:w="0" w:type="dxa"/>
              <w:bottom w:w="0" w:type="dxa"/>
              <w:right w:w="0" w:type="dxa"/>
            </w:tcMar>
            <w:vAlign w:val="center"/>
          </w:tcPr>
          <w:p w14:paraId="4861C651" w14:textId="77777777" w:rsidR="009103CC" w:rsidRPr="001814D2" w:rsidRDefault="009103CC" w:rsidP="002718DF">
            <w:pPr>
              <w:pStyle w:val="Tabletext"/>
            </w:pPr>
          </w:p>
        </w:tc>
        <w:tc>
          <w:tcPr>
            <w:tcW w:w="377" w:type="pct"/>
            <w:tcBorders>
              <w:bottom w:val="single" w:sz="4" w:space="0" w:color="auto"/>
            </w:tcBorders>
            <w:tcMar>
              <w:top w:w="0" w:type="dxa"/>
              <w:left w:w="0" w:type="dxa"/>
              <w:bottom w:w="0" w:type="dxa"/>
              <w:right w:w="0" w:type="dxa"/>
            </w:tcMar>
            <w:vAlign w:val="center"/>
          </w:tcPr>
          <w:p w14:paraId="6A01F6A7" w14:textId="77777777" w:rsidR="009103CC" w:rsidRPr="001814D2" w:rsidRDefault="009103CC" w:rsidP="002718DF">
            <w:pPr>
              <w:pStyle w:val="Tabletext"/>
            </w:pPr>
          </w:p>
        </w:tc>
        <w:tc>
          <w:tcPr>
            <w:tcW w:w="2073" w:type="pct"/>
            <w:gridSpan w:val="3"/>
            <w:tcBorders>
              <w:bottom w:val="single" w:sz="4" w:space="0" w:color="auto"/>
            </w:tcBorders>
            <w:tcMar>
              <w:top w:w="0" w:type="dxa"/>
              <w:left w:w="0" w:type="dxa"/>
              <w:bottom w:w="0" w:type="dxa"/>
              <w:right w:w="0" w:type="dxa"/>
            </w:tcMar>
            <w:vAlign w:val="center"/>
          </w:tcPr>
          <w:p w14:paraId="68604DB7" w14:textId="77777777" w:rsidR="009103CC" w:rsidRPr="001814D2" w:rsidRDefault="009103CC" w:rsidP="002718DF">
            <w:pPr>
              <w:pStyle w:val="Tabletext"/>
              <w:rPr>
                <w:rFonts w:cs="Preston"/>
                <w:b/>
                <w:bCs/>
                <w:szCs w:val="18"/>
              </w:rPr>
            </w:pPr>
            <w:r w:rsidRPr="001814D2">
              <w:rPr>
                <w:rFonts w:cs="Preston"/>
                <w:b/>
                <w:bCs/>
                <w:szCs w:val="18"/>
              </w:rPr>
              <w:t>Consolidated entity</w:t>
            </w:r>
          </w:p>
        </w:tc>
        <w:tc>
          <w:tcPr>
            <w:tcW w:w="1138" w:type="pct"/>
            <w:gridSpan w:val="2"/>
            <w:tcBorders>
              <w:bottom w:val="single" w:sz="4" w:space="0" w:color="auto"/>
            </w:tcBorders>
            <w:tcMar>
              <w:top w:w="0" w:type="dxa"/>
              <w:left w:w="0" w:type="dxa"/>
              <w:bottom w:w="0" w:type="dxa"/>
              <w:right w:w="0" w:type="dxa"/>
            </w:tcMar>
            <w:vAlign w:val="center"/>
          </w:tcPr>
          <w:p w14:paraId="519258A5" w14:textId="77777777" w:rsidR="009103CC" w:rsidRPr="001814D2" w:rsidRDefault="009103CC" w:rsidP="002718DF">
            <w:pPr>
              <w:pStyle w:val="Tabletext"/>
              <w:rPr>
                <w:rFonts w:cs="Preston"/>
                <w:b/>
                <w:bCs/>
                <w:szCs w:val="18"/>
              </w:rPr>
            </w:pPr>
            <w:r w:rsidRPr="001814D2">
              <w:rPr>
                <w:rFonts w:cs="Preston"/>
                <w:b/>
                <w:bCs/>
                <w:szCs w:val="18"/>
              </w:rPr>
              <w:t>Parent entity</w:t>
            </w:r>
          </w:p>
        </w:tc>
      </w:tr>
      <w:tr w:rsidR="009103CC" w:rsidRPr="001814D2" w14:paraId="540B7E30" w14:textId="77777777" w:rsidTr="002718DF">
        <w:trPr>
          <w:cantSplit/>
          <w:trHeight w:hRule="exact" w:val="553"/>
          <w:tblHeader/>
        </w:trPr>
        <w:tc>
          <w:tcPr>
            <w:tcW w:w="1412" w:type="pct"/>
            <w:tcBorders>
              <w:top w:val="single" w:sz="4" w:space="0" w:color="auto"/>
              <w:bottom w:val="single" w:sz="4" w:space="0" w:color="auto"/>
            </w:tcBorders>
            <w:tcMar>
              <w:top w:w="0" w:type="dxa"/>
              <w:left w:w="0" w:type="dxa"/>
              <w:bottom w:w="0" w:type="dxa"/>
              <w:right w:w="0" w:type="dxa"/>
            </w:tcMar>
            <w:vAlign w:val="center"/>
          </w:tcPr>
          <w:p w14:paraId="4B8D9D4D" w14:textId="77777777" w:rsidR="009103CC" w:rsidRPr="001814D2" w:rsidRDefault="009103CC" w:rsidP="002718DF">
            <w:pPr>
              <w:pStyle w:val="Tabletext"/>
              <w:rPr>
                <w:rFonts w:cs="Preston"/>
                <w:b/>
                <w:bCs/>
                <w:szCs w:val="18"/>
              </w:rPr>
            </w:pPr>
          </w:p>
          <w:p w14:paraId="12D86CD1" w14:textId="77777777" w:rsidR="009103CC" w:rsidRPr="001814D2" w:rsidRDefault="009103CC" w:rsidP="002718DF">
            <w:pPr>
              <w:pStyle w:val="Tabletext"/>
              <w:rPr>
                <w:rFonts w:cs="Preston"/>
                <w:b/>
                <w:bCs/>
                <w:szCs w:val="18"/>
              </w:rPr>
            </w:pPr>
          </w:p>
        </w:tc>
        <w:tc>
          <w:tcPr>
            <w:tcW w:w="377" w:type="pct"/>
            <w:tcBorders>
              <w:top w:val="single" w:sz="4" w:space="0" w:color="auto"/>
              <w:bottom w:val="single" w:sz="4" w:space="0" w:color="auto"/>
            </w:tcBorders>
            <w:tcMar>
              <w:top w:w="0" w:type="dxa"/>
              <w:left w:w="0" w:type="dxa"/>
              <w:bottom w:w="0" w:type="dxa"/>
              <w:right w:w="0" w:type="dxa"/>
            </w:tcMar>
            <w:vAlign w:val="center"/>
          </w:tcPr>
          <w:p w14:paraId="13D3393D" w14:textId="77777777" w:rsidR="009103CC" w:rsidRPr="001814D2" w:rsidRDefault="009103CC" w:rsidP="002718DF">
            <w:pPr>
              <w:pStyle w:val="Tabletext"/>
              <w:rPr>
                <w:rFonts w:cs="Preston"/>
                <w:b/>
                <w:bCs/>
                <w:szCs w:val="18"/>
              </w:rPr>
            </w:pPr>
            <w:r w:rsidRPr="001814D2">
              <w:rPr>
                <w:rFonts w:cs="Preston"/>
                <w:b/>
                <w:bCs/>
                <w:szCs w:val="18"/>
              </w:rPr>
              <w:t>Notes</w:t>
            </w:r>
          </w:p>
          <w:p w14:paraId="29478C30" w14:textId="77777777" w:rsidR="009103CC" w:rsidRPr="001814D2" w:rsidRDefault="009103CC" w:rsidP="002718DF">
            <w:pPr>
              <w:pStyle w:val="Tabletext"/>
              <w:rPr>
                <w:rFonts w:cs="Preston"/>
                <w:b/>
                <w:bCs/>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38D9DBAA" w14:textId="77777777" w:rsidR="009103CC" w:rsidRPr="001814D2" w:rsidRDefault="009103CC" w:rsidP="002718DF">
            <w:pPr>
              <w:pStyle w:val="Tabletext"/>
              <w:jc w:val="right"/>
              <w:rPr>
                <w:rFonts w:cs="Preston"/>
                <w:b/>
                <w:bCs/>
                <w:szCs w:val="18"/>
              </w:rPr>
            </w:pPr>
            <w:r w:rsidRPr="001814D2">
              <w:rPr>
                <w:rFonts w:cs="Preston"/>
                <w:b/>
                <w:bCs/>
                <w:szCs w:val="18"/>
              </w:rPr>
              <w:t>2021</w:t>
            </w:r>
          </w:p>
          <w:p w14:paraId="18CCD483" w14:textId="77777777" w:rsidR="009103CC" w:rsidRPr="001814D2" w:rsidRDefault="009103CC" w:rsidP="002718DF">
            <w:pPr>
              <w:pStyle w:val="Tabletext"/>
              <w:jc w:val="right"/>
              <w:rPr>
                <w:rFonts w:cs="Preston"/>
                <w:b/>
                <w:bCs/>
                <w:szCs w:val="18"/>
              </w:rPr>
            </w:pPr>
            <w:r w:rsidRPr="001814D2">
              <w:rPr>
                <w:rFonts w:cs="Preston"/>
                <w:b/>
                <w:bCs/>
                <w:szCs w:val="18"/>
              </w:rPr>
              <w:t>$'000</w:t>
            </w:r>
          </w:p>
        </w:tc>
        <w:tc>
          <w:tcPr>
            <w:tcW w:w="569" w:type="pct"/>
            <w:tcBorders>
              <w:top w:val="single" w:sz="4" w:space="0" w:color="auto"/>
              <w:bottom w:val="single" w:sz="4" w:space="0" w:color="auto"/>
            </w:tcBorders>
            <w:tcMar>
              <w:top w:w="0" w:type="dxa"/>
              <w:left w:w="0" w:type="dxa"/>
              <w:bottom w:w="0" w:type="dxa"/>
              <w:right w:w="0" w:type="dxa"/>
            </w:tcMar>
            <w:vAlign w:val="center"/>
          </w:tcPr>
          <w:p w14:paraId="05017192" w14:textId="77777777" w:rsidR="009103CC" w:rsidRPr="001814D2" w:rsidRDefault="009103CC" w:rsidP="002718DF">
            <w:pPr>
              <w:pStyle w:val="Tabletext"/>
              <w:jc w:val="right"/>
              <w:rPr>
                <w:rFonts w:cs="Preston"/>
                <w:b/>
                <w:bCs/>
                <w:szCs w:val="18"/>
              </w:rPr>
            </w:pPr>
            <w:r w:rsidRPr="001814D2">
              <w:rPr>
                <w:rFonts w:cs="Preston"/>
                <w:b/>
                <w:bCs/>
                <w:szCs w:val="18"/>
              </w:rPr>
              <w:t>2020</w:t>
            </w:r>
          </w:p>
          <w:p w14:paraId="236EA88F" w14:textId="77777777" w:rsidR="009103CC" w:rsidRPr="001814D2" w:rsidRDefault="009103CC" w:rsidP="002718DF">
            <w:pPr>
              <w:pStyle w:val="Tabletext"/>
              <w:jc w:val="right"/>
              <w:rPr>
                <w:rFonts w:cs="Preston"/>
                <w:b/>
                <w:bCs/>
                <w:szCs w:val="18"/>
              </w:rPr>
            </w:pPr>
            <w:r w:rsidRPr="001814D2">
              <w:rPr>
                <w:rFonts w:cs="Preston"/>
                <w:b/>
                <w:bCs/>
                <w:szCs w:val="18"/>
              </w:rPr>
              <w:t>$'000</w:t>
            </w:r>
          </w:p>
        </w:tc>
        <w:tc>
          <w:tcPr>
            <w:tcW w:w="935" w:type="pct"/>
            <w:tcBorders>
              <w:top w:val="single" w:sz="4" w:space="0" w:color="auto"/>
              <w:bottom w:val="single" w:sz="4" w:space="0" w:color="auto"/>
            </w:tcBorders>
            <w:tcMar>
              <w:top w:w="0" w:type="dxa"/>
              <w:left w:w="0" w:type="dxa"/>
              <w:bottom w:w="0" w:type="dxa"/>
              <w:right w:w="0" w:type="dxa"/>
            </w:tcMar>
            <w:vAlign w:val="center"/>
          </w:tcPr>
          <w:p w14:paraId="67454A77" w14:textId="77777777" w:rsidR="009103CC" w:rsidRPr="001814D2" w:rsidRDefault="009103CC" w:rsidP="002718DF">
            <w:pPr>
              <w:pStyle w:val="Tabletext"/>
              <w:jc w:val="right"/>
              <w:rPr>
                <w:rFonts w:cs="Preston"/>
                <w:b/>
                <w:bCs/>
                <w:szCs w:val="18"/>
              </w:rPr>
            </w:pPr>
            <w:r w:rsidRPr="001814D2">
              <w:rPr>
                <w:rFonts w:cs="Preston"/>
                <w:b/>
                <w:bCs/>
                <w:szCs w:val="18"/>
              </w:rPr>
              <w:t>Annual budget</w:t>
            </w:r>
          </w:p>
          <w:p w14:paraId="6846B33C" w14:textId="77777777" w:rsidR="009103CC" w:rsidRPr="001814D2" w:rsidRDefault="009103CC" w:rsidP="002718DF">
            <w:pPr>
              <w:pStyle w:val="Tabletext"/>
              <w:jc w:val="right"/>
              <w:rPr>
                <w:rFonts w:cs="Preston"/>
                <w:b/>
                <w:bCs/>
                <w:szCs w:val="18"/>
              </w:rPr>
            </w:pPr>
            <w:r w:rsidRPr="001814D2">
              <w:rPr>
                <w:rFonts w:cs="Preston"/>
                <w:b/>
                <w:bCs/>
                <w:szCs w:val="18"/>
              </w:rPr>
              <w:t>2021 $'000</w:t>
            </w:r>
          </w:p>
        </w:tc>
        <w:tc>
          <w:tcPr>
            <w:tcW w:w="569" w:type="pct"/>
            <w:tcBorders>
              <w:top w:val="single" w:sz="4" w:space="0" w:color="auto"/>
              <w:bottom w:val="single" w:sz="4" w:space="0" w:color="auto"/>
            </w:tcBorders>
            <w:tcMar>
              <w:top w:w="0" w:type="dxa"/>
              <w:left w:w="0" w:type="dxa"/>
              <w:bottom w:w="0" w:type="dxa"/>
              <w:right w:w="0" w:type="dxa"/>
            </w:tcMar>
            <w:vAlign w:val="center"/>
          </w:tcPr>
          <w:p w14:paraId="7B56F63C" w14:textId="77777777" w:rsidR="009103CC" w:rsidRPr="001814D2" w:rsidRDefault="009103CC" w:rsidP="002718DF">
            <w:pPr>
              <w:pStyle w:val="Tabletext"/>
              <w:jc w:val="right"/>
              <w:rPr>
                <w:rFonts w:cs="Preston"/>
                <w:b/>
                <w:bCs/>
                <w:szCs w:val="18"/>
              </w:rPr>
            </w:pPr>
            <w:r w:rsidRPr="001814D2">
              <w:rPr>
                <w:rFonts w:cs="Preston"/>
                <w:b/>
                <w:bCs/>
                <w:szCs w:val="18"/>
              </w:rPr>
              <w:t>2021</w:t>
            </w:r>
          </w:p>
          <w:p w14:paraId="52315C26"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4AA8FD7D" w14:textId="77777777" w:rsidR="009103CC" w:rsidRPr="001814D2" w:rsidRDefault="009103CC" w:rsidP="002718DF">
            <w:pPr>
              <w:pStyle w:val="Tabletext"/>
              <w:jc w:val="right"/>
              <w:rPr>
                <w:rFonts w:cs="Preston"/>
                <w:b/>
                <w:bCs/>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50117C86" w14:textId="77777777" w:rsidR="009103CC" w:rsidRPr="001814D2" w:rsidRDefault="009103CC" w:rsidP="002718DF">
            <w:pPr>
              <w:pStyle w:val="Tabletext"/>
              <w:jc w:val="right"/>
              <w:rPr>
                <w:rFonts w:cs="Preston"/>
                <w:b/>
                <w:bCs/>
                <w:szCs w:val="18"/>
              </w:rPr>
            </w:pPr>
            <w:r w:rsidRPr="001814D2">
              <w:rPr>
                <w:rFonts w:cs="Preston"/>
                <w:b/>
                <w:bCs/>
                <w:szCs w:val="18"/>
              </w:rPr>
              <w:t>2020</w:t>
            </w:r>
          </w:p>
          <w:p w14:paraId="49E311E5"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273269A4" w14:textId="77777777" w:rsidR="009103CC" w:rsidRPr="001814D2" w:rsidRDefault="009103CC" w:rsidP="002718DF">
            <w:pPr>
              <w:pStyle w:val="Tabletext"/>
              <w:jc w:val="right"/>
              <w:rPr>
                <w:rFonts w:cs="Preston"/>
                <w:b/>
                <w:bCs/>
                <w:szCs w:val="18"/>
              </w:rPr>
            </w:pPr>
          </w:p>
        </w:tc>
      </w:tr>
      <w:tr w:rsidR="009103CC" w:rsidRPr="001814D2" w14:paraId="6494D368" w14:textId="77777777" w:rsidTr="002718DF">
        <w:trPr>
          <w:cantSplit/>
          <w:trHeight w:hRule="exact" w:val="332"/>
        </w:trPr>
        <w:tc>
          <w:tcPr>
            <w:tcW w:w="5000" w:type="pct"/>
            <w:gridSpan w:val="7"/>
            <w:tcBorders>
              <w:top w:val="single" w:sz="4" w:space="0" w:color="auto"/>
              <w:bottom w:val="single" w:sz="4" w:space="0" w:color="auto"/>
            </w:tcBorders>
            <w:tcMar>
              <w:top w:w="0" w:type="dxa"/>
              <w:left w:w="0" w:type="dxa"/>
              <w:bottom w:w="0" w:type="dxa"/>
              <w:right w:w="0" w:type="dxa"/>
            </w:tcMar>
            <w:vAlign w:val="center"/>
          </w:tcPr>
          <w:p w14:paraId="57F4C776" w14:textId="77777777" w:rsidR="009103CC" w:rsidRPr="001814D2" w:rsidRDefault="009103CC" w:rsidP="002718DF">
            <w:pPr>
              <w:pStyle w:val="Tabletext"/>
            </w:pPr>
            <w:r w:rsidRPr="001814D2">
              <w:rPr>
                <w:rFonts w:cs="Preston"/>
                <w:b/>
                <w:bCs/>
                <w:szCs w:val="18"/>
              </w:rPr>
              <w:t>Assets</w:t>
            </w:r>
          </w:p>
        </w:tc>
      </w:tr>
      <w:tr w:rsidR="009103CC" w:rsidRPr="001814D2" w14:paraId="72ECBF6C" w14:textId="77777777" w:rsidTr="002718DF">
        <w:trPr>
          <w:cantSplit/>
          <w:trHeight w:hRule="exact" w:val="332"/>
        </w:trPr>
        <w:tc>
          <w:tcPr>
            <w:tcW w:w="5000" w:type="pct"/>
            <w:gridSpan w:val="7"/>
            <w:tcBorders>
              <w:top w:val="single" w:sz="4" w:space="0" w:color="auto"/>
              <w:bottom w:val="single" w:sz="4" w:space="0" w:color="auto"/>
            </w:tcBorders>
            <w:tcMar>
              <w:top w:w="0" w:type="dxa"/>
              <w:left w:w="0" w:type="dxa"/>
              <w:bottom w:w="0" w:type="dxa"/>
              <w:right w:w="0" w:type="dxa"/>
            </w:tcMar>
            <w:vAlign w:val="center"/>
          </w:tcPr>
          <w:p w14:paraId="3C7F18F2" w14:textId="77777777" w:rsidR="009103CC" w:rsidRPr="001814D2" w:rsidRDefault="009103CC" w:rsidP="002718DF">
            <w:pPr>
              <w:pStyle w:val="Tabletext"/>
            </w:pPr>
            <w:r w:rsidRPr="001814D2">
              <w:t>Current assets</w:t>
            </w:r>
          </w:p>
        </w:tc>
      </w:tr>
      <w:tr w:rsidR="009103CC" w:rsidRPr="001814D2" w14:paraId="2B4C6E5D"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7F788552" w14:textId="77777777" w:rsidR="009103CC" w:rsidRPr="001814D2" w:rsidRDefault="009103CC" w:rsidP="002718DF">
            <w:pPr>
              <w:pStyle w:val="Tabletext"/>
            </w:pPr>
            <w:r w:rsidRPr="001814D2">
              <w:t>Cash and cash equivalents</w:t>
            </w:r>
          </w:p>
        </w:tc>
        <w:tc>
          <w:tcPr>
            <w:tcW w:w="377" w:type="pct"/>
            <w:tcBorders>
              <w:top w:val="single" w:sz="4" w:space="0" w:color="auto"/>
              <w:bottom w:val="single" w:sz="4" w:space="0" w:color="auto"/>
            </w:tcBorders>
            <w:tcMar>
              <w:top w:w="0" w:type="dxa"/>
              <w:left w:w="0" w:type="dxa"/>
              <w:bottom w:w="0" w:type="dxa"/>
              <w:right w:w="0" w:type="dxa"/>
            </w:tcMar>
            <w:vAlign w:val="center"/>
          </w:tcPr>
          <w:p w14:paraId="4D9F9AFE" w14:textId="77777777" w:rsidR="009103CC" w:rsidRPr="001814D2" w:rsidRDefault="009103CC" w:rsidP="002718DF">
            <w:pPr>
              <w:pStyle w:val="Tabletext"/>
              <w:rPr>
                <w:rFonts w:cs="Preston"/>
                <w:szCs w:val="18"/>
              </w:rPr>
            </w:pPr>
            <w:r w:rsidRPr="001814D2">
              <w:rPr>
                <w:rFonts w:cs="Preston"/>
                <w:szCs w:val="18"/>
              </w:rPr>
              <w:t>5</w:t>
            </w:r>
          </w:p>
        </w:tc>
        <w:tc>
          <w:tcPr>
            <w:tcW w:w="569" w:type="pct"/>
            <w:tcBorders>
              <w:top w:val="single" w:sz="4" w:space="0" w:color="auto"/>
              <w:bottom w:val="single" w:sz="4" w:space="0" w:color="auto"/>
            </w:tcBorders>
            <w:tcMar>
              <w:top w:w="0" w:type="dxa"/>
              <w:left w:w="0" w:type="dxa"/>
              <w:bottom w:w="0" w:type="dxa"/>
              <w:right w:w="0" w:type="dxa"/>
            </w:tcMar>
            <w:vAlign w:val="center"/>
          </w:tcPr>
          <w:p w14:paraId="7F09D404" w14:textId="77777777" w:rsidR="009103CC" w:rsidRPr="001814D2" w:rsidRDefault="009103CC" w:rsidP="002718DF">
            <w:pPr>
              <w:pStyle w:val="Tabletext"/>
              <w:jc w:val="right"/>
              <w:rPr>
                <w:rFonts w:cs="Preston"/>
                <w:szCs w:val="18"/>
              </w:rPr>
            </w:pPr>
            <w:r w:rsidRPr="001814D2">
              <w:rPr>
                <w:rFonts w:cs="Preston"/>
                <w:szCs w:val="18"/>
              </w:rPr>
              <w:t>3,549</w:t>
            </w:r>
          </w:p>
        </w:tc>
        <w:tc>
          <w:tcPr>
            <w:tcW w:w="569" w:type="pct"/>
            <w:tcBorders>
              <w:top w:val="single" w:sz="4" w:space="0" w:color="auto"/>
              <w:bottom w:val="single" w:sz="4" w:space="0" w:color="auto"/>
            </w:tcBorders>
            <w:tcMar>
              <w:top w:w="0" w:type="dxa"/>
              <w:left w:w="0" w:type="dxa"/>
              <w:bottom w:w="0" w:type="dxa"/>
              <w:right w:w="0" w:type="dxa"/>
            </w:tcMar>
            <w:vAlign w:val="center"/>
          </w:tcPr>
          <w:p w14:paraId="3717A42D" w14:textId="77777777" w:rsidR="009103CC" w:rsidRPr="001814D2" w:rsidRDefault="009103CC" w:rsidP="002718DF">
            <w:pPr>
              <w:pStyle w:val="Tabletext"/>
              <w:jc w:val="right"/>
              <w:rPr>
                <w:rFonts w:cs="Preston"/>
                <w:szCs w:val="18"/>
              </w:rPr>
            </w:pPr>
            <w:r w:rsidRPr="001814D2">
              <w:rPr>
                <w:rFonts w:cs="Preston"/>
                <w:szCs w:val="18"/>
              </w:rPr>
              <w:t>3,950</w:t>
            </w:r>
          </w:p>
        </w:tc>
        <w:tc>
          <w:tcPr>
            <w:tcW w:w="935" w:type="pct"/>
            <w:tcBorders>
              <w:top w:val="single" w:sz="4" w:space="0" w:color="auto"/>
              <w:bottom w:val="single" w:sz="4" w:space="0" w:color="auto"/>
            </w:tcBorders>
            <w:tcMar>
              <w:top w:w="0" w:type="dxa"/>
              <w:left w:w="0" w:type="dxa"/>
              <w:bottom w:w="0" w:type="dxa"/>
              <w:right w:w="0" w:type="dxa"/>
            </w:tcMar>
            <w:vAlign w:val="center"/>
          </w:tcPr>
          <w:p w14:paraId="21021C9B" w14:textId="77777777" w:rsidR="009103CC" w:rsidRPr="001814D2" w:rsidRDefault="009103CC" w:rsidP="002718DF">
            <w:pPr>
              <w:pStyle w:val="Tabletext"/>
              <w:jc w:val="right"/>
              <w:rPr>
                <w:rFonts w:cs="Preston"/>
                <w:szCs w:val="18"/>
              </w:rPr>
            </w:pPr>
            <w:r w:rsidRPr="001814D2">
              <w:rPr>
                <w:rFonts w:cs="Preston"/>
                <w:szCs w:val="18"/>
              </w:rPr>
              <w:t>6,365</w:t>
            </w:r>
          </w:p>
        </w:tc>
        <w:tc>
          <w:tcPr>
            <w:tcW w:w="569" w:type="pct"/>
            <w:tcBorders>
              <w:top w:val="single" w:sz="4" w:space="0" w:color="auto"/>
              <w:bottom w:val="single" w:sz="4" w:space="0" w:color="auto"/>
            </w:tcBorders>
            <w:tcMar>
              <w:top w:w="0" w:type="dxa"/>
              <w:left w:w="0" w:type="dxa"/>
              <w:bottom w:w="0" w:type="dxa"/>
              <w:right w:w="0" w:type="dxa"/>
            </w:tcMar>
            <w:vAlign w:val="center"/>
          </w:tcPr>
          <w:p w14:paraId="69101A02" w14:textId="77777777" w:rsidR="009103CC" w:rsidRPr="001814D2" w:rsidRDefault="009103CC" w:rsidP="002718DF">
            <w:pPr>
              <w:pStyle w:val="Tabletext"/>
              <w:jc w:val="right"/>
              <w:rPr>
                <w:rFonts w:cs="Preston"/>
                <w:szCs w:val="18"/>
              </w:rPr>
            </w:pPr>
            <w:r w:rsidRPr="001814D2">
              <w:rPr>
                <w:rFonts w:cs="Preston"/>
                <w:szCs w:val="18"/>
              </w:rPr>
              <w:t>3,479</w:t>
            </w:r>
          </w:p>
        </w:tc>
        <w:tc>
          <w:tcPr>
            <w:tcW w:w="569" w:type="pct"/>
            <w:tcBorders>
              <w:top w:val="single" w:sz="4" w:space="0" w:color="auto"/>
              <w:bottom w:val="single" w:sz="4" w:space="0" w:color="auto"/>
            </w:tcBorders>
            <w:tcMar>
              <w:top w:w="0" w:type="dxa"/>
              <w:left w:w="0" w:type="dxa"/>
              <w:bottom w:w="0" w:type="dxa"/>
              <w:right w:w="0" w:type="dxa"/>
            </w:tcMar>
            <w:vAlign w:val="center"/>
          </w:tcPr>
          <w:p w14:paraId="29C2A54E" w14:textId="77777777" w:rsidR="009103CC" w:rsidRPr="001814D2" w:rsidRDefault="009103CC" w:rsidP="002718DF">
            <w:pPr>
              <w:pStyle w:val="Tabletext"/>
              <w:jc w:val="right"/>
              <w:rPr>
                <w:rFonts w:cs="Preston"/>
                <w:szCs w:val="18"/>
              </w:rPr>
            </w:pPr>
            <w:r w:rsidRPr="001814D2">
              <w:rPr>
                <w:rFonts w:cs="Preston"/>
                <w:szCs w:val="18"/>
              </w:rPr>
              <w:t>3,902</w:t>
            </w:r>
          </w:p>
        </w:tc>
      </w:tr>
      <w:tr w:rsidR="009103CC" w:rsidRPr="001814D2" w14:paraId="30A9B44C"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2E32B523" w14:textId="77777777" w:rsidR="009103CC" w:rsidRPr="001814D2" w:rsidRDefault="009103CC" w:rsidP="002718DF">
            <w:pPr>
              <w:pStyle w:val="Tabletext"/>
            </w:pPr>
            <w:r w:rsidRPr="001814D2">
              <w:t>Receivables</w:t>
            </w:r>
          </w:p>
        </w:tc>
        <w:tc>
          <w:tcPr>
            <w:tcW w:w="377" w:type="pct"/>
            <w:tcBorders>
              <w:top w:val="single" w:sz="4" w:space="0" w:color="auto"/>
              <w:bottom w:val="single" w:sz="4" w:space="0" w:color="auto"/>
            </w:tcBorders>
            <w:tcMar>
              <w:top w:w="0" w:type="dxa"/>
              <w:left w:w="0" w:type="dxa"/>
              <w:bottom w:w="0" w:type="dxa"/>
              <w:right w:w="0" w:type="dxa"/>
            </w:tcMar>
            <w:vAlign w:val="center"/>
          </w:tcPr>
          <w:p w14:paraId="6A5BC0E6" w14:textId="77777777" w:rsidR="009103CC" w:rsidRPr="001814D2" w:rsidRDefault="009103CC" w:rsidP="002718DF">
            <w:pPr>
              <w:pStyle w:val="Tabletext"/>
              <w:rPr>
                <w:rFonts w:cs="Preston"/>
                <w:szCs w:val="18"/>
              </w:rPr>
            </w:pPr>
            <w:r w:rsidRPr="001814D2">
              <w:rPr>
                <w:rFonts w:cs="Preston"/>
                <w:szCs w:val="18"/>
              </w:rPr>
              <w:t>6</w:t>
            </w:r>
          </w:p>
        </w:tc>
        <w:tc>
          <w:tcPr>
            <w:tcW w:w="569" w:type="pct"/>
            <w:tcBorders>
              <w:top w:val="single" w:sz="4" w:space="0" w:color="auto"/>
              <w:bottom w:val="single" w:sz="4" w:space="0" w:color="auto"/>
            </w:tcBorders>
            <w:tcMar>
              <w:top w:w="0" w:type="dxa"/>
              <w:left w:w="0" w:type="dxa"/>
              <w:bottom w:w="0" w:type="dxa"/>
              <w:right w:w="0" w:type="dxa"/>
            </w:tcMar>
            <w:vAlign w:val="center"/>
          </w:tcPr>
          <w:p w14:paraId="5D0438CE" w14:textId="77777777" w:rsidR="009103CC" w:rsidRPr="001814D2" w:rsidRDefault="009103CC" w:rsidP="002718DF">
            <w:pPr>
              <w:pStyle w:val="Tabletext"/>
              <w:jc w:val="right"/>
              <w:rPr>
                <w:rFonts w:cs="Preston"/>
                <w:szCs w:val="18"/>
              </w:rPr>
            </w:pPr>
            <w:r w:rsidRPr="001814D2">
              <w:rPr>
                <w:rFonts w:cs="Preston"/>
                <w:szCs w:val="18"/>
              </w:rPr>
              <w:t>43,831</w:t>
            </w:r>
          </w:p>
        </w:tc>
        <w:tc>
          <w:tcPr>
            <w:tcW w:w="569" w:type="pct"/>
            <w:tcBorders>
              <w:top w:val="single" w:sz="4" w:space="0" w:color="auto"/>
              <w:bottom w:val="single" w:sz="4" w:space="0" w:color="auto"/>
            </w:tcBorders>
            <w:tcMar>
              <w:top w:w="0" w:type="dxa"/>
              <w:left w:w="0" w:type="dxa"/>
              <w:bottom w:w="0" w:type="dxa"/>
              <w:right w:w="0" w:type="dxa"/>
            </w:tcMar>
            <w:vAlign w:val="center"/>
          </w:tcPr>
          <w:p w14:paraId="06041D57" w14:textId="77777777" w:rsidR="009103CC" w:rsidRPr="001814D2" w:rsidRDefault="009103CC" w:rsidP="002718DF">
            <w:pPr>
              <w:pStyle w:val="Tabletext"/>
              <w:jc w:val="right"/>
              <w:rPr>
                <w:rFonts w:cs="Preston"/>
                <w:szCs w:val="18"/>
              </w:rPr>
            </w:pPr>
            <w:r w:rsidRPr="001814D2">
              <w:rPr>
                <w:rFonts w:cs="Preston"/>
                <w:szCs w:val="18"/>
              </w:rPr>
              <w:t>3,503</w:t>
            </w:r>
          </w:p>
        </w:tc>
        <w:tc>
          <w:tcPr>
            <w:tcW w:w="935" w:type="pct"/>
            <w:tcBorders>
              <w:top w:val="single" w:sz="4" w:space="0" w:color="auto"/>
              <w:bottom w:val="single" w:sz="4" w:space="0" w:color="auto"/>
            </w:tcBorders>
            <w:tcMar>
              <w:top w:w="0" w:type="dxa"/>
              <w:left w:w="0" w:type="dxa"/>
              <w:bottom w:w="0" w:type="dxa"/>
              <w:right w:w="0" w:type="dxa"/>
            </w:tcMar>
            <w:vAlign w:val="center"/>
          </w:tcPr>
          <w:p w14:paraId="66E658A9" w14:textId="77777777" w:rsidR="009103CC" w:rsidRPr="001814D2" w:rsidRDefault="009103CC" w:rsidP="002718DF">
            <w:pPr>
              <w:pStyle w:val="Tabletext"/>
              <w:jc w:val="right"/>
              <w:rPr>
                <w:rFonts w:cs="Preston"/>
                <w:szCs w:val="18"/>
              </w:rPr>
            </w:pPr>
            <w:r w:rsidRPr="001814D2">
              <w:rPr>
                <w:rFonts w:cs="Preston"/>
                <w:szCs w:val="18"/>
              </w:rPr>
              <w:t>11,222</w:t>
            </w:r>
          </w:p>
        </w:tc>
        <w:tc>
          <w:tcPr>
            <w:tcW w:w="569" w:type="pct"/>
            <w:tcBorders>
              <w:top w:val="single" w:sz="4" w:space="0" w:color="auto"/>
              <w:bottom w:val="single" w:sz="4" w:space="0" w:color="auto"/>
            </w:tcBorders>
            <w:tcMar>
              <w:top w:w="0" w:type="dxa"/>
              <w:left w:w="0" w:type="dxa"/>
              <w:bottom w:w="0" w:type="dxa"/>
              <w:right w:w="0" w:type="dxa"/>
            </w:tcMar>
            <w:vAlign w:val="center"/>
          </w:tcPr>
          <w:p w14:paraId="2DE4453B" w14:textId="77777777" w:rsidR="009103CC" w:rsidRPr="001814D2" w:rsidRDefault="009103CC" w:rsidP="002718DF">
            <w:pPr>
              <w:pStyle w:val="Tabletext"/>
              <w:jc w:val="right"/>
              <w:rPr>
                <w:rFonts w:cs="Preston"/>
                <w:szCs w:val="18"/>
              </w:rPr>
            </w:pPr>
            <w:r w:rsidRPr="001814D2">
              <w:rPr>
                <w:rFonts w:cs="Preston"/>
                <w:szCs w:val="18"/>
              </w:rPr>
              <w:t>43,831</w:t>
            </w:r>
          </w:p>
        </w:tc>
        <w:tc>
          <w:tcPr>
            <w:tcW w:w="569" w:type="pct"/>
            <w:tcBorders>
              <w:top w:val="single" w:sz="4" w:space="0" w:color="auto"/>
              <w:bottom w:val="single" w:sz="4" w:space="0" w:color="auto"/>
            </w:tcBorders>
            <w:tcMar>
              <w:top w:w="0" w:type="dxa"/>
              <w:left w:w="0" w:type="dxa"/>
              <w:bottom w:w="0" w:type="dxa"/>
              <w:right w:w="0" w:type="dxa"/>
            </w:tcMar>
            <w:vAlign w:val="center"/>
          </w:tcPr>
          <w:p w14:paraId="2940A940" w14:textId="77777777" w:rsidR="009103CC" w:rsidRPr="001814D2" w:rsidRDefault="009103CC" w:rsidP="002718DF">
            <w:pPr>
              <w:pStyle w:val="Tabletext"/>
              <w:jc w:val="right"/>
              <w:rPr>
                <w:rFonts w:cs="Preston"/>
                <w:szCs w:val="18"/>
              </w:rPr>
            </w:pPr>
            <w:r w:rsidRPr="001814D2">
              <w:rPr>
                <w:rFonts w:cs="Preston"/>
                <w:szCs w:val="18"/>
              </w:rPr>
              <w:t>3,503</w:t>
            </w:r>
          </w:p>
        </w:tc>
      </w:tr>
      <w:tr w:rsidR="009103CC" w:rsidRPr="001814D2" w14:paraId="1FE6E9C6"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79769C5A" w14:textId="77777777" w:rsidR="009103CC" w:rsidRPr="001814D2" w:rsidRDefault="009103CC" w:rsidP="002718DF">
            <w:pPr>
              <w:pStyle w:val="Tabletext"/>
            </w:pPr>
            <w:r w:rsidRPr="001814D2">
              <w:t>Inventories</w:t>
            </w:r>
          </w:p>
        </w:tc>
        <w:tc>
          <w:tcPr>
            <w:tcW w:w="377" w:type="pct"/>
            <w:tcBorders>
              <w:top w:val="single" w:sz="4" w:space="0" w:color="auto"/>
              <w:bottom w:val="single" w:sz="4" w:space="0" w:color="auto"/>
            </w:tcBorders>
            <w:tcMar>
              <w:top w:w="0" w:type="dxa"/>
              <w:left w:w="0" w:type="dxa"/>
              <w:bottom w:w="0" w:type="dxa"/>
              <w:right w:w="0" w:type="dxa"/>
            </w:tcMar>
            <w:vAlign w:val="center"/>
          </w:tcPr>
          <w:p w14:paraId="5659133E" w14:textId="77777777" w:rsidR="009103CC" w:rsidRPr="001814D2" w:rsidRDefault="009103CC" w:rsidP="002718DF">
            <w:pPr>
              <w:pStyle w:val="Tabletext"/>
              <w:rPr>
                <w:rFonts w:cs="Preston"/>
                <w:szCs w:val="18"/>
              </w:rPr>
            </w:pPr>
            <w:r w:rsidRPr="001814D2">
              <w:rPr>
                <w:rFonts w:cs="Preston"/>
                <w:szCs w:val="18"/>
              </w:rPr>
              <w:t>7</w:t>
            </w:r>
          </w:p>
        </w:tc>
        <w:tc>
          <w:tcPr>
            <w:tcW w:w="569" w:type="pct"/>
            <w:tcBorders>
              <w:top w:val="single" w:sz="4" w:space="0" w:color="auto"/>
              <w:bottom w:val="single" w:sz="4" w:space="0" w:color="auto"/>
            </w:tcBorders>
            <w:tcMar>
              <w:top w:w="0" w:type="dxa"/>
              <w:left w:w="0" w:type="dxa"/>
              <w:bottom w:w="0" w:type="dxa"/>
              <w:right w:w="0" w:type="dxa"/>
            </w:tcMar>
            <w:vAlign w:val="center"/>
          </w:tcPr>
          <w:p w14:paraId="324416C1" w14:textId="77777777" w:rsidR="009103CC" w:rsidRPr="001814D2" w:rsidRDefault="009103CC" w:rsidP="002718DF">
            <w:pPr>
              <w:pStyle w:val="Tabletext"/>
              <w:jc w:val="right"/>
              <w:rPr>
                <w:rFonts w:cs="Preston"/>
                <w:szCs w:val="18"/>
              </w:rPr>
            </w:pPr>
            <w:r w:rsidRPr="001814D2">
              <w:rPr>
                <w:rFonts w:cs="Preston"/>
                <w:szCs w:val="18"/>
              </w:rPr>
              <w:t>1,025</w:t>
            </w:r>
          </w:p>
        </w:tc>
        <w:tc>
          <w:tcPr>
            <w:tcW w:w="569" w:type="pct"/>
            <w:tcBorders>
              <w:top w:val="single" w:sz="4" w:space="0" w:color="auto"/>
              <w:bottom w:val="single" w:sz="4" w:space="0" w:color="auto"/>
            </w:tcBorders>
            <w:tcMar>
              <w:top w:w="0" w:type="dxa"/>
              <w:left w:w="0" w:type="dxa"/>
              <w:bottom w:w="0" w:type="dxa"/>
              <w:right w:w="0" w:type="dxa"/>
            </w:tcMar>
            <w:vAlign w:val="center"/>
          </w:tcPr>
          <w:p w14:paraId="7929ACCC" w14:textId="77777777" w:rsidR="009103CC" w:rsidRPr="001814D2" w:rsidRDefault="009103CC" w:rsidP="002718DF">
            <w:pPr>
              <w:pStyle w:val="Tabletext"/>
              <w:jc w:val="right"/>
              <w:rPr>
                <w:rFonts w:cs="Preston"/>
                <w:szCs w:val="18"/>
              </w:rPr>
            </w:pPr>
            <w:r w:rsidRPr="001814D2">
              <w:rPr>
                <w:rFonts w:cs="Preston"/>
                <w:szCs w:val="18"/>
              </w:rPr>
              <w:t>1,164</w:t>
            </w:r>
          </w:p>
        </w:tc>
        <w:tc>
          <w:tcPr>
            <w:tcW w:w="935" w:type="pct"/>
            <w:tcBorders>
              <w:top w:val="single" w:sz="4" w:space="0" w:color="auto"/>
              <w:bottom w:val="single" w:sz="4" w:space="0" w:color="auto"/>
            </w:tcBorders>
            <w:tcMar>
              <w:top w:w="0" w:type="dxa"/>
              <w:left w:w="0" w:type="dxa"/>
              <w:bottom w:w="0" w:type="dxa"/>
              <w:right w:w="0" w:type="dxa"/>
            </w:tcMar>
            <w:vAlign w:val="center"/>
          </w:tcPr>
          <w:p w14:paraId="4ED70146" w14:textId="77777777" w:rsidR="009103CC" w:rsidRPr="001814D2" w:rsidRDefault="009103CC" w:rsidP="002718DF">
            <w:pPr>
              <w:pStyle w:val="Tabletext"/>
              <w:jc w:val="right"/>
              <w:rPr>
                <w:rFonts w:cs="Preston"/>
                <w:szCs w:val="18"/>
              </w:rPr>
            </w:pPr>
            <w:r w:rsidRPr="001814D2">
              <w:rPr>
                <w:rFonts w:cs="Preston"/>
                <w:szCs w:val="18"/>
              </w:rPr>
              <w:t>1,164</w:t>
            </w:r>
          </w:p>
        </w:tc>
        <w:tc>
          <w:tcPr>
            <w:tcW w:w="569" w:type="pct"/>
            <w:tcBorders>
              <w:top w:val="single" w:sz="4" w:space="0" w:color="auto"/>
              <w:bottom w:val="single" w:sz="4" w:space="0" w:color="auto"/>
            </w:tcBorders>
            <w:tcMar>
              <w:top w:w="0" w:type="dxa"/>
              <w:left w:w="0" w:type="dxa"/>
              <w:bottom w:w="0" w:type="dxa"/>
              <w:right w:w="0" w:type="dxa"/>
            </w:tcMar>
            <w:vAlign w:val="center"/>
          </w:tcPr>
          <w:p w14:paraId="2958BB50" w14:textId="77777777" w:rsidR="009103CC" w:rsidRPr="001814D2" w:rsidRDefault="009103CC" w:rsidP="002718DF">
            <w:pPr>
              <w:pStyle w:val="Tabletext"/>
              <w:jc w:val="right"/>
              <w:rPr>
                <w:rFonts w:cs="Preston"/>
                <w:szCs w:val="18"/>
              </w:rPr>
            </w:pPr>
            <w:r w:rsidRPr="001814D2">
              <w:rPr>
                <w:rFonts w:cs="Preston"/>
                <w:szCs w:val="18"/>
              </w:rPr>
              <w:t>1,025</w:t>
            </w:r>
          </w:p>
        </w:tc>
        <w:tc>
          <w:tcPr>
            <w:tcW w:w="569" w:type="pct"/>
            <w:tcBorders>
              <w:top w:val="single" w:sz="4" w:space="0" w:color="auto"/>
              <w:bottom w:val="single" w:sz="4" w:space="0" w:color="auto"/>
            </w:tcBorders>
            <w:tcMar>
              <w:top w:w="0" w:type="dxa"/>
              <w:left w:w="0" w:type="dxa"/>
              <w:bottom w:w="0" w:type="dxa"/>
              <w:right w:w="0" w:type="dxa"/>
            </w:tcMar>
            <w:vAlign w:val="center"/>
          </w:tcPr>
          <w:p w14:paraId="4C16C095" w14:textId="77777777" w:rsidR="009103CC" w:rsidRPr="001814D2" w:rsidRDefault="009103CC" w:rsidP="002718DF">
            <w:pPr>
              <w:pStyle w:val="Tabletext"/>
              <w:jc w:val="right"/>
              <w:rPr>
                <w:rFonts w:cs="Preston"/>
                <w:szCs w:val="18"/>
              </w:rPr>
            </w:pPr>
            <w:r w:rsidRPr="001814D2">
              <w:rPr>
                <w:rFonts w:cs="Preston"/>
                <w:szCs w:val="18"/>
              </w:rPr>
              <w:t>1,164</w:t>
            </w:r>
          </w:p>
        </w:tc>
      </w:tr>
      <w:tr w:rsidR="009103CC" w:rsidRPr="001814D2" w14:paraId="12A37640" w14:textId="77777777" w:rsidTr="002718DF">
        <w:trPr>
          <w:cantSplit/>
          <w:trHeight w:hRule="exact" w:val="553"/>
        </w:trPr>
        <w:tc>
          <w:tcPr>
            <w:tcW w:w="1412" w:type="pct"/>
            <w:tcBorders>
              <w:top w:val="single" w:sz="4" w:space="0" w:color="auto"/>
              <w:bottom w:val="single" w:sz="4" w:space="0" w:color="auto"/>
            </w:tcBorders>
            <w:tcMar>
              <w:top w:w="0" w:type="dxa"/>
              <w:left w:w="0" w:type="dxa"/>
              <w:bottom w:w="0" w:type="dxa"/>
              <w:right w:w="0" w:type="dxa"/>
            </w:tcMar>
            <w:vAlign w:val="center"/>
          </w:tcPr>
          <w:p w14:paraId="78A31C01" w14:textId="77777777" w:rsidR="009103CC" w:rsidRPr="001814D2" w:rsidRDefault="009103CC" w:rsidP="002718DF">
            <w:pPr>
              <w:pStyle w:val="Tabletext"/>
            </w:pPr>
            <w:r w:rsidRPr="001814D2">
              <w:t>Financial assets at fair value through profit or loss</w:t>
            </w:r>
          </w:p>
        </w:tc>
        <w:tc>
          <w:tcPr>
            <w:tcW w:w="377" w:type="pct"/>
            <w:tcBorders>
              <w:top w:val="single" w:sz="4" w:space="0" w:color="auto"/>
              <w:bottom w:val="single" w:sz="4" w:space="0" w:color="auto"/>
            </w:tcBorders>
            <w:tcMar>
              <w:top w:w="0" w:type="dxa"/>
              <w:left w:w="0" w:type="dxa"/>
              <w:bottom w:w="0" w:type="dxa"/>
              <w:right w:w="0" w:type="dxa"/>
            </w:tcMar>
            <w:vAlign w:val="center"/>
          </w:tcPr>
          <w:p w14:paraId="247652B8" w14:textId="77777777" w:rsidR="009103CC" w:rsidRPr="001814D2" w:rsidRDefault="009103CC" w:rsidP="002718DF">
            <w:pPr>
              <w:pStyle w:val="Tabletext"/>
              <w:rPr>
                <w:rFonts w:cs="Preston"/>
                <w:szCs w:val="18"/>
              </w:rPr>
            </w:pPr>
            <w:r w:rsidRPr="001814D2">
              <w:rPr>
                <w:rFonts w:cs="Preston"/>
                <w:szCs w:val="18"/>
              </w:rPr>
              <w:t>8</w:t>
            </w:r>
          </w:p>
          <w:p w14:paraId="6A501629" w14:textId="77777777" w:rsidR="009103CC" w:rsidRPr="001814D2" w:rsidRDefault="009103CC" w:rsidP="002718DF">
            <w:pPr>
              <w:pStyle w:val="Tabletex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1D6F2160" w14:textId="77777777" w:rsidR="009103CC" w:rsidRPr="001814D2" w:rsidRDefault="009103CC" w:rsidP="002718DF">
            <w:pPr>
              <w:pStyle w:val="Tabletext"/>
              <w:jc w:val="right"/>
              <w:rPr>
                <w:rFonts w:cs="Preston"/>
                <w:szCs w:val="18"/>
              </w:rPr>
            </w:pPr>
            <w:r w:rsidRPr="001814D2">
              <w:rPr>
                <w:rFonts w:cs="Preston"/>
                <w:szCs w:val="18"/>
              </w:rPr>
              <w:t>156,234</w:t>
            </w:r>
          </w:p>
          <w:p w14:paraId="4B602ABA"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43540D05" w14:textId="77777777" w:rsidR="009103CC" w:rsidRPr="001814D2" w:rsidRDefault="009103CC" w:rsidP="002718DF">
            <w:pPr>
              <w:pStyle w:val="Tabletext"/>
              <w:jc w:val="right"/>
              <w:rPr>
                <w:rFonts w:cs="Preston"/>
                <w:szCs w:val="18"/>
              </w:rPr>
            </w:pPr>
            <w:r w:rsidRPr="001814D2">
              <w:rPr>
                <w:rFonts w:cs="Preston"/>
                <w:szCs w:val="18"/>
              </w:rPr>
              <w:t>120,001</w:t>
            </w:r>
          </w:p>
          <w:p w14:paraId="0A843E6E" w14:textId="77777777" w:rsidR="009103CC" w:rsidRPr="001814D2" w:rsidRDefault="009103CC" w:rsidP="002718DF">
            <w:pPr>
              <w:pStyle w:val="Tabletext"/>
              <w:jc w:val="right"/>
              <w:rPr>
                <w:rFonts w:cs="Preston"/>
                <w:szCs w:val="18"/>
              </w:rPr>
            </w:pPr>
          </w:p>
        </w:tc>
        <w:tc>
          <w:tcPr>
            <w:tcW w:w="935" w:type="pct"/>
            <w:tcBorders>
              <w:top w:val="single" w:sz="4" w:space="0" w:color="auto"/>
              <w:bottom w:val="single" w:sz="4" w:space="0" w:color="auto"/>
            </w:tcBorders>
            <w:tcMar>
              <w:top w:w="0" w:type="dxa"/>
              <w:left w:w="0" w:type="dxa"/>
              <w:bottom w:w="0" w:type="dxa"/>
              <w:right w:w="0" w:type="dxa"/>
            </w:tcMar>
            <w:vAlign w:val="center"/>
          </w:tcPr>
          <w:p w14:paraId="0E5BABA0" w14:textId="77777777" w:rsidR="009103CC" w:rsidRPr="001814D2" w:rsidRDefault="009103CC" w:rsidP="002718DF">
            <w:pPr>
              <w:pStyle w:val="Tabletext"/>
              <w:jc w:val="right"/>
              <w:rPr>
                <w:rFonts w:cs="Preston"/>
                <w:szCs w:val="18"/>
              </w:rPr>
            </w:pPr>
            <w:r w:rsidRPr="001814D2">
              <w:rPr>
                <w:rFonts w:cs="Preston"/>
                <w:szCs w:val="18"/>
              </w:rPr>
              <w:t>147,860</w:t>
            </w:r>
          </w:p>
          <w:p w14:paraId="6DD3CC4C"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71518222" w14:textId="77777777" w:rsidR="009103CC" w:rsidRPr="001814D2" w:rsidRDefault="009103CC" w:rsidP="002718DF">
            <w:pPr>
              <w:pStyle w:val="Tabletext"/>
              <w:jc w:val="right"/>
              <w:rPr>
                <w:rFonts w:cs="Preston"/>
                <w:szCs w:val="18"/>
              </w:rPr>
            </w:pPr>
            <w:r w:rsidRPr="001814D2">
              <w:rPr>
                <w:rFonts w:cs="Preston"/>
                <w:szCs w:val="18"/>
              </w:rPr>
              <w:t>154,765</w:t>
            </w:r>
          </w:p>
          <w:p w14:paraId="5EFA3C60"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40EB099D" w14:textId="77777777" w:rsidR="009103CC" w:rsidRPr="001814D2" w:rsidRDefault="009103CC" w:rsidP="002718DF">
            <w:pPr>
              <w:pStyle w:val="Tabletext"/>
              <w:jc w:val="right"/>
              <w:rPr>
                <w:rFonts w:cs="Preston"/>
                <w:szCs w:val="18"/>
              </w:rPr>
            </w:pPr>
            <w:r w:rsidRPr="001814D2">
              <w:rPr>
                <w:rFonts w:cs="Preston"/>
                <w:szCs w:val="18"/>
              </w:rPr>
              <w:t>118,638</w:t>
            </w:r>
          </w:p>
          <w:p w14:paraId="13DCA49A" w14:textId="77777777" w:rsidR="009103CC" w:rsidRPr="001814D2" w:rsidRDefault="009103CC" w:rsidP="002718DF">
            <w:pPr>
              <w:pStyle w:val="Tabletext"/>
              <w:jc w:val="right"/>
              <w:rPr>
                <w:rFonts w:cs="Preston"/>
                <w:szCs w:val="18"/>
              </w:rPr>
            </w:pPr>
          </w:p>
        </w:tc>
      </w:tr>
      <w:tr w:rsidR="009103CC" w:rsidRPr="001814D2" w14:paraId="6A5FBEF7"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23FC219C" w14:textId="77777777" w:rsidR="009103CC" w:rsidRPr="001814D2" w:rsidRDefault="009103CC" w:rsidP="002718DF">
            <w:pPr>
              <w:pStyle w:val="Tabletext"/>
              <w:rPr>
                <w:rFonts w:cs="Preston"/>
                <w:b/>
                <w:bCs/>
                <w:szCs w:val="18"/>
              </w:rPr>
            </w:pPr>
            <w:r w:rsidRPr="001814D2">
              <w:rPr>
                <w:rFonts w:cs="Preston"/>
                <w:b/>
                <w:bCs/>
                <w:szCs w:val="18"/>
              </w:rPr>
              <w:t>Total current assets</w:t>
            </w:r>
          </w:p>
        </w:tc>
        <w:tc>
          <w:tcPr>
            <w:tcW w:w="377" w:type="pct"/>
            <w:tcBorders>
              <w:top w:val="single" w:sz="4" w:space="0" w:color="auto"/>
              <w:bottom w:val="single" w:sz="4" w:space="0" w:color="auto"/>
            </w:tcBorders>
            <w:tcMar>
              <w:top w:w="0" w:type="dxa"/>
              <w:left w:w="0" w:type="dxa"/>
              <w:bottom w:w="0" w:type="dxa"/>
              <w:right w:w="0" w:type="dxa"/>
            </w:tcMar>
            <w:vAlign w:val="center"/>
          </w:tcPr>
          <w:p w14:paraId="1AA22588" w14:textId="77777777" w:rsidR="009103CC" w:rsidRPr="001814D2" w:rsidRDefault="009103CC" w:rsidP="002718DF">
            <w:pPr>
              <w:pStyle w:val="Tabletext"/>
              <w:rPr>
                <w:b/>
                <w:bCs/>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59868D4C" w14:textId="77777777" w:rsidR="009103CC" w:rsidRPr="001814D2" w:rsidRDefault="009103CC" w:rsidP="002718DF">
            <w:pPr>
              <w:pStyle w:val="Tabletext"/>
              <w:jc w:val="right"/>
              <w:rPr>
                <w:rFonts w:cs="Preston"/>
                <w:b/>
                <w:bCs/>
                <w:szCs w:val="18"/>
              </w:rPr>
            </w:pPr>
            <w:r w:rsidRPr="001814D2">
              <w:rPr>
                <w:rFonts w:cs="Preston"/>
                <w:b/>
                <w:bCs/>
                <w:szCs w:val="18"/>
              </w:rPr>
              <w:t>204,639</w:t>
            </w:r>
          </w:p>
        </w:tc>
        <w:tc>
          <w:tcPr>
            <w:tcW w:w="569" w:type="pct"/>
            <w:tcBorders>
              <w:top w:val="single" w:sz="4" w:space="0" w:color="auto"/>
              <w:bottom w:val="single" w:sz="4" w:space="0" w:color="auto"/>
            </w:tcBorders>
            <w:tcMar>
              <w:top w:w="0" w:type="dxa"/>
              <w:left w:w="0" w:type="dxa"/>
              <w:bottom w:w="0" w:type="dxa"/>
              <w:right w:w="0" w:type="dxa"/>
            </w:tcMar>
            <w:vAlign w:val="center"/>
          </w:tcPr>
          <w:p w14:paraId="19E793F9" w14:textId="77777777" w:rsidR="009103CC" w:rsidRPr="001814D2" w:rsidRDefault="009103CC" w:rsidP="002718DF">
            <w:pPr>
              <w:pStyle w:val="Tabletext"/>
              <w:jc w:val="right"/>
              <w:rPr>
                <w:rFonts w:cs="Preston"/>
                <w:b/>
                <w:bCs/>
                <w:szCs w:val="18"/>
              </w:rPr>
            </w:pPr>
            <w:r w:rsidRPr="001814D2">
              <w:rPr>
                <w:rFonts w:cs="Preston"/>
                <w:b/>
                <w:bCs/>
                <w:szCs w:val="18"/>
              </w:rPr>
              <w:t>128,618</w:t>
            </w:r>
          </w:p>
        </w:tc>
        <w:tc>
          <w:tcPr>
            <w:tcW w:w="935" w:type="pct"/>
            <w:tcBorders>
              <w:top w:val="single" w:sz="4" w:space="0" w:color="auto"/>
              <w:bottom w:val="single" w:sz="4" w:space="0" w:color="auto"/>
            </w:tcBorders>
            <w:tcMar>
              <w:top w:w="0" w:type="dxa"/>
              <w:left w:w="0" w:type="dxa"/>
              <w:bottom w:w="0" w:type="dxa"/>
              <w:right w:w="0" w:type="dxa"/>
            </w:tcMar>
            <w:vAlign w:val="center"/>
          </w:tcPr>
          <w:p w14:paraId="6424787E" w14:textId="77777777" w:rsidR="009103CC" w:rsidRPr="001814D2" w:rsidRDefault="009103CC" w:rsidP="002718DF">
            <w:pPr>
              <w:pStyle w:val="Tabletext"/>
              <w:jc w:val="right"/>
              <w:rPr>
                <w:rFonts w:cs="Preston"/>
                <w:b/>
                <w:bCs/>
                <w:szCs w:val="18"/>
              </w:rPr>
            </w:pPr>
            <w:r w:rsidRPr="001814D2">
              <w:rPr>
                <w:rFonts w:cs="Preston"/>
                <w:b/>
                <w:bCs/>
                <w:szCs w:val="18"/>
              </w:rPr>
              <w:t>166,611</w:t>
            </w:r>
          </w:p>
        </w:tc>
        <w:tc>
          <w:tcPr>
            <w:tcW w:w="569" w:type="pct"/>
            <w:tcBorders>
              <w:top w:val="single" w:sz="4" w:space="0" w:color="auto"/>
              <w:bottom w:val="single" w:sz="4" w:space="0" w:color="auto"/>
            </w:tcBorders>
            <w:tcMar>
              <w:top w:w="0" w:type="dxa"/>
              <w:left w:w="0" w:type="dxa"/>
              <w:bottom w:w="0" w:type="dxa"/>
              <w:right w:w="0" w:type="dxa"/>
            </w:tcMar>
            <w:vAlign w:val="center"/>
          </w:tcPr>
          <w:p w14:paraId="662F6D16" w14:textId="77777777" w:rsidR="009103CC" w:rsidRPr="001814D2" w:rsidRDefault="009103CC" w:rsidP="002718DF">
            <w:pPr>
              <w:pStyle w:val="Tabletext"/>
              <w:jc w:val="right"/>
              <w:rPr>
                <w:rFonts w:cs="Preston"/>
                <w:b/>
                <w:bCs/>
                <w:szCs w:val="18"/>
              </w:rPr>
            </w:pPr>
            <w:r w:rsidRPr="001814D2">
              <w:rPr>
                <w:rFonts w:cs="Preston"/>
                <w:b/>
                <w:bCs/>
                <w:szCs w:val="18"/>
              </w:rPr>
              <w:t>203,100</w:t>
            </w:r>
          </w:p>
        </w:tc>
        <w:tc>
          <w:tcPr>
            <w:tcW w:w="569" w:type="pct"/>
            <w:tcBorders>
              <w:top w:val="single" w:sz="4" w:space="0" w:color="auto"/>
              <w:bottom w:val="single" w:sz="4" w:space="0" w:color="auto"/>
            </w:tcBorders>
            <w:tcMar>
              <w:top w:w="0" w:type="dxa"/>
              <w:left w:w="0" w:type="dxa"/>
              <w:bottom w:w="0" w:type="dxa"/>
              <w:right w:w="0" w:type="dxa"/>
            </w:tcMar>
            <w:vAlign w:val="center"/>
          </w:tcPr>
          <w:p w14:paraId="4478D3BC" w14:textId="77777777" w:rsidR="009103CC" w:rsidRPr="001814D2" w:rsidRDefault="009103CC" w:rsidP="002718DF">
            <w:pPr>
              <w:pStyle w:val="Tabletext"/>
              <w:jc w:val="right"/>
              <w:rPr>
                <w:rFonts w:cs="Preston"/>
                <w:b/>
                <w:bCs/>
                <w:szCs w:val="18"/>
              </w:rPr>
            </w:pPr>
            <w:r w:rsidRPr="001814D2">
              <w:rPr>
                <w:rFonts w:cs="Preston"/>
                <w:b/>
                <w:bCs/>
                <w:szCs w:val="18"/>
              </w:rPr>
              <w:t>127,207</w:t>
            </w:r>
          </w:p>
        </w:tc>
      </w:tr>
      <w:tr w:rsidR="009103CC" w:rsidRPr="001814D2" w14:paraId="6B3B1639" w14:textId="77777777" w:rsidTr="002718DF">
        <w:trPr>
          <w:cantSplit/>
          <w:trHeight w:hRule="exact" w:val="332"/>
        </w:trPr>
        <w:tc>
          <w:tcPr>
            <w:tcW w:w="1412" w:type="pct"/>
            <w:tcBorders>
              <w:bottom w:val="single" w:sz="4" w:space="0" w:color="auto"/>
            </w:tcBorders>
            <w:tcMar>
              <w:top w:w="0" w:type="dxa"/>
              <w:left w:w="0" w:type="dxa"/>
              <w:bottom w:w="0" w:type="dxa"/>
              <w:right w:w="0" w:type="dxa"/>
            </w:tcMar>
            <w:vAlign w:val="center"/>
          </w:tcPr>
          <w:p w14:paraId="762E0A9B" w14:textId="77777777" w:rsidR="009103CC" w:rsidRPr="001814D2" w:rsidRDefault="009103CC" w:rsidP="002718DF">
            <w:pPr>
              <w:pStyle w:val="Tabletext"/>
              <w:rPr>
                <w:rFonts w:cs="Preston"/>
                <w:b/>
                <w:bCs/>
                <w:szCs w:val="18"/>
              </w:rPr>
            </w:pPr>
            <w:r w:rsidRPr="001814D2">
              <w:rPr>
                <w:rFonts w:cs="Preston"/>
                <w:b/>
                <w:bCs/>
                <w:szCs w:val="18"/>
              </w:rPr>
              <w:t>Non-current assets</w:t>
            </w:r>
          </w:p>
        </w:tc>
        <w:tc>
          <w:tcPr>
            <w:tcW w:w="377" w:type="pct"/>
            <w:tcBorders>
              <w:bottom w:val="single" w:sz="4" w:space="0" w:color="auto"/>
            </w:tcBorders>
            <w:tcMar>
              <w:top w:w="0" w:type="dxa"/>
              <w:left w:w="0" w:type="dxa"/>
              <w:bottom w:w="0" w:type="dxa"/>
              <w:right w:w="0" w:type="dxa"/>
            </w:tcMar>
            <w:vAlign w:val="center"/>
          </w:tcPr>
          <w:p w14:paraId="5F59C655" w14:textId="77777777" w:rsidR="009103CC" w:rsidRPr="001814D2" w:rsidRDefault="009103CC" w:rsidP="002718DF">
            <w:pPr>
              <w:pStyle w:val="Tabletext"/>
            </w:pPr>
          </w:p>
        </w:tc>
        <w:tc>
          <w:tcPr>
            <w:tcW w:w="569" w:type="pct"/>
            <w:tcBorders>
              <w:bottom w:val="single" w:sz="4" w:space="0" w:color="auto"/>
            </w:tcBorders>
            <w:tcMar>
              <w:top w:w="0" w:type="dxa"/>
              <w:left w:w="0" w:type="dxa"/>
              <w:bottom w:w="0" w:type="dxa"/>
              <w:right w:w="0" w:type="dxa"/>
            </w:tcMar>
            <w:vAlign w:val="center"/>
          </w:tcPr>
          <w:p w14:paraId="121A859F"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1E84D6F7" w14:textId="77777777" w:rsidR="009103CC" w:rsidRPr="001814D2" w:rsidRDefault="009103CC" w:rsidP="002718DF">
            <w:pPr>
              <w:pStyle w:val="Tabletext"/>
              <w:jc w:val="right"/>
            </w:pPr>
          </w:p>
        </w:tc>
        <w:tc>
          <w:tcPr>
            <w:tcW w:w="935" w:type="pct"/>
            <w:tcBorders>
              <w:bottom w:val="single" w:sz="4" w:space="0" w:color="auto"/>
            </w:tcBorders>
            <w:tcMar>
              <w:top w:w="0" w:type="dxa"/>
              <w:left w:w="0" w:type="dxa"/>
              <w:bottom w:w="0" w:type="dxa"/>
              <w:right w:w="0" w:type="dxa"/>
            </w:tcMar>
            <w:vAlign w:val="center"/>
          </w:tcPr>
          <w:p w14:paraId="69379007"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139D55A1"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15EAC959" w14:textId="77777777" w:rsidR="009103CC" w:rsidRPr="001814D2" w:rsidRDefault="009103CC" w:rsidP="002718DF">
            <w:pPr>
              <w:pStyle w:val="Tabletext"/>
              <w:jc w:val="right"/>
            </w:pPr>
          </w:p>
        </w:tc>
      </w:tr>
      <w:tr w:rsidR="009103CC" w:rsidRPr="001814D2" w14:paraId="50A65ABF"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54D08011" w14:textId="77777777" w:rsidR="009103CC" w:rsidRPr="001814D2" w:rsidRDefault="009103CC" w:rsidP="002718DF">
            <w:pPr>
              <w:pStyle w:val="Tabletext"/>
            </w:pPr>
            <w:r w:rsidRPr="001814D2">
              <w:t>Property plant and equipment</w:t>
            </w:r>
          </w:p>
        </w:tc>
        <w:tc>
          <w:tcPr>
            <w:tcW w:w="377" w:type="pct"/>
            <w:tcBorders>
              <w:top w:val="single" w:sz="4" w:space="0" w:color="auto"/>
              <w:bottom w:val="single" w:sz="4" w:space="0" w:color="auto"/>
            </w:tcBorders>
            <w:tcMar>
              <w:top w:w="0" w:type="dxa"/>
              <w:left w:w="0" w:type="dxa"/>
              <w:bottom w:w="0" w:type="dxa"/>
              <w:right w:w="0" w:type="dxa"/>
            </w:tcMar>
            <w:vAlign w:val="center"/>
          </w:tcPr>
          <w:p w14:paraId="5DCDF3A6" w14:textId="77777777" w:rsidR="009103CC" w:rsidRPr="001814D2" w:rsidRDefault="009103CC" w:rsidP="002718DF">
            <w:pPr>
              <w:pStyle w:val="Tabletext"/>
              <w:rPr>
                <w:rFonts w:cs="Preston"/>
                <w:szCs w:val="18"/>
              </w:rPr>
            </w:pPr>
            <w:r w:rsidRPr="001814D2">
              <w:rPr>
                <w:rFonts w:cs="Preston"/>
                <w:szCs w:val="18"/>
              </w:rPr>
              <w:t>9</w:t>
            </w:r>
          </w:p>
        </w:tc>
        <w:tc>
          <w:tcPr>
            <w:tcW w:w="569" w:type="pct"/>
            <w:tcBorders>
              <w:top w:val="single" w:sz="4" w:space="0" w:color="auto"/>
              <w:bottom w:val="single" w:sz="4" w:space="0" w:color="auto"/>
            </w:tcBorders>
            <w:tcMar>
              <w:top w:w="0" w:type="dxa"/>
              <w:left w:w="0" w:type="dxa"/>
              <w:bottom w:w="0" w:type="dxa"/>
              <w:right w:w="0" w:type="dxa"/>
            </w:tcMar>
            <w:vAlign w:val="center"/>
          </w:tcPr>
          <w:p w14:paraId="41092197"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165A621E" w14:textId="77777777" w:rsidR="009103CC" w:rsidRPr="001814D2" w:rsidRDefault="009103CC" w:rsidP="002718DF">
            <w:pPr>
              <w:pStyle w:val="Tabletext"/>
              <w:jc w:val="right"/>
            </w:pPr>
          </w:p>
        </w:tc>
        <w:tc>
          <w:tcPr>
            <w:tcW w:w="935" w:type="pct"/>
            <w:tcBorders>
              <w:top w:val="single" w:sz="4" w:space="0" w:color="auto"/>
              <w:bottom w:val="single" w:sz="4" w:space="0" w:color="auto"/>
            </w:tcBorders>
            <w:tcMar>
              <w:top w:w="0" w:type="dxa"/>
              <w:left w:w="0" w:type="dxa"/>
              <w:bottom w:w="0" w:type="dxa"/>
              <w:right w:w="0" w:type="dxa"/>
            </w:tcMar>
            <w:vAlign w:val="center"/>
          </w:tcPr>
          <w:p w14:paraId="2472DE95"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65D1D11E"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3D5067AE" w14:textId="77777777" w:rsidR="009103CC" w:rsidRPr="001814D2" w:rsidRDefault="009103CC" w:rsidP="002718DF">
            <w:pPr>
              <w:pStyle w:val="Tabletext"/>
              <w:jc w:val="right"/>
            </w:pPr>
          </w:p>
        </w:tc>
      </w:tr>
      <w:tr w:rsidR="009103CC" w:rsidRPr="001814D2" w14:paraId="1D886D53"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18F437BE" w14:textId="77777777" w:rsidR="009103CC" w:rsidRPr="001814D2" w:rsidRDefault="009103CC" w:rsidP="002718DF">
            <w:pPr>
              <w:pStyle w:val="Tabletext"/>
            </w:pPr>
            <w:r w:rsidRPr="001814D2">
              <w:t>Land</w:t>
            </w:r>
          </w:p>
        </w:tc>
        <w:tc>
          <w:tcPr>
            <w:tcW w:w="377" w:type="pct"/>
            <w:tcBorders>
              <w:top w:val="single" w:sz="4" w:space="0" w:color="auto"/>
              <w:bottom w:val="single" w:sz="4" w:space="0" w:color="auto"/>
            </w:tcBorders>
            <w:tcMar>
              <w:top w:w="0" w:type="dxa"/>
              <w:left w:w="0" w:type="dxa"/>
              <w:bottom w:w="0" w:type="dxa"/>
              <w:right w:w="0" w:type="dxa"/>
            </w:tcMar>
            <w:vAlign w:val="center"/>
          </w:tcPr>
          <w:p w14:paraId="6C0B2C24"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03A96328" w14:textId="77777777" w:rsidR="009103CC" w:rsidRPr="001814D2" w:rsidRDefault="009103CC" w:rsidP="002718DF">
            <w:pPr>
              <w:pStyle w:val="Tabletext"/>
              <w:jc w:val="right"/>
              <w:rPr>
                <w:rFonts w:cs="Preston"/>
                <w:szCs w:val="18"/>
              </w:rPr>
            </w:pPr>
            <w:r w:rsidRPr="001814D2">
              <w:rPr>
                <w:rFonts w:cs="Preston"/>
                <w:szCs w:val="18"/>
              </w:rPr>
              <w:t>27,100</w:t>
            </w:r>
          </w:p>
        </w:tc>
        <w:tc>
          <w:tcPr>
            <w:tcW w:w="569" w:type="pct"/>
            <w:tcBorders>
              <w:top w:val="single" w:sz="4" w:space="0" w:color="auto"/>
              <w:bottom w:val="single" w:sz="4" w:space="0" w:color="auto"/>
            </w:tcBorders>
            <w:tcMar>
              <w:top w:w="0" w:type="dxa"/>
              <w:left w:w="0" w:type="dxa"/>
              <w:bottom w:w="0" w:type="dxa"/>
              <w:right w:w="0" w:type="dxa"/>
            </w:tcMar>
            <w:vAlign w:val="center"/>
          </w:tcPr>
          <w:p w14:paraId="144DB599" w14:textId="77777777" w:rsidR="009103CC" w:rsidRPr="001814D2" w:rsidRDefault="009103CC" w:rsidP="002718DF">
            <w:pPr>
              <w:pStyle w:val="Tabletext"/>
              <w:jc w:val="right"/>
              <w:rPr>
                <w:rFonts w:cs="Preston"/>
                <w:szCs w:val="18"/>
              </w:rPr>
            </w:pPr>
            <w:r w:rsidRPr="001814D2">
              <w:rPr>
                <w:rFonts w:cs="Preston"/>
                <w:szCs w:val="18"/>
              </w:rPr>
              <w:t>25,600</w:t>
            </w:r>
          </w:p>
        </w:tc>
        <w:tc>
          <w:tcPr>
            <w:tcW w:w="935" w:type="pct"/>
            <w:tcBorders>
              <w:top w:val="single" w:sz="4" w:space="0" w:color="auto"/>
              <w:bottom w:val="single" w:sz="4" w:space="0" w:color="auto"/>
            </w:tcBorders>
            <w:tcMar>
              <w:top w:w="0" w:type="dxa"/>
              <w:left w:w="0" w:type="dxa"/>
              <w:bottom w:w="0" w:type="dxa"/>
              <w:right w:w="0" w:type="dxa"/>
            </w:tcMar>
            <w:vAlign w:val="center"/>
          </w:tcPr>
          <w:p w14:paraId="043C6DAD" w14:textId="77777777" w:rsidR="009103CC" w:rsidRPr="001814D2" w:rsidRDefault="009103CC" w:rsidP="002718DF">
            <w:pPr>
              <w:pStyle w:val="Tabletext"/>
              <w:jc w:val="right"/>
              <w:rPr>
                <w:rFonts w:cs="Preston"/>
                <w:szCs w:val="18"/>
              </w:rPr>
            </w:pPr>
            <w:r w:rsidRPr="001814D2">
              <w:rPr>
                <w:rFonts w:cs="Preston"/>
                <w:szCs w:val="18"/>
              </w:rPr>
              <w:t>25,600</w:t>
            </w:r>
          </w:p>
        </w:tc>
        <w:tc>
          <w:tcPr>
            <w:tcW w:w="569" w:type="pct"/>
            <w:tcBorders>
              <w:top w:val="single" w:sz="4" w:space="0" w:color="auto"/>
              <w:bottom w:val="single" w:sz="4" w:space="0" w:color="auto"/>
            </w:tcBorders>
            <w:tcMar>
              <w:top w:w="0" w:type="dxa"/>
              <w:left w:w="0" w:type="dxa"/>
              <w:bottom w:w="0" w:type="dxa"/>
              <w:right w:w="0" w:type="dxa"/>
            </w:tcMar>
            <w:vAlign w:val="center"/>
          </w:tcPr>
          <w:p w14:paraId="1D483714" w14:textId="77777777" w:rsidR="009103CC" w:rsidRPr="001814D2" w:rsidRDefault="009103CC" w:rsidP="002718DF">
            <w:pPr>
              <w:pStyle w:val="Tabletext"/>
              <w:jc w:val="right"/>
              <w:rPr>
                <w:rFonts w:cs="Preston"/>
                <w:szCs w:val="18"/>
              </w:rPr>
            </w:pPr>
            <w:r w:rsidRPr="001814D2">
              <w:rPr>
                <w:rFonts w:cs="Preston"/>
                <w:szCs w:val="18"/>
              </w:rPr>
              <w:t>27,100</w:t>
            </w:r>
          </w:p>
        </w:tc>
        <w:tc>
          <w:tcPr>
            <w:tcW w:w="569" w:type="pct"/>
            <w:tcBorders>
              <w:top w:val="single" w:sz="4" w:space="0" w:color="auto"/>
              <w:bottom w:val="single" w:sz="4" w:space="0" w:color="auto"/>
            </w:tcBorders>
            <w:tcMar>
              <w:top w:w="0" w:type="dxa"/>
              <w:left w:w="0" w:type="dxa"/>
              <w:bottom w:w="0" w:type="dxa"/>
              <w:right w:w="0" w:type="dxa"/>
            </w:tcMar>
            <w:vAlign w:val="center"/>
          </w:tcPr>
          <w:p w14:paraId="7675BAB3" w14:textId="77777777" w:rsidR="009103CC" w:rsidRPr="001814D2" w:rsidRDefault="009103CC" w:rsidP="002718DF">
            <w:pPr>
              <w:pStyle w:val="Tabletext"/>
              <w:jc w:val="right"/>
              <w:rPr>
                <w:rFonts w:cs="Preston"/>
                <w:szCs w:val="18"/>
              </w:rPr>
            </w:pPr>
            <w:r w:rsidRPr="001814D2">
              <w:rPr>
                <w:rFonts w:cs="Preston"/>
                <w:szCs w:val="18"/>
              </w:rPr>
              <w:t>25,600</w:t>
            </w:r>
          </w:p>
        </w:tc>
      </w:tr>
      <w:tr w:rsidR="009103CC" w:rsidRPr="001814D2" w14:paraId="08ECFD32"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15D6CC37" w14:textId="77777777" w:rsidR="009103CC" w:rsidRPr="001814D2" w:rsidRDefault="009103CC" w:rsidP="002718DF">
            <w:pPr>
              <w:pStyle w:val="Tabletext"/>
            </w:pPr>
            <w:r w:rsidRPr="001814D2">
              <w:t>Buildings</w:t>
            </w:r>
          </w:p>
        </w:tc>
        <w:tc>
          <w:tcPr>
            <w:tcW w:w="377" w:type="pct"/>
            <w:tcBorders>
              <w:top w:val="single" w:sz="4" w:space="0" w:color="auto"/>
              <w:bottom w:val="single" w:sz="4" w:space="0" w:color="auto"/>
            </w:tcBorders>
            <w:tcMar>
              <w:top w:w="0" w:type="dxa"/>
              <w:left w:w="0" w:type="dxa"/>
              <w:bottom w:w="0" w:type="dxa"/>
              <w:right w:w="0" w:type="dxa"/>
            </w:tcMar>
            <w:vAlign w:val="center"/>
          </w:tcPr>
          <w:p w14:paraId="6C652342"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7F068D8A" w14:textId="77777777" w:rsidR="009103CC" w:rsidRPr="001814D2" w:rsidRDefault="009103CC" w:rsidP="002718DF">
            <w:pPr>
              <w:pStyle w:val="Tabletext"/>
              <w:jc w:val="right"/>
              <w:rPr>
                <w:rFonts w:cs="Preston"/>
                <w:szCs w:val="18"/>
              </w:rPr>
            </w:pPr>
            <w:r w:rsidRPr="001814D2">
              <w:rPr>
                <w:rFonts w:cs="Preston"/>
                <w:szCs w:val="18"/>
              </w:rPr>
              <w:t>372,597</w:t>
            </w:r>
          </w:p>
        </w:tc>
        <w:tc>
          <w:tcPr>
            <w:tcW w:w="569" w:type="pct"/>
            <w:tcBorders>
              <w:top w:val="single" w:sz="4" w:space="0" w:color="auto"/>
              <w:bottom w:val="single" w:sz="4" w:space="0" w:color="auto"/>
            </w:tcBorders>
            <w:tcMar>
              <w:top w:w="0" w:type="dxa"/>
              <w:left w:w="0" w:type="dxa"/>
              <w:bottom w:w="0" w:type="dxa"/>
              <w:right w:w="0" w:type="dxa"/>
            </w:tcMar>
            <w:vAlign w:val="center"/>
          </w:tcPr>
          <w:p w14:paraId="3970DCFF" w14:textId="77777777" w:rsidR="009103CC" w:rsidRPr="001814D2" w:rsidRDefault="009103CC" w:rsidP="002718DF">
            <w:pPr>
              <w:pStyle w:val="Tabletext"/>
              <w:jc w:val="right"/>
              <w:rPr>
                <w:rFonts w:cs="Preston"/>
                <w:szCs w:val="18"/>
              </w:rPr>
            </w:pPr>
            <w:r w:rsidRPr="001814D2">
              <w:rPr>
                <w:rFonts w:cs="Preston"/>
                <w:szCs w:val="18"/>
              </w:rPr>
              <w:t>292,419</w:t>
            </w:r>
          </w:p>
        </w:tc>
        <w:tc>
          <w:tcPr>
            <w:tcW w:w="935" w:type="pct"/>
            <w:tcBorders>
              <w:top w:val="single" w:sz="4" w:space="0" w:color="auto"/>
              <w:bottom w:val="single" w:sz="4" w:space="0" w:color="auto"/>
            </w:tcBorders>
            <w:tcMar>
              <w:top w:w="0" w:type="dxa"/>
              <w:left w:w="0" w:type="dxa"/>
              <w:bottom w:w="0" w:type="dxa"/>
              <w:right w:w="0" w:type="dxa"/>
            </w:tcMar>
            <w:vAlign w:val="center"/>
          </w:tcPr>
          <w:p w14:paraId="39DAF1D6" w14:textId="77777777" w:rsidR="009103CC" w:rsidRPr="001814D2" w:rsidRDefault="009103CC" w:rsidP="002718DF">
            <w:pPr>
              <w:pStyle w:val="Tabletext"/>
              <w:jc w:val="right"/>
              <w:rPr>
                <w:rFonts w:cs="Preston"/>
                <w:szCs w:val="18"/>
              </w:rPr>
            </w:pPr>
            <w:r w:rsidRPr="001814D2">
              <w:rPr>
                <w:rFonts w:cs="Preston"/>
                <w:szCs w:val="18"/>
              </w:rPr>
              <w:t>402,503</w:t>
            </w:r>
          </w:p>
        </w:tc>
        <w:tc>
          <w:tcPr>
            <w:tcW w:w="569" w:type="pct"/>
            <w:tcBorders>
              <w:top w:val="single" w:sz="4" w:space="0" w:color="auto"/>
              <w:bottom w:val="single" w:sz="4" w:space="0" w:color="auto"/>
            </w:tcBorders>
            <w:tcMar>
              <w:top w:w="0" w:type="dxa"/>
              <w:left w:w="0" w:type="dxa"/>
              <w:bottom w:w="0" w:type="dxa"/>
              <w:right w:w="0" w:type="dxa"/>
            </w:tcMar>
            <w:vAlign w:val="center"/>
          </w:tcPr>
          <w:p w14:paraId="1F7C785C" w14:textId="77777777" w:rsidR="009103CC" w:rsidRPr="001814D2" w:rsidRDefault="009103CC" w:rsidP="002718DF">
            <w:pPr>
              <w:pStyle w:val="Tabletext"/>
              <w:jc w:val="right"/>
              <w:rPr>
                <w:rFonts w:cs="Preston"/>
                <w:szCs w:val="18"/>
              </w:rPr>
            </w:pPr>
            <w:r w:rsidRPr="001814D2">
              <w:rPr>
                <w:rFonts w:cs="Preston"/>
                <w:szCs w:val="18"/>
              </w:rPr>
              <w:t>372,597</w:t>
            </w:r>
          </w:p>
        </w:tc>
        <w:tc>
          <w:tcPr>
            <w:tcW w:w="569" w:type="pct"/>
            <w:tcBorders>
              <w:top w:val="single" w:sz="4" w:space="0" w:color="auto"/>
              <w:bottom w:val="single" w:sz="4" w:space="0" w:color="auto"/>
            </w:tcBorders>
            <w:tcMar>
              <w:top w:w="0" w:type="dxa"/>
              <w:left w:w="0" w:type="dxa"/>
              <w:bottom w:w="0" w:type="dxa"/>
              <w:right w:w="0" w:type="dxa"/>
            </w:tcMar>
            <w:vAlign w:val="center"/>
          </w:tcPr>
          <w:p w14:paraId="05221E31" w14:textId="77777777" w:rsidR="009103CC" w:rsidRPr="001814D2" w:rsidRDefault="009103CC" w:rsidP="002718DF">
            <w:pPr>
              <w:pStyle w:val="Tabletext"/>
              <w:jc w:val="right"/>
              <w:rPr>
                <w:rFonts w:cs="Preston"/>
                <w:szCs w:val="18"/>
              </w:rPr>
            </w:pPr>
            <w:r w:rsidRPr="001814D2">
              <w:rPr>
                <w:rFonts w:cs="Preston"/>
                <w:szCs w:val="18"/>
              </w:rPr>
              <w:t>292,419</w:t>
            </w:r>
          </w:p>
        </w:tc>
      </w:tr>
      <w:tr w:rsidR="009103CC" w:rsidRPr="001814D2" w14:paraId="13042402"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06BA0DE8" w14:textId="77777777" w:rsidR="009103CC" w:rsidRPr="001814D2" w:rsidRDefault="009103CC" w:rsidP="002718DF">
            <w:pPr>
              <w:pStyle w:val="Tabletext"/>
            </w:pPr>
            <w:r w:rsidRPr="001814D2">
              <w:t>Plant and equipment</w:t>
            </w:r>
          </w:p>
        </w:tc>
        <w:tc>
          <w:tcPr>
            <w:tcW w:w="377" w:type="pct"/>
            <w:tcBorders>
              <w:top w:val="single" w:sz="4" w:space="0" w:color="auto"/>
              <w:bottom w:val="single" w:sz="4" w:space="0" w:color="auto"/>
            </w:tcBorders>
            <w:tcMar>
              <w:top w:w="0" w:type="dxa"/>
              <w:left w:w="0" w:type="dxa"/>
              <w:bottom w:w="0" w:type="dxa"/>
              <w:right w:w="0" w:type="dxa"/>
            </w:tcMar>
            <w:vAlign w:val="center"/>
          </w:tcPr>
          <w:p w14:paraId="2AB42D3D"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5D383A3A" w14:textId="77777777" w:rsidR="009103CC" w:rsidRPr="001814D2" w:rsidRDefault="009103CC" w:rsidP="002718DF">
            <w:pPr>
              <w:pStyle w:val="Tabletext"/>
              <w:jc w:val="right"/>
              <w:rPr>
                <w:rFonts w:cs="Preston"/>
                <w:szCs w:val="18"/>
              </w:rPr>
            </w:pPr>
            <w:r w:rsidRPr="001814D2">
              <w:rPr>
                <w:rFonts w:cs="Preston"/>
                <w:szCs w:val="18"/>
              </w:rPr>
              <w:t>3,884</w:t>
            </w:r>
          </w:p>
        </w:tc>
        <w:tc>
          <w:tcPr>
            <w:tcW w:w="569" w:type="pct"/>
            <w:tcBorders>
              <w:top w:val="single" w:sz="4" w:space="0" w:color="auto"/>
              <w:bottom w:val="single" w:sz="4" w:space="0" w:color="auto"/>
            </w:tcBorders>
            <w:tcMar>
              <w:top w:w="0" w:type="dxa"/>
              <w:left w:w="0" w:type="dxa"/>
              <w:bottom w:w="0" w:type="dxa"/>
              <w:right w:w="0" w:type="dxa"/>
            </w:tcMar>
            <w:vAlign w:val="center"/>
          </w:tcPr>
          <w:p w14:paraId="511E9E55" w14:textId="77777777" w:rsidR="009103CC" w:rsidRPr="001814D2" w:rsidRDefault="009103CC" w:rsidP="002718DF">
            <w:pPr>
              <w:pStyle w:val="Tabletext"/>
              <w:jc w:val="right"/>
              <w:rPr>
                <w:rFonts w:cs="Preston"/>
                <w:szCs w:val="18"/>
              </w:rPr>
            </w:pPr>
            <w:r w:rsidRPr="001814D2">
              <w:rPr>
                <w:rFonts w:cs="Preston"/>
                <w:szCs w:val="18"/>
              </w:rPr>
              <w:t>3,236</w:t>
            </w:r>
          </w:p>
        </w:tc>
        <w:tc>
          <w:tcPr>
            <w:tcW w:w="935" w:type="pct"/>
            <w:tcBorders>
              <w:top w:val="single" w:sz="4" w:space="0" w:color="auto"/>
              <w:bottom w:val="single" w:sz="4" w:space="0" w:color="auto"/>
            </w:tcBorders>
            <w:tcMar>
              <w:top w:w="0" w:type="dxa"/>
              <w:left w:w="0" w:type="dxa"/>
              <w:bottom w:w="0" w:type="dxa"/>
              <w:right w:w="0" w:type="dxa"/>
            </w:tcMar>
            <w:vAlign w:val="center"/>
          </w:tcPr>
          <w:p w14:paraId="1EAD05DD" w14:textId="77777777" w:rsidR="009103CC" w:rsidRPr="001814D2" w:rsidRDefault="009103CC" w:rsidP="002718DF">
            <w:pPr>
              <w:pStyle w:val="Tabletext"/>
              <w:jc w:val="right"/>
              <w:rPr>
                <w:rFonts w:cs="Preston"/>
                <w:szCs w:val="18"/>
              </w:rPr>
            </w:pPr>
            <w:r w:rsidRPr="001814D2">
              <w:rPr>
                <w:rFonts w:cs="Preston"/>
                <w:szCs w:val="18"/>
              </w:rPr>
              <w:t>2,472</w:t>
            </w:r>
          </w:p>
        </w:tc>
        <w:tc>
          <w:tcPr>
            <w:tcW w:w="569" w:type="pct"/>
            <w:tcBorders>
              <w:top w:val="single" w:sz="4" w:space="0" w:color="auto"/>
              <w:bottom w:val="single" w:sz="4" w:space="0" w:color="auto"/>
            </w:tcBorders>
            <w:tcMar>
              <w:top w:w="0" w:type="dxa"/>
              <w:left w:w="0" w:type="dxa"/>
              <w:bottom w:w="0" w:type="dxa"/>
              <w:right w:w="0" w:type="dxa"/>
            </w:tcMar>
            <w:vAlign w:val="center"/>
          </w:tcPr>
          <w:p w14:paraId="6EC6A0BC" w14:textId="77777777" w:rsidR="009103CC" w:rsidRPr="001814D2" w:rsidRDefault="009103CC" w:rsidP="002718DF">
            <w:pPr>
              <w:pStyle w:val="Tabletext"/>
              <w:jc w:val="right"/>
              <w:rPr>
                <w:rFonts w:cs="Preston"/>
                <w:szCs w:val="18"/>
              </w:rPr>
            </w:pPr>
            <w:r w:rsidRPr="001814D2">
              <w:rPr>
                <w:rFonts w:cs="Preston"/>
                <w:szCs w:val="18"/>
              </w:rPr>
              <w:t>3,884</w:t>
            </w:r>
          </w:p>
        </w:tc>
        <w:tc>
          <w:tcPr>
            <w:tcW w:w="569" w:type="pct"/>
            <w:tcBorders>
              <w:top w:val="single" w:sz="4" w:space="0" w:color="auto"/>
              <w:bottom w:val="single" w:sz="4" w:space="0" w:color="auto"/>
            </w:tcBorders>
            <w:tcMar>
              <w:top w:w="0" w:type="dxa"/>
              <w:left w:w="0" w:type="dxa"/>
              <w:bottom w:w="0" w:type="dxa"/>
              <w:right w:w="0" w:type="dxa"/>
            </w:tcMar>
            <w:vAlign w:val="center"/>
          </w:tcPr>
          <w:p w14:paraId="55114801" w14:textId="77777777" w:rsidR="009103CC" w:rsidRPr="001814D2" w:rsidRDefault="009103CC" w:rsidP="002718DF">
            <w:pPr>
              <w:pStyle w:val="Tabletext"/>
              <w:jc w:val="right"/>
              <w:rPr>
                <w:rFonts w:cs="Preston"/>
                <w:szCs w:val="18"/>
              </w:rPr>
            </w:pPr>
            <w:r w:rsidRPr="001814D2">
              <w:rPr>
                <w:rFonts w:cs="Preston"/>
                <w:szCs w:val="18"/>
              </w:rPr>
              <w:t>3,236</w:t>
            </w:r>
          </w:p>
        </w:tc>
      </w:tr>
      <w:tr w:rsidR="009103CC" w:rsidRPr="001814D2" w14:paraId="5755A873"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20E62BCF" w14:textId="77777777" w:rsidR="009103CC" w:rsidRPr="001814D2" w:rsidRDefault="009103CC" w:rsidP="002718DF">
            <w:pPr>
              <w:pStyle w:val="Tabletext"/>
            </w:pPr>
            <w:r w:rsidRPr="001814D2">
              <w:t>Collection assets</w:t>
            </w:r>
          </w:p>
        </w:tc>
        <w:tc>
          <w:tcPr>
            <w:tcW w:w="377" w:type="pct"/>
            <w:tcBorders>
              <w:top w:val="single" w:sz="4" w:space="0" w:color="auto"/>
              <w:bottom w:val="single" w:sz="4" w:space="0" w:color="auto"/>
            </w:tcBorders>
            <w:tcMar>
              <w:top w:w="0" w:type="dxa"/>
              <w:left w:w="0" w:type="dxa"/>
              <w:bottom w:w="0" w:type="dxa"/>
              <w:right w:w="0" w:type="dxa"/>
            </w:tcMar>
            <w:vAlign w:val="center"/>
          </w:tcPr>
          <w:p w14:paraId="392B57D3"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4ED51943" w14:textId="77777777" w:rsidR="009103CC" w:rsidRPr="001814D2" w:rsidRDefault="009103CC" w:rsidP="002718DF">
            <w:pPr>
              <w:pStyle w:val="Tabletext"/>
              <w:jc w:val="right"/>
              <w:rPr>
                <w:rFonts w:cs="Preston"/>
                <w:szCs w:val="18"/>
              </w:rPr>
            </w:pPr>
            <w:r w:rsidRPr="001814D2">
              <w:rPr>
                <w:rFonts w:cs="Preston"/>
                <w:szCs w:val="18"/>
              </w:rPr>
              <w:t>1,804,321</w:t>
            </w:r>
          </w:p>
        </w:tc>
        <w:tc>
          <w:tcPr>
            <w:tcW w:w="569" w:type="pct"/>
            <w:tcBorders>
              <w:top w:val="single" w:sz="4" w:space="0" w:color="auto"/>
              <w:bottom w:val="single" w:sz="4" w:space="0" w:color="auto"/>
            </w:tcBorders>
            <w:tcMar>
              <w:top w:w="0" w:type="dxa"/>
              <w:left w:w="0" w:type="dxa"/>
              <w:bottom w:w="0" w:type="dxa"/>
              <w:right w:w="0" w:type="dxa"/>
            </w:tcMar>
            <w:vAlign w:val="center"/>
          </w:tcPr>
          <w:p w14:paraId="6036F07C" w14:textId="77777777" w:rsidR="009103CC" w:rsidRPr="001814D2" w:rsidRDefault="009103CC" w:rsidP="002718DF">
            <w:pPr>
              <w:pStyle w:val="Tabletext"/>
              <w:jc w:val="right"/>
              <w:rPr>
                <w:rFonts w:cs="Preston"/>
                <w:szCs w:val="18"/>
              </w:rPr>
            </w:pPr>
            <w:r w:rsidRPr="001814D2">
              <w:rPr>
                <w:rFonts w:cs="Preston"/>
                <w:szCs w:val="18"/>
              </w:rPr>
              <w:t>1,791,534</w:t>
            </w:r>
          </w:p>
        </w:tc>
        <w:tc>
          <w:tcPr>
            <w:tcW w:w="935" w:type="pct"/>
            <w:tcBorders>
              <w:top w:val="single" w:sz="4" w:space="0" w:color="auto"/>
              <w:bottom w:val="single" w:sz="4" w:space="0" w:color="auto"/>
            </w:tcBorders>
            <w:tcMar>
              <w:top w:w="0" w:type="dxa"/>
              <w:left w:w="0" w:type="dxa"/>
              <w:bottom w:w="0" w:type="dxa"/>
              <w:right w:w="0" w:type="dxa"/>
            </w:tcMar>
            <w:vAlign w:val="center"/>
          </w:tcPr>
          <w:p w14:paraId="36B4BA63" w14:textId="77777777" w:rsidR="009103CC" w:rsidRPr="001814D2" w:rsidRDefault="009103CC" w:rsidP="002718DF">
            <w:pPr>
              <w:pStyle w:val="Tabletext"/>
              <w:jc w:val="right"/>
              <w:rPr>
                <w:rFonts w:cs="Preston"/>
                <w:szCs w:val="18"/>
              </w:rPr>
            </w:pPr>
            <w:r w:rsidRPr="001814D2">
              <w:rPr>
                <w:rFonts w:cs="Preston"/>
                <w:szCs w:val="18"/>
              </w:rPr>
              <w:t>1,795,322</w:t>
            </w:r>
          </w:p>
        </w:tc>
        <w:tc>
          <w:tcPr>
            <w:tcW w:w="569" w:type="pct"/>
            <w:tcBorders>
              <w:top w:val="single" w:sz="4" w:space="0" w:color="auto"/>
              <w:bottom w:val="single" w:sz="4" w:space="0" w:color="auto"/>
            </w:tcBorders>
            <w:tcMar>
              <w:top w:w="0" w:type="dxa"/>
              <w:left w:w="0" w:type="dxa"/>
              <w:bottom w:w="0" w:type="dxa"/>
              <w:right w:w="0" w:type="dxa"/>
            </w:tcMar>
            <w:vAlign w:val="center"/>
          </w:tcPr>
          <w:p w14:paraId="4E5F2CAC" w14:textId="77777777" w:rsidR="009103CC" w:rsidRPr="001814D2" w:rsidRDefault="009103CC" w:rsidP="002718DF">
            <w:pPr>
              <w:pStyle w:val="Tabletext"/>
              <w:jc w:val="right"/>
              <w:rPr>
                <w:rFonts w:cs="Preston"/>
                <w:szCs w:val="18"/>
              </w:rPr>
            </w:pPr>
            <w:r w:rsidRPr="001814D2">
              <w:rPr>
                <w:rFonts w:cs="Preston"/>
                <w:szCs w:val="18"/>
              </w:rPr>
              <w:t>1,804,321</w:t>
            </w:r>
          </w:p>
        </w:tc>
        <w:tc>
          <w:tcPr>
            <w:tcW w:w="569" w:type="pct"/>
            <w:tcBorders>
              <w:top w:val="single" w:sz="4" w:space="0" w:color="auto"/>
              <w:bottom w:val="single" w:sz="4" w:space="0" w:color="auto"/>
            </w:tcBorders>
            <w:tcMar>
              <w:top w:w="0" w:type="dxa"/>
              <w:left w:w="0" w:type="dxa"/>
              <w:bottom w:w="0" w:type="dxa"/>
              <w:right w:w="0" w:type="dxa"/>
            </w:tcMar>
            <w:vAlign w:val="center"/>
          </w:tcPr>
          <w:p w14:paraId="3441B1FB" w14:textId="77777777" w:rsidR="009103CC" w:rsidRPr="001814D2" w:rsidRDefault="009103CC" w:rsidP="002718DF">
            <w:pPr>
              <w:pStyle w:val="Tabletext"/>
              <w:jc w:val="right"/>
              <w:rPr>
                <w:rFonts w:cs="Preston"/>
                <w:szCs w:val="18"/>
              </w:rPr>
            </w:pPr>
            <w:r w:rsidRPr="001814D2">
              <w:rPr>
                <w:rFonts w:cs="Preston"/>
                <w:szCs w:val="18"/>
              </w:rPr>
              <w:t>1,791,534</w:t>
            </w:r>
          </w:p>
        </w:tc>
      </w:tr>
      <w:tr w:rsidR="009103CC" w:rsidRPr="001814D2" w14:paraId="6F789A60" w14:textId="77777777" w:rsidTr="002718DF">
        <w:trPr>
          <w:cantSplit/>
          <w:trHeight w:hRule="exact" w:val="440"/>
        </w:trPr>
        <w:tc>
          <w:tcPr>
            <w:tcW w:w="1412" w:type="pct"/>
            <w:tcBorders>
              <w:top w:val="single" w:sz="4" w:space="0" w:color="auto"/>
              <w:bottom w:val="single" w:sz="4" w:space="0" w:color="auto"/>
            </w:tcBorders>
            <w:tcMar>
              <w:top w:w="0" w:type="dxa"/>
              <w:left w:w="0" w:type="dxa"/>
              <w:bottom w:w="0" w:type="dxa"/>
              <w:right w:w="0" w:type="dxa"/>
            </w:tcMar>
            <w:vAlign w:val="center"/>
          </w:tcPr>
          <w:p w14:paraId="0C2C1B72" w14:textId="77777777" w:rsidR="009103CC" w:rsidRPr="001814D2" w:rsidRDefault="009103CC" w:rsidP="002718DF">
            <w:pPr>
              <w:pStyle w:val="Tabletext"/>
            </w:pPr>
            <w:r w:rsidRPr="001814D2">
              <w:t>Total property, plant and equipment</w:t>
            </w:r>
          </w:p>
        </w:tc>
        <w:tc>
          <w:tcPr>
            <w:tcW w:w="377" w:type="pct"/>
            <w:tcBorders>
              <w:top w:val="single" w:sz="4" w:space="0" w:color="auto"/>
              <w:bottom w:val="single" w:sz="4" w:space="0" w:color="auto"/>
            </w:tcBorders>
            <w:tcMar>
              <w:top w:w="0" w:type="dxa"/>
              <w:left w:w="0" w:type="dxa"/>
              <w:bottom w:w="0" w:type="dxa"/>
              <w:right w:w="0" w:type="dxa"/>
            </w:tcMar>
            <w:vAlign w:val="center"/>
          </w:tcPr>
          <w:p w14:paraId="1325ABD3"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273D751A" w14:textId="77777777" w:rsidR="009103CC" w:rsidRPr="001814D2" w:rsidRDefault="009103CC" w:rsidP="002718DF">
            <w:pPr>
              <w:pStyle w:val="Tabletext"/>
              <w:jc w:val="right"/>
              <w:rPr>
                <w:rFonts w:cs="Preston"/>
                <w:szCs w:val="18"/>
              </w:rPr>
            </w:pPr>
            <w:r w:rsidRPr="001814D2">
              <w:rPr>
                <w:rFonts w:cs="Preston"/>
                <w:szCs w:val="18"/>
              </w:rPr>
              <w:t>2,207,902</w:t>
            </w:r>
          </w:p>
        </w:tc>
        <w:tc>
          <w:tcPr>
            <w:tcW w:w="569" w:type="pct"/>
            <w:tcBorders>
              <w:top w:val="single" w:sz="4" w:space="0" w:color="auto"/>
              <w:bottom w:val="single" w:sz="4" w:space="0" w:color="auto"/>
            </w:tcBorders>
            <w:tcMar>
              <w:top w:w="0" w:type="dxa"/>
              <w:left w:w="0" w:type="dxa"/>
              <w:bottom w:w="0" w:type="dxa"/>
              <w:right w:w="0" w:type="dxa"/>
            </w:tcMar>
            <w:vAlign w:val="center"/>
          </w:tcPr>
          <w:p w14:paraId="7BC229CD" w14:textId="77777777" w:rsidR="009103CC" w:rsidRPr="001814D2" w:rsidRDefault="009103CC" w:rsidP="002718DF">
            <w:pPr>
              <w:pStyle w:val="Tabletext"/>
              <w:jc w:val="right"/>
              <w:rPr>
                <w:rFonts w:cs="Preston"/>
                <w:szCs w:val="18"/>
              </w:rPr>
            </w:pPr>
            <w:r w:rsidRPr="001814D2">
              <w:rPr>
                <w:rFonts w:cs="Preston"/>
                <w:szCs w:val="18"/>
              </w:rPr>
              <w:t>2,112,789</w:t>
            </w:r>
          </w:p>
        </w:tc>
        <w:tc>
          <w:tcPr>
            <w:tcW w:w="935" w:type="pct"/>
            <w:tcBorders>
              <w:top w:val="single" w:sz="4" w:space="0" w:color="auto"/>
              <w:bottom w:val="single" w:sz="4" w:space="0" w:color="auto"/>
            </w:tcBorders>
            <w:tcMar>
              <w:top w:w="0" w:type="dxa"/>
              <w:left w:w="0" w:type="dxa"/>
              <w:bottom w:w="0" w:type="dxa"/>
              <w:right w:w="0" w:type="dxa"/>
            </w:tcMar>
            <w:vAlign w:val="center"/>
          </w:tcPr>
          <w:p w14:paraId="62CAA8FD" w14:textId="77777777" w:rsidR="009103CC" w:rsidRPr="001814D2" w:rsidRDefault="009103CC" w:rsidP="002718DF">
            <w:pPr>
              <w:pStyle w:val="Tabletext"/>
              <w:jc w:val="right"/>
              <w:rPr>
                <w:rFonts w:cs="Preston"/>
                <w:szCs w:val="18"/>
              </w:rPr>
            </w:pPr>
            <w:r w:rsidRPr="001814D2">
              <w:rPr>
                <w:rFonts w:cs="Preston"/>
                <w:szCs w:val="18"/>
              </w:rPr>
              <w:t>2,225,897</w:t>
            </w:r>
          </w:p>
        </w:tc>
        <w:tc>
          <w:tcPr>
            <w:tcW w:w="569" w:type="pct"/>
            <w:tcBorders>
              <w:top w:val="single" w:sz="4" w:space="0" w:color="auto"/>
              <w:bottom w:val="single" w:sz="4" w:space="0" w:color="auto"/>
            </w:tcBorders>
            <w:tcMar>
              <w:top w:w="0" w:type="dxa"/>
              <w:left w:w="0" w:type="dxa"/>
              <w:bottom w:w="0" w:type="dxa"/>
              <w:right w:w="0" w:type="dxa"/>
            </w:tcMar>
            <w:vAlign w:val="center"/>
          </w:tcPr>
          <w:p w14:paraId="13C1D425" w14:textId="77777777" w:rsidR="009103CC" w:rsidRPr="001814D2" w:rsidRDefault="009103CC" w:rsidP="002718DF">
            <w:pPr>
              <w:pStyle w:val="Tabletext"/>
              <w:jc w:val="right"/>
              <w:rPr>
                <w:rFonts w:cs="Preston"/>
                <w:szCs w:val="18"/>
              </w:rPr>
            </w:pPr>
            <w:r w:rsidRPr="001814D2">
              <w:rPr>
                <w:rFonts w:cs="Preston"/>
                <w:szCs w:val="18"/>
              </w:rPr>
              <w:t>2,207,902</w:t>
            </w:r>
          </w:p>
        </w:tc>
        <w:tc>
          <w:tcPr>
            <w:tcW w:w="569" w:type="pct"/>
            <w:tcBorders>
              <w:top w:val="single" w:sz="4" w:space="0" w:color="auto"/>
              <w:bottom w:val="single" w:sz="4" w:space="0" w:color="auto"/>
            </w:tcBorders>
            <w:tcMar>
              <w:top w:w="0" w:type="dxa"/>
              <w:left w:w="0" w:type="dxa"/>
              <w:bottom w:w="0" w:type="dxa"/>
              <w:right w:w="0" w:type="dxa"/>
            </w:tcMar>
            <w:vAlign w:val="center"/>
          </w:tcPr>
          <w:p w14:paraId="0DF447F1" w14:textId="77777777" w:rsidR="009103CC" w:rsidRPr="001814D2" w:rsidRDefault="009103CC" w:rsidP="002718DF">
            <w:pPr>
              <w:pStyle w:val="Tabletext"/>
              <w:jc w:val="right"/>
              <w:rPr>
                <w:rFonts w:cs="Preston"/>
                <w:szCs w:val="18"/>
              </w:rPr>
            </w:pPr>
            <w:r w:rsidRPr="001814D2">
              <w:rPr>
                <w:rFonts w:cs="Preston"/>
                <w:szCs w:val="18"/>
              </w:rPr>
              <w:t>2,112,789</w:t>
            </w:r>
          </w:p>
        </w:tc>
      </w:tr>
      <w:tr w:rsidR="009103CC" w:rsidRPr="001814D2" w14:paraId="48BF9C19"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00C74D10" w14:textId="77777777" w:rsidR="009103CC" w:rsidRPr="001814D2" w:rsidRDefault="009103CC" w:rsidP="002718DF">
            <w:pPr>
              <w:pStyle w:val="Tabletext"/>
            </w:pPr>
            <w:r w:rsidRPr="001814D2">
              <w:t>Intangible assets</w:t>
            </w:r>
          </w:p>
        </w:tc>
        <w:tc>
          <w:tcPr>
            <w:tcW w:w="377" w:type="pct"/>
            <w:tcBorders>
              <w:top w:val="single" w:sz="4" w:space="0" w:color="auto"/>
              <w:bottom w:val="single" w:sz="4" w:space="0" w:color="auto"/>
            </w:tcBorders>
            <w:tcMar>
              <w:top w:w="0" w:type="dxa"/>
              <w:left w:w="0" w:type="dxa"/>
              <w:bottom w:w="0" w:type="dxa"/>
              <w:right w:w="0" w:type="dxa"/>
            </w:tcMar>
            <w:vAlign w:val="center"/>
          </w:tcPr>
          <w:p w14:paraId="78E41FC6" w14:textId="77777777" w:rsidR="009103CC" w:rsidRPr="001814D2" w:rsidRDefault="009103CC" w:rsidP="002718DF">
            <w:pPr>
              <w:pStyle w:val="Tabletext"/>
              <w:rPr>
                <w:rFonts w:cs="Preston"/>
                <w:szCs w:val="18"/>
              </w:rPr>
            </w:pPr>
            <w:r w:rsidRPr="001814D2">
              <w:rPr>
                <w:rFonts w:cs="Preston"/>
                <w:szCs w:val="18"/>
              </w:rPr>
              <w:t>10</w:t>
            </w:r>
          </w:p>
        </w:tc>
        <w:tc>
          <w:tcPr>
            <w:tcW w:w="569" w:type="pct"/>
            <w:tcBorders>
              <w:top w:val="single" w:sz="4" w:space="0" w:color="auto"/>
              <w:bottom w:val="single" w:sz="4" w:space="0" w:color="auto"/>
            </w:tcBorders>
            <w:tcMar>
              <w:top w:w="0" w:type="dxa"/>
              <w:left w:w="0" w:type="dxa"/>
              <w:bottom w:w="0" w:type="dxa"/>
              <w:right w:w="0" w:type="dxa"/>
            </w:tcMar>
            <w:vAlign w:val="center"/>
          </w:tcPr>
          <w:p w14:paraId="62A3DB46" w14:textId="77777777" w:rsidR="009103CC" w:rsidRPr="001814D2" w:rsidRDefault="009103CC" w:rsidP="002718DF">
            <w:pPr>
              <w:pStyle w:val="Tabletext"/>
              <w:jc w:val="right"/>
              <w:rPr>
                <w:rFonts w:cs="Preston"/>
                <w:szCs w:val="18"/>
              </w:rPr>
            </w:pPr>
            <w:r w:rsidRPr="001814D2">
              <w:rPr>
                <w:rFonts w:cs="Preston"/>
                <w:szCs w:val="18"/>
              </w:rPr>
              <w:t>3,147</w:t>
            </w:r>
          </w:p>
        </w:tc>
        <w:tc>
          <w:tcPr>
            <w:tcW w:w="569" w:type="pct"/>
            <w:tcBorders>
              <w:top w:val="single" w:sz="4" w:space="0" w:color="auto"/>
              <w:bottom w:val="single" w:sz="4" w:space="0" w:color="auto"/>
            </w:tcBorders>
            <w:tcMar>
              <w:top w:w="0" w:type="dxa"/>
              <w:left w:w="0" w:type="dxa"/>
              <w:bottom w:w="0" w:type="dxa"/>
              <w:right w:w="0" w:type="dxa"/>
            </w:tcMar>
            <w:vAlign w:val="center"/>
          </w:tcPr>
          <w:p w14:paraId="43200AD5" w14:textId="77777777" w:rsidR="009103CC" w:rsidRPr="001814D2" w:rsidRDefault="009103CC" w:rsidP="002718DF">
            <w:pPr>
              <w:pStyle w:val="Tabletext"/>
              <w:jc w:val="right"/>
              <w:rPr>
                <w:rFonts w:cs="Preston"/>
                <w:szCs w:val="18"/>
              </w:rPr>
            </w:pPr>
            <w:r w:rsidRPr="001814D2">
              <w:rPr>
                <w:rFonts w:cs="Preston"/>
                <w:szCs w:val="18"/>
              </w:rPr>
              <w:t>2,759</w:t>
            </w:r>
          </w:p>
        </w:tc>
        <w:tc>
          <w:tcPr>
            <w:tcW w:w="935" w:type="pct"/>
            <w:tcBorders>
              <w:top w:val="single" w:sz="4" w:space="0" w:color="auto"/>
              <w:bottom w:val="single" w:sz="4" w:space="0" w:color="auto"/>
            </w:tcBorders>
            <w:tcMar>
              <w:top w:w="0" w:type="dxa"/>
              <w:left w:w="0" w:type="dxa"/>
              <w:bottom w:w="0" w:type="dxa"/>
              <w:right w:w="0" w:type="dxa"/>
            </w:tcMar>
            <w:vAlign w:val="center"/>
          </w:tcPr>
          <w:p w14:paraId="3F4C77A1" w14:textId="77777777" w:rsidR="009103CC" w:rsidRPr="001814D2" w:rsidRDefault="009103CC" w:rsidP="002718DF">
            <w:pPr>
              <w:pStyle w:val="Tabletext"/>
              <w:jc w:val="right"/>
              <w:rPr>
                <w:rFonts w:cs="Preston"/>
                <w:szCs w:val="18"/>
              </w:rPr>
            </w:pPr>
            <w:r w:rsidRPr="001814D2">
              <w:rPr>
                <w:rFonts w:cs="Preston"/>
                <w:szCs w:val="18"/>
              </w:rPr>
              <w:t>4,759</w:t>
            </w:r>
          </w:p>
        </w:tc>
        <w:tc>
          <w:tcPr>
            <w:tcW w:w="569" w:type="pct"/>
            <w:tcBorders>
              <w:top w:val="single" w:sz="4" w:space="0" w:color="auto"/>
              <w:bottom w:val="single" w:sz="4" w:space="0" w:color="auto"/>
            </w:tcBorders>
            <w:tcMar>
              <w:top w:w="0" w:type="dxa"/>
              <w:left w:w="0" w:type="dxa"/>
              <w:bottom w:w="0" w:type="dxa"/>
              <w:right w:w="0" w:type="dxa"/>
            </w:tcMar>
            <w:vAlign w:val="center"/>
          </w:tcPr>
          <w:p w14:paraId="739624B1" w14:textId="77777777" w:rsidR="009103CC" w:rsidRPr="001814D2" w:rsidRDefault="009103CC" w:rsidP="002718DF">
            <w:pPr>
              <w:pStyle w:val="Tabletext"/>
              <w:jc w:val="right"/>
              <w:rPr>
                <w:rFonts w:cs="Preston"/>
                <w:szCs w:val="18"/>
              </w:rPr>
            </w:pPr>
            <w:r w:rsidRPr="001814D2">
              <w:rPr>
                <w:rFonts w:cs="Preston"/>
                <w:szCs w:val="18"/>
              </w:rPr>
              <w:t>3,147</w:t>
            </w:r>
          </w:p>
        </w:tc>
        <w:tc>
          <w:tcPr>
            <w:tcW w:w="569" w:type="pct"/>
            <w:tcBorders>
              <w:top w:val="single" w:sz="4" w:space="0" w:color="auto"/>
              <w:bottom w:val="single" w:sz="4" w:space="0" w:color="auto"/>
            </w:tcBorders>
            <w:tcMar>
              <w:top w:w="0" w:type="dxa"/>
              <w:left w:w="0" w:type="dxa"/>
              <w:bottom w:w="0" w:type="dxa"/>
              <w:right w:w="0" w:type="dxa"/>
            </w:tcMar>
            <w:vAlign w:val="center"/>
          </w:tcPr>
          <w:p w14:paraId="620A85E5" w14:textId="77777777" w:rsidR="009103CC" w:rsidRPr="001814D2" w:rsidRDefault="009103CC" w:rsidP="002718DF">
            <w:pPr>
              <w:pStyle w:val="Tabletext"/>
              <w:jc w:val="right"/>
              <w:rPr>
                <w:rFonts w:cs="Preston"/>
                <w:szCs w:val="18"/>
              </w:rPr>
            </w:pPr>
            <w:r w:rsidRPr="001814D2">
              <w:rPr>
                <w:rFonts w:cs="Preston"/>
                <w:szCs w:val="18"/>
              </w:rPr>
              <w:t>2,759</w:t>
            </w:r>
          </w:p>
        </w:tc>
      </w:tr>
      <w:tr w:rsidR="009103CC" w:rsidRPr="001814D2" w14:paraId="599CF9E8"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79D45939" w14:textId="77777777" w:rsidR="009103CC" w:rsidRPr="001814D2" w:rsidRDefault="009103CC" w:rsidP="002718DF">
            <w:pPr>
              <w:pStyle w:val="Tabletext"/>
              <w:rPr>
                <w:rFonts w:cs="Preston"/>
                <w:b/>
                <w:bCs/>
                <w:szCs w:val="18"/>
              </w:rPr>
            </w:pPr>
            <w:r w:rsidRPr="001814D2">
              <w:rPr>
                <w:rFonts w:cs="Preston"/>
                <w:b/>
                <w:bCs/>
                <w:szCs w:val="18"/>
              </w:rPr>
              <w:t>Total non-current assets</w:t>
            </w:r>
          </w:p>
        </w:tc>
        <w:tc>
          <w:tcPr>
            <w:tcW w:w="377" w:type="pct"/>
            <w:tcBorders>
              <w:top w:val="single" w:sz="4" w:space="0" w:color="auto"/>
              <w:bottom w:val="single" w:sz="4" w:space="0" w:color="auto"/>
            </w:tcBorders>
            <w:tcMar>
              <w:top w:w="0" w:type="dxa"/>
              <w:left w:w="0" w:type="dxa"/>
              <w:bottom w:w="0" w:type="dxa"/>
              <w:right w:w="0" w:type="dxa"/>
            </w:tcMar>
            <w:vAlign w:val="center"/>
          </w:tcPr>
          <w:p w14:paraId="626FE05B" w14:textId="77777777" w:rsidR="009103CC" w:rsidRPr="001814D2" w:rsidRDefault="009103CC" w:rsidP="002718DF">
            <w:pPr>
              <w:pStyle w:val="Tabletext"/>
              <w:rPr>
                <w:b/>
                <w:bCs/>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78FEFE9D" w14:textId="77777777" w:rsidR="009103CC" w:rsidRPr="001814D2" w:rsidRDefault="009103CC" w:rsidP="002718DF">
            <w:pPr>
              <w:pStyle w:val="Tabletext"/>
              <w:jc w:val="right"/>
              <w:rPr>
                <w:rFonts w:cs="Preston"/>
                <w:b/>
                <w:bCs/>
                <w:szCs w:val="18"/>
              </w:rPr>
            </w:pPr>
            <w:r w:rsidRPr="001814D2">
              <w:rPr>
                <w:rFonts w:cs="Preston"/>
                <w:b/>
                <w:bCs/>
                <w:szCs w:val="18"/>
              </w:rPr>
              <w:t>2,211,049</w:t>
            </w:r>
          </w:p>
        </w:tc>
        <w:tc>
          <w:tcPr>
            <w:tcW w:w="569" w:type="pct"/>
            <w:tcBorders>
              <w:top w:val="single" w:sz="4" w:space="0" w:color="auto"/>
              <w:bottom w:val="single" w:sz="4" w:space="0" w:color="auto"/>
            </w:tcBorders>
            <w:tcMar>
              <w:top w:w="0" w:type="dxa"/>
              <w:left w:w="0" w:type="dxa"/>
              <w:bottom w:w="0" w:type="dxa"/>
              <w:right w:w="0" w:type="dxa"/>
            </w:tcMar>
            <w:vAlign w:val="center"/>
          </w:tcPr>
          <w:p w14:paraId="697ABB07" w14:textId="77777777" w:rsidR="009103CC" w:rsidRPr="001814D2" w:rsidRDefault="009103CC" w:rsidP="002718DF">
            <w:pPr>
              <w:pStyle w:val="Tabletext"/>
              <w:jc w:val="right"/>
              <w:rPr>
                <w:rFonts w:cs="Preston"/>
                <w:b/>
                <w:bCs/>
                <w:szCs w:val="18"/>
              </w:rPr>
            </w:pPr>
            <w:r w:rsidRPr="001814D2">
              <w:rPr>
                <w:rFonts w:cs="Preston"/>
                <w:b/>
                <w:bCs/>
                <w:szCs w:val="18"/>
              </w:rPr>
              <w:t>2,115,548</w:t>
            </w:r>
          </w:p>
        </w:tc>
        <w:tc>
          <w:tcPr>
            <w:tcW w:w="935" w:type="pct"/>
            <w:tcBorders>
              <w:top w:val="single" w:sz="4" w:space="0" w:color="auto"/>
              <w:bottom w:val="single" w:sz="4" w:space="0" w:color="auto"/>
            </w:tcBorders>
            <w:tcMar>
              <w:top w:w="0" w:type="dxa"/>
              <w:left w:w="0" w:type="dxa"/>
              <w:bottom w:w="0" w:type="dxa"/>
              <w:right w:w="0" w:type="dxa"/>
            </w:tcMar>
            <w:vAlign w:val="center"/>
          </w:tcPr>
          <w:p w14:paraId="2465EE43" w14:textId="77777777" w:rsidR="009103CC" w:rsidRPr="001814D2" w:rsidRDefault="009103CC" w:rsidP="002718DF">
            <w:pPr>
              <w:pStyle w:val="Tabletext"/>
              <w:jc w:val="right"/>
              <w:rPr>
                <w:rFonts w:cs="Preston"/>
                <w:b/>
                <w:bCs/>
                <w:szCs w:val="18"/>
              </w:rPr>
            </w:pPr>
            <w:r w:rsidRPr="001814D2">
              <w:rPr>
                <w:rFonts w:cs="Preston"/>
                <w:b/>
                <w:bCs/>
                <w:szCs w:val="18"/>
              </w:rPr>
              <w:t>2,230,656</w:t>
            </w:r>
          </w:p>
        </w:tc>
        <w:tc>
          <w:tcPr>
            <w:tcW w:w="569" w:type="pct"/>
            <w:tcBorders>
              <w:top w:val="single" w:sz="4" w:space="0" w:color="auto"/>
              <w:bottom w:val="single" w:sz="4" w:space="0" w:color="auto"/>
            </w:tcBorders>
            <w:tcMar>
              <w:top w:w="0" w:type="dxa"/>
              <w:left w:w="0" w:type="dxa"/>
              <w:bottom w:w="0" w:type="dxa"/>
              <w:right w:w="0" w:type="dxa"/>
            </w:tcMar>
            <w:vAlign w:val="center"/>
          </w:tcPr>
          <w:p w14:paraId="75723756" w14:textId="77777777" w:rsidR="009103CC" w:rsidRPr="001814D2" w:rsidRDefault="009103CC" w:rsidP="002718DF">
            <w:pPr>
              <w:pStyle w:val="Tabletext"/>
              <w:jc w:val="right"/>
              <w:rPr>
                <w:rFonts w:cs="Preston"/>
                <w:b/>
                <w:bCs/>
                <w:szCs w:val="18"/>
              </w:rPr>
            </w:pPr>
            <w:r w:rsidRPr="001814D2">
              <w:rPr>
                <w:rFonts w:cs="Preston"/>
                <w:b/>
                <w:bCs/>
                <w:szCs w:val="18"/>
              </w:rPr>
              <w:t>2,211,049</w:t>
            </w:r>
          </w:p>
        </w:tc>
        <w:tc>
          <w:tcPr>
            <w:tcW w:w="569" w:type="pct"/>
            <w:tcBorders>
              <w:top w:val="single" w:sz="4" w:space="0" w:color="auto"/>
              <w:bottom w:val="single" w:sz="4" w:space="0" w:color="auto"/>
            </w:tcBorders>
            <w:tcMar>
              <w:top w:w="0" w:type="dxa"/>
              <w:left w:w="0" w:type="dxa"/>
              <w:bottom w:w="0" w:type="dxa"/>
              <w:right w:w="0" w:type="dxa"/>
            </w:tcMar>
            <w:vAlign w:val="center"/>
          </w:tcPr>
          <w:p w14:paraId="39C1C485" w14:textId="77777777" w:rsidR="009103CC" w:rsidRPr="001814D2" w:rsidRDefault="009103CC" w:rsidP="002718DF">
            <w:pPr>
              <w:pStyle w:val="Tabletext"/>
              <w:jc w:val="right"/>
              <w:rPr>
                <w:rFonts w:cs="Preston"/>
                <w:b/>
                <w:bCs/>
                <w:szCs w:val="18"/>
              </w:rPr>
            </w:pPr>
            <w:r w:rsidRPr="001814D2">
              <w:rPr>
                <w:rFonts w:cs="Preston"/>
                <w:b/>
                <w:bCs/>
                <w:szCs w:val="18"/>
              </w:rPr>
              <w:t>2,115,548</w:t>
            </w:r>
          </w:p>
        </w:tc>
      </w:tr>
      <w:tr w:rsidR="009103CC" w:rsidRPr="001814D2" w14:paraId="2DF26EA1"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762C2014" w14:textId="77777777" w:rsidR="009103CC" w:rsidRPr="001814D2" w:rsidRDefault="009103CC" w:rsidP="002718DF">
            <w:pPr>
              <w:pStyle w:val="Tabletext"/>
              <w:rPr>
                <w:rFonts w:cs="Preston"/>
                <w:b/>
                <w:bCs/>
                <w:szCs w:val="18"/>
              </w:rPr>
            </w:pPr>
            <w:r w:rsidRPr="001814D2">
              <w:rPr>
                <w:rFonts w:cs="Preston"/>
                <w:b/>
                <w:bCs/>
                <w:szCs w:val="18"/>
              </w:rPr>
              <w:t>Total assets</w:t>
            </w:r>
          </w:p>
        </w:tc>
        <w:tc>
          <w:tcPr>
            <w:tcW w:w="377" w:type="pct"/>
            <w:tcBorders>
              <w:top w:val="single" w:sz="4" w:space="0" w:color="auto"/>
              <w:bottom w:val="single" w:sz="4" w:space="0" w:color="auto"/>
            </w:tcBorders>
            <w:tcMar>
              <w:top w:w="0" w:type="dxa"/>
              <w:left w:w="0" w:type="dxa"/>
              <w:bottom w:w="0" w:type="dxa"/>
              <w:right w:w="0" w:type="dxa"/>
            </w:tcMar>
            <w:vAlign w:val="center"/>
          </w:tcPr>
          <w:p w14:paraId="15D7A790" w14:textId="77777777" w:rsidR="009103CC" w:rsidRPr="001814D2" w:rsidRDefault="009103CC" w:rsidP="002718DF">
            <w:pPr>
              <w:pStyle w:val="Tabletext"/>
              <w:rPr>
                <w:b/>
                <w:bCs/>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0D440260" w14:textId="77777777" w:rsidR="009103CC" w:rsidRPr="001814D2" w:rsidRDefault="009103CC" w:rsidP="002718DF">
            <w:pPr>
              <w:pStyle w:val="Tabletext"/>
              <w:jc w:val="right"/>
              <w:rPr>
                <w:rFonts w:cs="Preston"/>
                <w:b/>
                <w:bCs/>
                <w:szCs w:val="18"/>
              </w:rPr>
            </w:pPr>
            <w:r w:rsidRPr="001814D2">
              <w:rPr>
                <w:rFonts w:cs="Preston"/>
                <w:b/>
                <w:bCs/>
                <w:szCs w:val="18"/>
              </w:rPr>
              <w:t>2,415,688</w:t>
            </w:r>
          </w:p>
        </w:tc>
        <w:tc>
          <w:tcPr>
            <w:tcW w:w="569" w:type="pct"/>
            <w:tcBorders>
              <w:top w:val="single" w:sz="4" w:space="0" w:color="auto"/>
              <w:bottom w:val="single" w:sz="4" w:space="0" w:color="auto"/>
            </w:tcBorders>
            <w:tcMar>
              <w:top w:w="0" w:type="dxa"/>
              <w:left w:w="0" w:type="dxa"/>
              <w:bottom w:w="0" w:type="dxa"/>
              <w:right w:w="0" w:type="dxa"/>
            </w:tcMar>
            <w:vAlign w:val="center"/>
          </w:tcPr>
          <w:p w14:paraId="051BE629" w14:textId="77777777" w:rsidR="009103CC" w:rsidRPr="001814D2" w:rsidRDefault="009103CC" w:rsidP="002718DF">
            <w:pPr>
              <w:pStyle w:val="Tabletext"/>
              <w:jc w:val="right"/>
              <w:rPr>
                <w:rFonts w:cs="Preston"/>
                <w:b/>
                <w:bCs/>
                <w:szCs w:val="18"/>
              </w:rPr>
            </w:pPr>
            <w:r w:rsidRPr="001814D2">
              <w:rPr>
                <w:rFonts w:cs="Preston"/>
                <w:b/>
                <w:bCs/>
                <w:szCs w:val="18"/>
              </w:rPr>
              <w:t>2,244,166</w:t>
            </w:r>
          </w:p>
        </w:tc>
        <w:tc>
          <w:tcPr>
            <w:tcW w:w="935" w:type="pct"/>
            <w:tcBorders>
              <w:top w:val="single" w:sz="4" w:space="0" w:color="auto"/>
              <w:bottom w:val="single" w:sz="4" w:space="0" w:color="auto"/>
            </w:tcBorders>
            <w:tcMar>
              <w:top w:w="0" w:type="dxa"/>
              <w:left w:w="0" w:type="dxa"/>
              <w:bottom w:w="0" w:type="dxa"/>
              <w:right w:w="0" w:type="dxa"/>
            </w:tcMar>
            <w:vAlign w:val="center"/>
          </w:tcPr>
          <w:p w14:paraId="1A5958BC" w14:textId="77777777" w:rsidR="009103CC" w:rsidRPr="001814D2" w:rsidRDefault="009103CC" w:rsidP="002718DF">
            <w:pPr>
              <w:pStyle w:val="Tabletext"/>
              <w:jc w:val="right"/>
              <w:rPr>
                <w:rFonts w:cs="Preston"/>
                <w:b/>
                <w:bCs/>
                <w:szCs w:val="18"/>
              </w:rPr>
            </w:pPr>
            <w:r w:rsidRPr="001814D2">
              <w:rPr>
                <w:rFonts w:cs="Preston"/>
                <w:b/>
                <w:bCs/>
                <w:szCs w:val="18"/>
              </w:rPr>
              <w:t>2,397,267</w:t>
            </w:r>
          </w:p>
        </w:tc>
        <w:tc>
          <w:tcPr>
            <w:tcW w:w="569" w:type="pct"/>
            <w:tcBorders>
              <w:top w:val="single" w:sz="4" w:space="0" w:color="auto"/>
              <w:bottom w:val="single" w:sz="4" w:space="0" w:color="auto"/>
            </w:tcBorders>
            <w:tcMar>
              <w:top w:w="0" w:type="dxa"/>
              <w:left w:w="0" w:type="dxa"/>
              <w:bottom w:w="0" w:type="dxa"/>
              <w:right w:w="0" w:type="dxa"/>
            </w:tcMar>
            <w:vAlign w:val="center"/>
          </w:tcPr>
          <w:p w14:paraId="70ADF3B8" w14:textId="77777777" w:rsidR="009103CC" w:rsidRPr="001814D2" w:rsidRDefault="009103CC" w:rsidP="002718DF">
            <w:pPr>
              <w:pStyle w:val="Tabletext"/>
              <w:jc w:val="right"/>
              <w:rPr>
                <w:rFonts w:cs="Preston"/>
                <w:b/>
                <w:bCs/>
                <w:szCs w:val="18"/>
              </w:rPr>
            </w:pPr>
            <w:r w:rsidRPr="001814D2">
              <w:rPr>
                <w:rFonts w:cs="Preston"/>
                <w:b/>
                <w:bCs/>
                <w:szCs w:val="18"/>
              </w:rPr>
              <w:t>2,414,149</w:t>
            </w:r>
          </w:p>
        </w:tc>
        <w:tc>
          <w:tcPr>
            <w:tcW w:w="569" w:type="pct"/>
            <w:tcBorders>
              <w:top w:val="single" w:sz="4" w:space="0" w:color="auto"/>
              <w:bottom w:val="single" w:sz="4" w:space="0" w:color="auto"/>
            </w:tcBorders>
            <w:tcMar>
              <w:top w:w="0" w:type="dxa"/>
              <w:left w:w="0" w:type="dxa"/>
              <w:bottom w:w="0" w:type="dxa"/>
              <w:right w:w="0" w:type="dxa"/>
            </w:tcMar>
            <w:vAlign w:val="center"/>
          </w:tcPr>
          <w:p w14:paraId="5C6BC85D" w14:textId="77777777" w:rsidR="009103CC" w:rsidRPr="001814D2" w:rsidRDefault="009103CC" w:rsidP="002718DF">
            <w:pPr>
              <w:pStyle w:val="Tabletext"/>
              <w:jc w:val="right"/>
              <w:rPr>
                <w:rFonts w:cs="Preston"/>
                <w:b/>
                <w:bCs/>
                <w:szCs w:val="18"/>
              </w:rPr>
            </w:pPr>
            <w:r w:rsidRPr="001814D2">
              <w:rPr>
                <w:rFonts w:cs="Preston"/>
                <w:b/>
                <w:bCs/>
                <w:szCs w:val="18"/>
              </w:rPr>
              <w:t>2,242,755</w:t>
            </w:r>
          </w:p>
        </w:tc>
      </w:tr>
      <w:tr w:rsidR="009103CC" w:rsidRPr="001814D2" w14:paraId="75823214" w14:textId="77777777" w:rsidTr="002718DF">
        <w:trPr>
          <w:cantSplit/>
          <w:trHeight w:hRule="exact" w:val="340"/>
        </w:trPr>
        <w:tc>
          <w:tcPr>
            <w:tcW w:w="1412" w:type="pct"/>
            <w:tcBorders>
              <w:bottom w:val="single" w:sz="4" w:space="0" w:color="auto"/>
            </w:tcBorders>
            <w:tcMar>
              <w:top w:w="0" w:type="dxa"/>
              <w:left w:w="0" w:type="dxa"/>
              <w:bottom w:w="0" w:type="dxa"/>
              <w:right w:w="0" w:type="dxa"/>
            </w:tcMar>
            <w:vAlign w:val="center"/>
          </w:tcPr>
          <w:p w14:paraId="488ADDF8" w14:textId="77777777" w:rsidR="009103CC" w:rsidRPr="001814D2" w:rsidRDefault="009103CC" w:rsidP="002718DF">
            <w:pPr>
              <w:pStyle w:val="Tabletext"/>
              <w:rPr>
                <w:rFonts w:cs="Preston"/>
                <w:b/>
                <w:bCs/>
                <w:szCs w:val="18"/>
              </w:rPr>
            </w:pPr>
            <w:r w:rsidRPr="001814D2">
              <w:rPr>
                <w:rFonts w:cs="Preston"/>
                <w:b/>
                <w:bCs/>
                <w:szCs w:val="18"/>
              </w:rPr>
              <w:t>Liabilities</w:t>
            </w:r>
          </w:p>
        </w:tc>
        <w:tc>
          <w:tcPr>
            <w:tcW w:w="377" w:type="pct"/>
            <w:tcBorders>
              <w:bottom w:val="single" w:sz="4" w:space="0" w:color="auto"/>
            </w:tcBorders>
            <w:tcMar>
              <w:top w:w="0" w:type="dxa"/>
              <w:left w:w="0" w:type="dxa"/>
              <w:bottom w:w="0" w:type="dxa"/>
              <w:right w:w="0" w:type="dxa"/>
            </w:tcMar>
            <w:vAlign w:val="center"/>
          </w:tcPr>
          <w:p w14:paraId="127257E0" w14:textId="77777777" w:rsidR="009103CC" w:rsidRPr="001814D2" w:rsidRDefault="009103CC" w:rsidP="002718DF">
            <w:pPr>
              <w:pStyle w:val="Tabletext"/>
            </w:pPr>
          </w:p>
        </w:tc>
        <w:tc>
          <w:tcPr>
            <w:tcW w:w="569" w:type="pct"/>
            <w:tcBorders>
              <w:bottom w:val="single" w:sz="4" w:space="0" w:color="auto"/>
            </w:tcBorders>
            <w:tcMar>
              <w:top w:w="0" w:type="dxa"/>
              <w:left w:w="0" w:type="dxa"/>
              <w:bottom w:w="0" w:type="dxa"/>
              <w:right w:w="0" w:type="dxa"/>
            </w:tcMar>
            <w:vAlign w:val="center"/>
          </w:tcPr>
          <w:p w14:paraId="47A1EB9D"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29D8CB91" w14:textId="77777777" w:rsidR="009103CC" w:rsidRPr="001814D2" w:rsidRDefault="009103CC" w:rsidP="002718DF">
            <w:pPr>
              <w:pStyle w:val="Tabletext"/>
              <w:jc w:val="right"/>
            </w:pPr>
          </w:p>
        </w:tc>
        <w:tc>
          <w:tcPr>
            <w:tcW w:w="935" w:type="pct"/>
            <w:tcBorders>
              <w:bottom w:val="single" w:sz="4" w:space="0" w:color="auto"/>
            </w:tcBorders>
            <w:tcMar>
              <w:top w:w="0" w:type="dxa"/>
              <w:left w:w="0" w:type="dxa"/>
              <w:bottom w:w="0" w:type="dxa"/>
              <w:right w:w="0" w:type="dxa"/>
            </w:tcMar>
            <w:vAlign w:val="center"/>
          </w:tcPr>
          <w:p w14:paraId="7D0631DE"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71B41AB1"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2570DAAF" w14:textId="77777777" w:rsidR="009103CC" w:rsidRPr="001814D2" w:rsidRDefault="009103CC" w:rsidP="002718DF">
            <w:pPr>
              <w:pStyle w:val="Tabletext"/>
              <w:jc w:val="right"/>
            </w:pPr>
          </w:p>
        </w:tc>
      </w:tr>
      <w:tr w:rsidR="009103CC" w:rsidRPr="001814D2" w14:paraId="3708D2DC"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1EC8268C" w14:textId="77777777" w:rsidR="009103CC" w:rsidRPr="001814D2" w:rsidRDefault="009103CC" w:rsidP="002718DF">
            <w:pPr>
              <w:pStyle w:val="Tabletext"/>
            </w:pPr>
            <w:r w:rsidRPr="001814D2">
              <w:t>Current liabilities</w:t>
            </w:r>
          </w:p>
        </w:tc>
        <w:tc>
          <w:tcPr>
            <w:tcW w:w="377" w:type="pct"/>
            <w:tcBorders>
              <w:top w:val="single" w:sz="4" w:space="0" w:color="auto"/>
              <w:bottom w:val="single" w:sz="4" w:space="0" w:color="auto"/>
            </w:tcBorders>
            <w:tcMar>
              <w:top w:w="0" w:type="dxa"/>
              <w:left w:w="0" w:type="dxa"/>
              <w:bottom w:w="0" w:type="dxa"/>
              <w:right w:w="0" w:type="dxa"/>
            </w:tcMar>
            <w:vAlign w:val="center"/>
          </w:tcPr>
          <w:p w14:paraId="7F7B974E"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4368925B"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1DC39330" w14:textId="77777777" w:rsidR="009103CC" w:rsidRPr="001814D2" w:rsidRDefault="009103CC" w:rsidP="002718DF">
            <w:pPr>
              <w:pStyle w:val="Tabletext"/>
              <w:jc w:val="right"/>
            </w:pPr>
          </w:p>
        </w:tc>
        <w:tc>
          <w:tcPr>
            <w:tcW w:w="935" w:type="pct"/>
            <w:tcBorders>
              <w:top w:val="single" w:sz="4" w:space="0" w:color="auto"/>
              <w:bottom w:val="single" w:sz="4" w:space="0" w:color="auto"/>
            </w:tcBorders>
            <w:tcMar>
              <w:top w:w="0" w:type="dxa"/>
              <w:left w:w="0" w:type="dxa"/>
              <w:bottom w:w="0" w:type="dxa"/>
              <w:right w:w="0" w:type="dxa"/>
            </w:tcMar>
            <w:vAlign w:val="center"/>
          </w:tcPr>
          <w:p w14:paraId="72F26204"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57A71B87"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40D7EF6C" w14:textId="77777777" w:rsidR="009103CC" w:rsidRPr="001814D2" w:rsidRDefault="009103CC" w:rsidP="002718DF">
            <w:pPr>
              <w:pStyle w:val="Tabletext"/>
              <w:jc w:val="right"/>
            </w:pPr>
          </w:p>
        </w:tc>
      </w:tr>
      <w:tr w:rsidR="009103CC" w:rsidRPr="001814D2" w14:paraId="1F4B8AFC"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688E067B" w14:textId="77777777" w:rsidR="009103CC" w:rsidRPr="001814D2" w:rsidRDefault="009103CC" w:rsidP="002718DF">
            <w:pPr>
              <w:pStyle w:val="Tabletext"/>
            </w:pPr>
            <w:r w:rsidRPr="001814D2">
              <w:t>Payables</w:t>
            </w:r>
          </w:p>
        </w:tc>
        <w:tc>
          <w:tcPr>
            <w:tcW w:w="377" w:type="pct"/>
            <w:tcBorders>
              <w:top w:val="single" w:sz="4" w:space="0" w:color="auto"/>
              <w:bottom w:val="single" w:sz="4" w:space="0" w:color="auto"/>
            </w:tcBorders>
            <w:tcMar>
              <w:top w:w="0" w:type="dxa"/>
              <w:left w:w="0" w:type="dxa"/>
              <w:bottom w:w="0" w:type="dxa"/>
              <w:right w:w="0" w:type="dxa"/>
            </w:tcMar>
            <w:vAlign w:val="center"/>
          </w:tcPr>
          <w:p w14:paraId="2B9B7E3E" w14:textId="77777777" w:rsidR="009103CC" w:rsidRPr="001814D2" w:rsidRDefault="009103CC" w:rsidP="002718DF">
            <w:pPr>
              <w:pStyle w:val="Tabletext"/>
              <w:rPr>
                <w:rFonts w:cs="Preston"/>
                <w:szCs w:val="18"/>
              </w:rPr>
            </w:pPr>
            <w:r w:rsidRPr="001814D2">
              <w:rPr>
                <w:rFonts w:cs="Preston"/>
                <w:szCs w:val="18"/>
              </w:rPr>
              <w:t>11</w:t>
            </w:r>
          </w:p>
        </w:tc>
        <w:tc>
          <w:tcPr>
            <w:tcW w:w="569" w:type="pct"/>
            <w:tcBorders>
              <w:top w:val="single" w:sz="4" w:space="0" w:color="auto"/>
              <w:bottom w:val="single" w:sz="4" w:space="0" w:color="auto"/>
            </w:tcBorders>
            <w:tcMar>
              <w:top w:w="0" w:type="dxa"/>
              <w:left w:w="0" w:type="dxa"/>
              <w:bottom w:w="0" w:type="dxa"/>
              <w:right w:w="0" w:type="dxa"/>
            </w:tcMar>
            <w:vAlign w:val="center"/>
          </w:tcPr>
          <w:p w14:paraId="0746D709" w14:textId="77777777" w:rsidR="009103CC" w:rsidRPr="001814D2" w:rsidRDefault="009103CC" w:rsidP="002718DF">
            <w:pPr>
              <w:pStyle w:val="Tabletext"/>
              <w:jc w:val="right"/>
              <w:rPr>
                <w:rFonts w:cs="Preston"/>
                <w:szCs w:val="18"/>
              </w:rPr>
            </w:pPr>
            <w:r w:rsidRPr="001814D2">
              <w:rPr>
                <w:rFonts w:cs="Preston"/>
                <w:szCs w:val="18"/>
              </w:rPr>
              <w:t>24,590</w:t>
            </w:r>
          </w:p>
        </w:tc>
        <w:tc>
          <w:tcPr>
            <w:tcW w:w="569" w:type="pct"/>
            <w:tcBorders>
              <w:top w:val="single" w:sz="4" w:space="0" w:color="auto"/>
              <w:bottom w:val="single" w:sz="4" w:space="0" w:color="auto"/>
            </w:tcBorders>
            <w:tcMar>
              <w:top w:w="0" w:type="dxa"/>
              <w:left w:w="0" w:type="dxa"/>
              <w:bottom w:w="0" w:type="dxa"/>
              <w:right w:w="0" w:type="dxa"/>
            </w:tcMar>
            <w:vAlign w:val="center"/>
          </w:tcPr>
          <w:p w14:paraId="43B424D3" w14:textId="77777777" w:rsidR="009103CC" w:rsidRPr="001814D2" w:rsidRDefault="009103CC" w:rsidP="002718DF">
            <w:pPr>
              <w:pStyle w:val="Tabletext"/>
              <w:jc w:val="right"/>
              <w:rPr>
                <w:rFonts w:cs="Preston"/>
                <w:szCs w:val="18"/>
              </w:rPr>
            </w:pPr>
            <w:r w:rsidRPr="001814D2">
              <w:rPr>
                <w:rFonts w:cs="Preston"/>
                <w:szCs w:val="18"/>
              </w:rPr>
              <w:t>10,603</w:t>
            </w:r>
          </w:p>
        </w:tc>
        <w:tc>
          <w:tcPr>
            <w:tcW w:w="935" w:type="pct"/>
            <w:tcBorders>
              <w:top w:val="single" w:sz="4" w:space="0" w:color="auto"/>
              <w:bottom w:val="single" w:sz="4" w:space="0" w:color="auto"/>
            </w:tcBorders>
            <w:tcMar>
              <w:top w:w="0" w:type="dxa"/>
              <w:left w:w="0" w:type="dxa"/>
              <w:bottom w:w="0" w:type="dxa"/>
              <w:right w:w="0" w:type="dxa"/>
            </w:tcMar>
            <w:vAlign w:val="center"/>
          </w:tcPr>
          <w:p w14:paraId="70F58119" w14:textId="77777777" w:rsidR="009103CC" w:rsidRPr="001814D2" w:rsidRDefault="009103CC" w:rsidP="002718DF">
            <w:pPr>
              <w:pStyle w:val="Tabletext"/>
              <w:jc w:val="right"/>
              <w:rPr>
                <w:rFonts w:cs="Preston"/>
                <w:szCs w:val="18"/>
              </w:rPr>
            </w:pPr>
            <w:r w:rsidRPr="001814D2">
              <w:rPr>
                <w:rFonts w:cs="Preston"/>
                <w:szCs w:val="18"/>
              </w:rPr>
              <w:t>19,191</w:t>
            </w:r>
          </w:p>
        </w:tc>
        <w:tc>
          <w:tcPr>
            <w:tcW w:w="569" w:type="pct"/>
            <w:tcBorders>
              <w:top w:val="single" w:sz="4" w:space="0" w:color="auto"/>
              <w:bottom w:val="single" w:sz="4" w:space="0" w:color="auto"/>
            </w:tcBorders>
            <w:tcMar>
              <w:top w:w="0" w:type="dxa"/>
              <w:left w:w="0" w:type="dxa"/>
              <w:bottom w:w="0" w:type="dxa"/>
              <w:right w:w="0" w:type="dxa"/>
            </w:tcMar>
            <w:vAlign w:val="center"/>
          </w:tcPr>
          <w:p w14:paraId="1566A31B" w14:textId="77777777" w:rsidR="009103CC" w:rsidRPr="001814D2" w:rsidRDefault="009103CC" w:rsidP="002718DF">
            <w:pPr>
              <w:pStyle w:val="Tabletext"/>
              <w:jc w:val="right"/>
              <w:rPr>
                <w:rFonts w:cs="Preston"/>
                <w:szCs w:val="18"/>
              </w:rPr>
            </w:pPr>
            <w:r w:rsidRPr="001814D2">
              <w:rPr>
                <w:rFonts w:cs="Preston"/>
                <w:szCs w:val="18"/>
              </w:rPr>
              <w:t>24,411</w:t>
            </w:r>
          </w:p>
        </w:tc>
        <w:tc>
          <w:tcPr>
            <w:tcW w:w="569" w:type="pct"/>
            <w:tcBorders>
              <w:top w:val="single" w:sz="4" w:space="0" w:color="auto"/>
              <w:bottom w:val="single" w:sz="4" w:space="0" w:color="auto"/>
            </w:tcBorders>
            <w:tcMar>
              <w:top w:w="0" w:type="dxa"/>
              <w:left w:w="0" w:type="dxa"/>
              <w:bottom w:w="0" w:type="dxa"/>
              <w:right w:w="0" w:type="dxa"/>
            </w:tcMar>
            <w:vAlign w:val="center"/>
          </w:tcPr>
          <w:p w14:paraId="1D8C0293" w14:textId="77777777" w:rsidR="009103CC" w:rsidRPr="001814D2" w:rsidRDefault="009103CC" w:rsidP="002718DF">
            <w:pPr>
              <w:pStyle w:val="Tabletext"/>
              <w:jc w:val="right"/>
              <w:rPr>
                <w:rFonts w:cs="Preston"/>
                <w:szCs w:val="18"/>
              </w:rPr>
            </w:pPr>
            <w:r w:rsidRPr="001814D2">
              <w:rPr>
                <w:rFonts w:cs="Preston"/>
                <w:szCs w:val="18"/>
              </w:rPr>
              <w:t>10,504</w:t>
            </w:r>
          </w:p>
        </w:tc>
      </w:tr>
      <w:tr w:rsidR="009103CC" w:rsidRPr="001814D2" w14:paraId="3B62EC4A" w14:textId="77777777" w:rsidTr="002718DF">
        <w:trPr>
          <w:cantSplit/>
          <w:trHeight w:hRule="exact" w:val="546"/>
        </w:trPr>
        <w:tc>
          <w:tcPr>
            <w:tcW w:w="1412" w:type="pct"/>
            <w:tcBorders>
              <w:top w:val="single" w:sz="4" w:space="0" w:color="auto"/>
              <w:bottom w:val="single" w:sz="4" w:space="0" w:color="auto"/>
            </w:tcBorders>
            <w:tcMar>
              <w:top w:w="0" w:type="dxa"/>
              <w:left w:w="0" w:type="dxa"/>
              <w:bottom w:w="0" w:type="dxa"/>
              <w:right w:w="0" w:type="dxa"/>
            </w:tcMar>
            <w:vAlign w:val="center"/>
          </w:tcPr>
          <w:p w14:paraId="301FA743" w14:textId="77777777" w:rsidR="009103CC" w:rsidRPr="001814D2" w:rsidRDefault="009103CC" w:rsidP="002718DF">
            <w:pPr>
              <w:pStyle w:val="Tabletext"/>
            </w:pPr>
            <w:r w:rsidRPr="001814D2">
              <w:t>Provision for employment benefits</w:t>
            </w:r>
          </w:p>
        </w:tc>
        <w:tc>
          <w:tcPr>
            <w:tcW w:w="377" w:type="pct"/>
            <w:tcBorders>
              <w:top w:val="single" w:sz="4" w:space="0" w:color="auto"/>
              <w:bottom w:val="single" w:sz="4" w:space="0" w:color="auto"/>
            </w:tcBorders>
            <w:tcMar>
              <w:top w:w="0" w:type="dxa"/>
              <w:left w:w="0" w:type="dxa"/>
              <w:bottom w:w="0" w:type="dxa"/>
              <w:right w:w="0" w:type="dxa"/>
            </w:tcMar>
            <w:vAlign w:val="center"/>
          </w:tcPr>
          <w:p w14:paraId="49607448" w14:textId="77777777" w:rsidR="009103CC" w:rsidRPr="001814D2" w:rsidRDefault="009103CC" w:rsidP="002718DF">
            <w:pPr>
              <w:pStyle w:val="Tabletext"/>
              <w:rPr>
                <w:rFonts w:cs="Preston"/>
                <w:szCs w:val="18"/>
              </w:rPr>
            </w:pPr>
            <w:r w:rsidRPr="001814D2">
              <w:rPr>
                <w:rFonts w:cs="Preston"/>
                <w:szCs w:val="18"/>
              </w:rPr>
              <w:t>12</w:t>
            </w:r>
          </w:p>
        </w:tc>
        <w:tc>
          <w:tcPr>
            <w:tcW w:w="569" w:type="pct"/>
            <w:tcBorders>
              <w:top w:val="single" w:sz="4" w:space="0" w:color="auto"/>
              <w:bottom w:val="single" w:sz="4" w:space="0" w:color="auto"/>
            </w:tcBorders>
            <w:tcMar>
              <w:top w:w="0" w:type="dxa"/>
              <w:left w:w="0" w:type="dxa"/>
              <w:bottom w:w="0" w:type="dxa"/>
              <w:right w:w="0" w:type="dxa"/>
            </w:tcMar>
            <w:vAlign w:val="center"/>
          </w:tcPr>
          <w:p w14:paraId="1459B7D0" w14:textId="77777777" w:rsidR="009103CC" w:rsidRPr="001814D2" w:rsidRDefault="009103CC" w:rsidP="002718DF">
            <w:pPr>
              <w:pStyle w:val="Tabletext"/>
              <w:jc w:val="right"/>
              <w:rPr>
                <w:rFonts w:cs="Preston"/>
                <w:szCs w:val="18"/>
              </w:rPr>
            </w:pPr>
            <w:r w:rsidRPr="001814D2">
              <w:rPr>
                <w:rFonts w:cs="Preston"/>
                <w:szCs w:val="18"/>
              </w:rPr>
              <w:t>5,103</w:t>
            </w:r>
          </w:p>
        </w:tc>
        <w:tc>
          <w:tcPr>
            <w:tcW w:w="569" w:type="pct"/>
            <w:tcBorders>
              <w:top w:val="single" w:sz="4" w:space="0" w:color="auto"/>
              <w:bottom w:val="single" w:sz="4" w:space="0" w:color="auto"/>
            </w:tcBorders>
            <w:tcMar>
              <w:top w:w="0" w:type="dxa"/>
              <w:left w:w="0" w:type="dxa"/>
              <w:bottom w:w="0" w:type="dxa"/>
              <w:right w:w="0" w:type="dxa"/>
            </w:tcMar>
            <w:vAlign w:val="center"/>
          </w:tcPr>
          <w:p w14:paraId="50ED6F3E" w14:textId="77777777" w:rsidR="009103CC" w:rsidRPr="001814D2" w:rsidRDefault="009103CC" w:rsidP="002718DF">
            <w:pPr>
              <w:pStyle w:val="Tabletext"/>
              <w:jc w:val="right"/>
              <w:rPr>
                <w:rFonts w:cs="Preston"/>
                <w:szCs w:val="18"/>
              </w:rPr>
            </w:pPr>
            <w:r w:rsidRPr="001814D2">
              <w:rPr>
                <w:rFonts w:cs="Preston"/>
                <w:szCs w:val="18"/>
              </w:rPr>
              <w:t>4,973</w:t>
            </w:r>
          </w:p>
        </w:tc>
        <w:tc>
          <w:tcPr>
            <w:tcW w:w="935" w:type="pct"/>
            <w:tcBorders>
              <w:top w:val="single" w:sz="4" w:space="0" w:color="auto"/>
              <w:bottom w:val="single" w:sz="4" w:space="0" w:color="auto"/>
            </w:tcBorders>
            <w:tcMar>
              <w:top w:w="0" w:type="dxa"/>
              <w:left w:w="0" w:type="dxa"/>
              <w:bottom w:w="0" w:type="dxa"/>
              <w:right w:w="0" w:type="dxa"/>
            </w:tcMar>
            <w:vAlign w:val="center"/>
          </w:tcPr>
          <w:p w14:paraId="3FD17EB5" w14:textId="77777777" w:rsidR="009103CC" w:rsidRPr="001814D2" w:rsidRDefault="009103CC" w:rsidP="002718DF">
            <w:pPr>
              <w:pStyle w:val="Tabletext"/>
              <w:jc w:val="right"/>
              <w:rPr>
                <w:rFonts w:cs="Preston"/>
                <w:szCs w:val="18"/>
              </w:rPr>
            </w:pPr>
            <w:r w:rsidRPr="001814D2">
              <w:rPr>
                <w:rFonts w:cs="Preston"/>
                <w:szCs w:val="18"/>
              </w:rPr>
              <w:t>4,411</w:t>
            </w:r>
          </w:p>
        </w:tc>
        <w:tc>
          <w:tcPr>
            <w:tcW w:w="569" w:type="pct"/>
            <w:tcBorders>
              <w:top w:val="single" w:sz="4" w:space="0" w:color="auto"/>
              <w:bottom w:val="single" w:sz="4" w:space="0" w:color="auto"/>
            </w:tcBorders>
            <w:tcMar>
              <w:top w:w="0" w:type="dxa"/>
              <w:left w:w="0" w:type="dxa"/>
              <w:bottom w:w="0" w:type="dxa"/>
              <w:right w:w="0" w:type="dxa"/>
            </w:tcMar>
            <w:vAlign w:val="center"/>
          </w:tcPr>
          <w:p w14:paraId="62F6AFC8" w14:textId="77777777" w:rsidR="009103CC" w:rsidRPr="001814D2" w:rsidRDefault="009103CC" w:rsidP="002718DF">
            <w:pPr>
              <w:pStyle w:val="Tabletext"/>
              <w:jc w:val="right"/>
              <w:rPr>
                <w:rFonts w:cs="Preston"/>
                <w:szCs w:val="18"/>
              </w:rPr>
            </w:pPr>
            <w:r w:rsidRPr="001814D2">
              <w:rPr>
                <w:rFonts w:cs="Preston"/>
                <w:szCs w:val="18"/>
              </w:rPr>
              <w:t>5,103</w:t>
            </w:r>
          </w:p>
        </w:tc>
        <w:tc>
          <w:tcPr>
            <w:tcW w:w="569" w:type="pct"/>
            <w:tcBorders>
              <w:top w:val="single" w:sz="4" w:space="0" w:color="auto"/>
              <w:bottom w:val="single" w:sz="4" w:space="0" w:color="auto"/>
            </w:tcBorders>
            <w:tcMar>
              <w:top w:w="0" w:type="dxa"/>
              <w:left w:w="0" w:type="dxa"/>
              <w:bottom w:w="0" w:type="dxa"/>
              <w:right w:w="0" w:type="dxa"/>
            </w:tcMar>
            <w:vAlign w:val="center"/>
          </w:tcPr>
          <w:p w14:paraId="2CC2772E" w14:textId="77777777" w:rsidR="009103CC" w:rsidRPr="001814D2" w:rsidRDefault="009103CC" w:rsidP="002718DF">
            <w:pPr>
              <w:pStyle w:val="Tabletext"/>
              <w:jc w:val="right"/>
              <w:rPr>
                <w:rFonts w:cs="Preston"/>
                <w:szCs w:val="18"/>
              </w:rPr>
            </w:pPr>
            <w:r w:rsidRPr="001814D2">
              <w:rPr>
                <w:rFonts w:cs="Preston"/>
                <w:szCs w:val="18"/>
              </w:rPr>
              <w:t>4,973</w:t>
            </w:r>
          </w:p>
        </w:tc>
      </w:tr>
      <w:tr w:rsidR="009103CC" w:rsidRPr="001814D2" w14:paraId="46A2CBE2"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5D0F9EC9" w14:textId="77777777" w:rsidR="009103CC" w:rsidRPr="001814D2" w:rsidRDefault="009103CC" w:rsidP="002718DF">
            <w:pPr>
              <w:pStyle w:val="Tabletext"/>
              <w:rPr>
                <w:rFonts w:cs="Preston"/>
                <w:b/>
                <w:bCs/>
                <w:szCs w:val="18"/>
              </w:rPr>
            </w:pPr>
            <w:r w:rsidRPr="001814D2">
              <w:rPr>
                <w:rFonts w:cs="Preston"/>
                <w:b/>
                <w:bCs/>
                <w:szCs w:val="18"/>
              </w:rPr>
              <w:t>Total current liabilities</w:t>
            </w:r>
          </w:p>
        </w:tc>
        <w:tc>
          <w:tcPr>
            <w:tcW w:w="377" w:type="pct"/>
            <w:tcBorders>
              <w:top w:val="single" w:sz="4" w:space="0" w:color="auto"/>
              <w:bottom w:val="single" w:sz="4" w:space="0" w:color="auto"/>
            </w:tcBorders>
            <w:tcMar>
              <w:top w:w="0" w:type="dxa"/>
              <w:left w:w="0" w:type="dxa"/>
              <w:bottom w:w="0" w:type="dxa"/>
              <w:right w:w="0" w:type="dxa"/>
            </w:tcMar>
            <w:vAlign w:val="center"/>
          </w:tcPr>
          <w:p w14:paraId="3B4B5EEF" w14:textId="77777777" w:rsidR="009103CC" w:rsidRPr="001814D2" w:rsidRDefault="009103CC" w:rsidP="002718DF">
            <w:pPr>
              <w:pStyle w:val="Tabletext"/>
              <w:rPr>
                <w:b/>
                <w:bCs/>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5585CF77" w14:textId="77777777" w:rsidR="009103CC" w:rsidRPr="001814D2" w:rsidRDefault="009103CC" w:rsidP="002718DF">
            <w:pPr>
              <w:pStyle w:val="Tabletext"/>
              <w:jc w:val="right"/>
              <w:rPr>
                <w:rFonts w:cs="Preston"/>
                <w:b/>
                <w:bCs/>
                <w:szCs w:val="18"/>
              </w:rPr>
            </w:pPr>
            <w:r w:rsidRPr="001814D2">
              <w:rPr>
                <w:rFonts w:cs="Preston"/>
                <w:b/>
                <w:bCs/>
                <w:szCs w:val="18"/>
              </w:rPr>
              <w:t>29,693</w:t>
            </w:r>
          </w:p>
        </w:tc>
        <w:tc>
          <w:tcPr>
            <w:tcW w:w="569" w:type="pct"/>
            <w:tcBorders>
              <w:top w:val="single" w:sz="4" w:space="0" w:color="auto"/>
              <w:bottom w:val="single" w:sz="4" w:space="0" w:color="auto"/>
            </w:tcBorders>
            <w:tcMar>
              <w:top w:w="0" w:type="dxa"/>
              <w:left w:w="0" w:type="dxa"/>
              <w:bottom w:w="0" w:type="dxa"/>
              <w:right w:w="0" w:type="dxa"/>
            </w:tcMar>
            <w:vAlign w:val="center"/>
          </w:tcPr>
          <w:p w14:paraId="0974DD81" w14:textId="77777777" w:rsidR="009103CC" w:rsidRPr="001814D2" w:rsidRDefault="009103CC" w:rsidP="002718DF">
            <w:pPr>
              <w:pStyle w:val="Tabletext"/>
              <w:jc w:val="right"/>
              <w:rPr>
                <w:rFonts w:cs="Preston"/>
                <w:b/>
                <w:bCs/>
                <w:szCs w:val="18"/>
              </w:rPr>
            </w:pPr>
            <w:r w:rsidRPr="001814D2">
              <w:rPr>
                <w:rFonts w:cs="Preston"/>
                <w:b/>
                <w:bCs/>
                <w:szCs w:val="18"/>
              </w:rPr>
              <w:t>15,576</w:t>
            </w:r>
          </w:p>
        </w:tc>
        <w:tc>
          <w:tcPr>
            <w:tcW w:w="935" w:type="pct"/>
            <w:tcBorders>
              <w:top w:val="single" w:sz="4" w:space="0" w:color="auto"/>
              <w:bottom w:val="single" w:sz="4" w:space="0" w:color="auto"/>
            </w:tcBorders>
            <w:tcMar>
              <w:top w:w="0" w:type="dxa"/>
              <w:left w:w="0" w:type="dxa"/>
              <w:bottom w:w="0" w:type="dxa"/>
              <w:right w:w="0" w:type="dxa"/>
            </w:tcMar>
            <w:vAlign w:val="center"/>
          </w:tcPr>
          <w:p w14:paraId="63624619" w14:textId="77777777" w:rsidR="009103CC" w:rsidRPr="001814D2" w:rsidRDefault="009103CC" w:rsidP="002718DF">
            <w:pPr>
              <w:pStyle w:val="Tabletext"/>
              <w:jc w:val="right"/>
              <w:rPr>
                <w:rFonts w:cs="Preston"/>
                <w:b/>
                <w:bCs/>
                <w:szCs w:val="18"/>
              </w:rPr>
            </w:pPr>
            <w:r w:rsidRPr="001814D2">
              <w:rPr>
                <w:rFonts w:cs="Preston"/>
                <w:b/>
                <w:bCs/>
                <w:szCs w:val="18"/>
              </w:rPr>
              <w:t>23,602</w:t>
            </w:r>
          </w:p>
        </w:tc>
        <w:tc>
          <w:tcPr>
            <w:tcW w:w="569" w:type="pct"/>
            <w:tcBorders>
              <w:top w:val="single" w:sz="4" w:space="0" w:color="auto"/>
              <w:bottom w:val="single" w:sz="4" w:space="0" w:color="auto"/>
            </w:tcBorders>
            <w:tcMar>
              <w:top w:w="0" w:type="dxa"/>
              <w:left w:w="0" w:type="dxa"/>
              <w:bottom w:w="0" w:type="dxa"/>
              <w:right w:w="0" w:type="dxa"/>
            </w:tcMar>
            <w:vAlign w:val="center"/>
          </w:tcPr>
          <w:p w14:paraId="4C281BAD" w14:textId="77777777" w:rsidR="009103CC" w:rsidRPr="001814D2" w:rsidRDefault="009103CC" w:rsidP="002718DF">
            <w:pPr>
              <w:pStyle w:val="Tabletext"/>
              <w:jc w:val="right"/>
              <w:rPr>
                <w:rFonts w:cs="Preston"/>
                <w:b/>
                <w:bCs/>
                <w:szCs w:val="18"/>
              </w:rPr>
            </w:pPr>
            <w:r w:rsidRPr="001814D2">
              <w:rPr>
                <w:rFonts w:cs="Preston"/>
                <w:b/>
                <w:bCs/>
                <w:szCs w:val="18"/>
              </w:rPr>
              <w:t>29,514</w:t>
            </w:r>
          </w:p>
        </w:tc>
        <w:tc>
          <w:tcPr>
            <w:tcW w:w="569" w:type="pct"/>
            <w:tcBorders>
              <w:top w:val="single" w:sz="4" w:space="0" w:color="auto"/>
              <w:bottom w:val="single" w:sz="4" w:space="0" w:color="auto"/>
            </w:tcBorders>
            <w:tcMar>
              <w:top w:w="0" w:type="dxa"/>
              <w:left w:w="0" w:type="dxa"/>
              <w:bottom w:w="0" w:type="dxa"/>
              <w:right w:w="0" w:type="dxa"/>
            </w:tcMar>
            <w:vAlign w:val="center"/>
          </w:tcPr>
          <w:p w14:paraId="39BA9995" w14:textId="77777777" w:rsidR="009103CC" w:rsidRPr="001814D2" w:rsidRDefault="009103CC" w:rsidP="002718DF">
            <w:pPr>
              <w:pStyle w:val="Tabletext"/>
              <w:jc w:val="right"/>
              <w:rPr>
                <w:rFonts w:cs="Preston"/>
                <w:b/>
                <w:bCs/>
                <w:szCs w:val="18"/>
              </w:rPr>
            </w:pPr>
            <w:r w:rsidRPr="001814D2">
              <w:rPr>
                <w:rFonts w:cs="Preston"/>
                <w:b/>
                <w:bCs/>
                <w:szCs w:val="18"/>
              </w:rPr>
              <w:t>15,477</w:t>
            </w:r>
          </w:p>
        </w:tc>
      </w:tr>
      <w:tr w:rsidR="009103CC" w:rsidRPr="001814D2" w14:paraId="4098BE2C" w14:textId="77777777" w:rsidTr="002718DF">
        <w:trPr>
          <w:cantSplit/>
          <w:trHeight w:hRule="exact" w:val="332"/>
        </w:trPr>
        <w:tc>
          <w:tcPr>
            <w:tcW w:w="1412" w:type="pct"/>
            <w:tcBorders>
              <w:bottom w:val="single" w:sz="4" w:space="0" w:color="auto"/>
            </w:tcBorders>
            <w:tcMar>
              <w:top w:w="0" w:type="dxa"/>
              <w:left w:w="0" w:type="dxa"/>
              <w:bottom w:w="0" w:type="dxa"/>
              <w:right w:w="0" w:type="dxa"/>
            </w:tcMar>
            <w:vAlign w:val="center"/>
          </w:tcPr>
          <w:p w14:paraId="6E748660" w14:textId="77777777" w:rsidR="009103CC" w:rsidRPr="001814D2" w:rsidRDefault="009103CC" w:rsidP="002718DF">
            <w:pPr>
              <w:pStyle w:val="Tabletext"/>
              <w:rPr>
                <w:rFonts w:cs="Preston"/>
                <w:b/>
                <w:bCs/>
                <w:szCs w:val="18"/>
              </w:rPr>
            </w:pPr>
            <w:r w:rsidRPr="001814D2">
              <w:rPr>
                <w:rFonts w:cs="Preston"/>
                <w:b/>
                <w:bCs/>
                <w:szCs w:val="18"/>
              </w:rPr>
              <w:t>Non-current liabilities</w:t>
            </w:r>
          </w:p>
        </w:tc>
        <w:tc>
          <w:tcPr>
            <w:tcW w:w="377" w:type="pct"/>
            <w:tcBorders>
              <w:bottom w:val="single" w:sz="4" w:space="0" w:color="auto"/>
            </w:tcBorders>
            <w:tcMar>
              <w:top w:w="0" w:type="dxa"/>
              <w:left w:w="0" w:type="dxa"/>
              <w:bottom w:w="0" w:type="dxa"/>
              <w:right w:w="0" w:type="dxa"/>
            </w:tcMar>
            <w:vAlign w:val="center"/>
          </w:tcPr>
          <w:p w14:paraId="0753F296" w14:textId="77777777" w:rsidR="009103CC" w:rsidRPr="001814D2" w:rsidRDefault="009103CC" w:rsidP="002718DF">
            <w:pPr>
              <w:pStyle w:val="Tabletext"/>
            </w:pPr>
          </w:p>
        </w:tc>
        <w:tc>
          <w:tcPr>
            <w:tcW w:w="569" w:type="pct"/>
            <w:tcBorders>
              <w:bottom w:val="single" w:sz="4" w:space="0" w:color="auto"/>
            </w:tcBorders>
            <w:tcMar>
              <w:top w:w="0" w:type="dxa"/>
              <w:left w:w="0" w:type="dxa"/>
              <w:bottom w:w="0" w:type="dxa"/>
              <w:right w:w="0" w:type="dxa"/>
            </w:tcMar>
            <w:vAlign w:val="center"/>
          </w:tcPr>
          <w:p w14:paraId="3A8E1293"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776B6013" w14:textId="77777777" w:rsidR="009103CC" w:rsidRPr="001814D2" w:rsidRDefault="009103CC" w:rsidP="002718DF">
            <w:pPr>
              <w:pStyle w:val="Tabletext"/>
              <w:jc w:val="right"/>
            </w:pPr>
          </w:p>
        </w:tc>
        <w:tc>
          <w:tcPr>
            <w:tcW w:w="935" w:type="pct"/>
            <w:tcBorders>
              <w:bottom w:val="single" w:sz="4" w:space="0" w:color="auto"/>
            </w:tcBorders>
            <w:tcMar>
              <w:top w:w="0" w:type="dxa"/>
              <w:left w:w="0" w:type="dxa"/>
              <w:bottom w:w="0" w:type="dxa"/>
              <w:right w:w="0" w:type="dxa"/>
            </w:tcMar>
            <w:vAlign w:val="center"/>
          </w:tcPr>
          <w:p w14:paraId="6D51AE76"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719EE4EB"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77C0F58B" w14:textId="77777777" w:rsidR="009103CC" w:rsidRPr="001814D2" w:rsidRDefault="009103CC" w:rsidP="002718DF">
            <w:pPr>
              <w:pStyle w:val="Tabletext"/>
              <w:jc w:val="right"/>
            </w:pPr>
          </w:p>
        </w:tc>
      </w:tr>
      <w:tr w:rsidR="009103CC" w:rsidRPr="001814D2" w14:paraId="63D10267"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3EC46E62" w14:textId="77777777" w:rsidR="009103CC" w:rsidRPr="001814D2" w:rsidRDefault="009103CC" w:rsidP="002718DF">
            <w:pPr>
              <w:pStyle w:val="Tabletext"/>
            </w:pPr>
            <w:r w:rsidRPr="001814D2">
              <w:t>Payables</w:t>
            </w:r>
          </w:p>
        </w:tc>
        <w:tc>
          <w:tcPr>
            <w:tcW w:w="377" w:type="pct"/>
            <w:tcBorders>
              <w:top w:val="single" w:sz="4" w:space="0" w:color="auto"/>
              <w:bottom w:val="single" w:sz="4" w:space="0" w:color="auto"/>
            </w:tcBorders>
            <w:tcMar>
              <w:top w:w="0" w:type="dxa"/>
              <w:left w:w="0" w:type="dxa"/>
              <w:bottom w:w="0" w:type="dxa"/>
              <w:right w:w="0" w:type="dxa"/>
            </w:tcMar>
            <w:vAlign w:val="center"/>
          </w:tcPr>
          <w:p w14:paraId="10CB7B9F" w14:textId="77777777" w:rsidR="009103CC" w:rsidRPr="001814D2" w:rsidRDefault="009103CC" w:rsidP="002718DF">
            <w:pPr>
              <w:pStyle w:val="Tabletext"/>
              <w:rPr>
                <w:rFonts w:cs="Preston"/>
                <w:szCs w:val="18"/>
              </w:rPr>
            </w:pPr>
            <w:r w:rsidRPr="001814D2">
              <w:rPr>
                <w:rFonts w:cs="Preston"/>
                <w:szCs w:val="18"/>
              </w:rPr>
              <w:t>11</w:t>
            </w:r>
          </w:p>
        </w:tc>
        <w:tc>
          <w:tcPr>
            <w:tcW w:w="569" w:type="pct"/>
            <w:tcBorders>
              <w:top w:val="single" w:sz="4" w:space="0" w:color="auto"/>
              <w:bottom w:val="single" w:sz="4" w:space="0" w:color="auto"/>
            </w:tcBorders>
            <w:tcMar>
              <w:top w:w="0" w:type="dxa"/>
              <w:left w:w="0" w:type="dxa"/>
              <w:bottom w:w="0" w:type="dxa"/>
              <w:right w:w="0" w:type="dxa"/>
            </w:tcMar>
            <w:vAlign w:val="center"/>
          </w:tcPr>
          <w:p w14:paraId="69524A51" w14:textId="77777777" w:rsidR="009103CC" w:rsidRPr="001814D2" w:rsidRDefault="009103CC" w:rsidP="002718DF">
            <w:pPr>
              <w:pStyle w:val="Tabletext"/>
              <w:jc w:val="right"/>
              <w:rPr>
                <w:rFonts w:cs="Preston"/>
                <w:szCs w:val="18"/>
              </w:rPr>
            </w:pPr>
            <w:r w:rsidRPr="001814D2">
              <w:rPr>
                <w:rFonts w:cs="Preston"/>
                <w:szCs w:val="18"/>
              </w:rPr>
              <w:t>944</w:t>
            </w:r>
          </w:p>
        </w:tc>
        <w:tc>
          <w:tcPr>
            <w:tcW w:w="569" w:type="pct"/>
            <w:tcBorders>
              <w:top w:val="single" w:sz="4" w:space="0" w:color="auto"/>
              <w:bottom w:val="single" w:sz="4" w:space="0" w:color="auto"/>
            </w:tcBorders>
            <w:tcMar>
              <w:top w:w="0" w:type="dxa"/>
              <w:left w:w="0" w:type="dxa"/>
              <w:bottom w:w="0" w:type="dxa"/>
              <w:right w:w="0" w:type="dxa"/>
            </w:tcMar>
            <w:vAlign w:val="center"/>
          </w:tcPr>
          <w:p w14:paraId="14F9F12D" w14:textId="77777777" w:rsidR="009103CC" w:rsidRPr="001814D2" w:rsidRDefault="009103CC" w:rsidP="002718DF">
            <w:pPr>
              <w:pStyle w:val="Tabletext"/>
              <w:jc w:val="right"/>
              <w:rPr>
                <w:rFonts w:cs="Preston"/>
                <w:szCs w:val="18"/>
              </w:rPr>
            </w:pPr>
            <w:r w:rsidRPr="001814D2">
              <w:rPr>
                <w:rFonts w:cs="Preston"/>
                <w:szCs w:val="18"/>
              </w:rPr>
              <w:t>-</w:t>
            </w:r>
          </w:p>
        </w:tc>
        <w:tc>
          <w:tcPr>
            <w:tcW w:w="935" w:type="pct"/>
            <w:tcBorders>
              <w:top w:val="single" w:sz="4" w:space="0" w:color="auto"/>
              <w:bottom w:val="single" w:sz="4" w:space="0" w:color="auto"/>
            </w:tcBorders>
            <w:tcMar>
              <w:top w:w="0" w:type="dxa"/>
              <w:left w:w="0" w:type="dxa"/>
              <w:bottom w:w="0" w:type="dxa"/>
              <w:right w:w="0" w:type="dxa"/>
            </w:tcMar>
            <w:vAlign w:val="center"/>
          </w:tcPr>
          <w:p w14:paraId="53A60677" w14:textId="77777777" w:rsidR="009103CC" w:rsidRPr="001814D2" w:rsidRDefault="009103CC" w:rsidP="002718DF">
            <w:pPr>
              <w:pStyle w:val="Tabletext"/>
              <w:jc w:val="right"/>
              <w:rPr>
                <w:rFonts w:cs="Preston"/>
                <w:szCs w:val="18"/>
              </w:rPr>
            </w:pPr>
            <w:r w:rsidRPr="001814D2">
              <w:rPr>
                <w:rFonts w:cs="Preston"/>
                <w:szCs w:val="18"/>
              </w:rPr>
              <w:t>-</w:t>
            </w:r>
          </w:p>
        </w:tc>
        <w:tc>
          <w:tcPr>
            <w:tcW w:w="569" w:type="pct"/>
            <w:tcBorders>
              <w:top w:val="single" w:sz="4" w:space="0" w:color="auto"/>
              <w:bottom w:val="single" w:sz="4" w:space="0" w:color="auto"/>
            </w:tcBorders>
            <w:tcMar>
              <w:top w:w="0" w:type="dxa"/>
              <w:left w:w="0" w:type="dxa"/>
              <w:bottom w:w="0" w:type="dxa"/>
              <w:right w:w="0" w:type="dxa"/>
            </w:tcMar>
            <w:vAlign w:val="center"/>
          </w:tcPr>
          <w:p w14:paraId="2352E923" w14:textId="77777777" w:rsidR="009103CC" w:rsidRPr="001814D2" w:rsidRDefault="009103CC" w:rsidP="002718DF">
            <w:pPr>
              <w:pStyle w:val="Tabletext"/>
              <w:jc w:val="right"/>
              <w:rPr>
                <w:rFonts w:cs="Preston"/>
                <w:szCs w:val="18"/>
              </w:rPr>
            </w:pPr>
            <w:r w:rsidRPr="001814D2">
              <w:rPr>
                <w:rFonts w:cs="Preston"/>
                <w:szCs w:val="18"/>
              </w:rPr>
              <w:t>944</w:t>
            </w:r>
          </w:p>
        </w:tc>
        <w:tc>
          <w:tcPr>
            <w:tcW w:w="569" w:type="pct"/>
            <w:tcBorders>
              <w:top w:val="single" w:sz="4" w:space="0" w:color="auto"/>
              <w:bottom w:val="single" w:sz="4" w:space="0" w:color="auto"/>
            </w:tcBorders>
            <w:tcMar>
              <w:top w:w="0" w:type="dxa"/>
              <w:left w:w="0" w:type="dxa"/>
              <w:bottom w:w="0" w:type="dxa"/>
              <w:right w:w="0" w:type="dxa"/>
            </w:tcMar>
            <w:vAlign w:val="center"/>
          </w:tcPr>
          <w:p w14:paraId="3EC69864"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49730748" w14:textId="77777777" w:rsidTr="002718DF">
        <w:trPr>
          <w:cantSplit/>
          <w:trHeight w:hRule="exact" w:val="554"/>
        </w:trPr>
        <w:tc>
          <w:tcPr>
            <w:tcW w:w="1412" w:type="pct"/>
            <w:tcBorders>
              <w:top w:val="single" w:sz="4" w:space="0" w:color="auto"/>
              <w:bottom w:val="single" w:sz="4" w:space="0" w:color="auto"/>
            </w:tcBorders>
            <w:tcMar>
              <w:top w:w="0" w:type="dxa"/>
              <w:left w:w="0" w:type="dxa"/>
              <w:bottom w:w="0" w:type="dxa"/>
              <w:right w:w="0" w:type="dxa"/>
            </w:tcMar>
            <w:vAlign w:val="center"/>
          </w:tcPr>
          <w:p w14:paraId="64560D98" w14:textId="77777777" w:rsidR="009103CC" w:rsidRPr="001814D2" w:rsidRDefault="009103CC" w:rsidP="002718DF">
            <w:pPr>
              <w:pStyle w:val="Tabletext"/>
            </w:pPr>
            <w:r w:rsidRPr="001814D2">
              <w:t>Provision for employment benefits</w:t>
            </w:r>
          </w:p>
        </w:tc>
        <w:tc>
          <w:tcPr>
            <w:tcW w:w="377" w:type="pct"/>
            <w:tcBorders>
              <w:top w:val="single" w:sz="4" w:space="0" w:color="auto"/>
              <w:bottom w:val="single" w:sz="4" w:space="0" w:color="auto"/>
            </w:tcBorders>
            <w:tcMar>
              <w:top w:w="0" w:type="dxa"/>
              <w:left w:w="0" w:type="dxa"/>
              <w:bottom w:w="0" w:type="dxa"/>
              <w:right w:w="0" w:type="dxa"/>
            </w:tcMar>
            <w:vAlign w:val="center"/>
          </w:tcPr>
          <w:p w14:paraId="54547ACD" w14:textId="77777777" w:rsidR="009103CC" w:rsidRPr="001814D2" w:rsidRDefault="009103CC" w:rsidP="002718DF">
            <w:pPr>
              <w:pStyle w:val="Tabletext"/>
              <w:rPr>
                <w:rFonts w:cs="Preston"/>
                <w:szCs w:val="18"/>
              </w:rPr>
            </w:pPr>
            <w:r w:rsidRPr="001814D2">
              <w:rPr>
                <w:rFonts w:cs="Preston"/>
                <w:szCs w:val="18"/>
              </w:rPr>
              <w:t>12</w:t>
            </w:r>
          </w:p>
        </w:tc>
        <w:tc>
          <w:tcPr>
            <w:tcW w:w="569" w:type="pct"/>
            <w:tcBorders>
              <w:top w:val="single" w:sz="4" w:space="0" w:color="auto"/>
              <w:bottom w:val="single" w:sz="4" w:space="0" w:color="auto"/>
            </w:tcBorders>
            <w:tcMar>
              <w:top w:w="0" w:type="dxa"/>
              <w:left w:w="0" w:type="dxa"/>
              <w:bottom w:w="0" w:type="dxa"/>
              <w:right w:w="0" w:type="dxa"/>
            </w:tcMar>
            <w:vAlign w:val="center"/>
          </w:tcPr>
          <w:p w14:paraId="47F7EA9B" w14:textId="77777777" w:rsidR="009103CC" w:rsidRPr="001814D2" w:rsidRDefault="009103CC" w:rsidP="002718DF">
            <w:pPr>
              <w:pStyle w:val="Tabletext"/>
              <w:jc w:val="right"/>
              <w:rPr>
                <w:rFonts w:cs="Preston"/>
                <w:szCs w:val="18"/>
              </w:rPr>
            </w:pPr>
            <w:r w:rsidRPr="001814D2">
              <w:rPr>
                <w:rFonts w:cs="Preston"/>
                <w:szCs w:val="18"/>
              </w:rPr>
              <w:t>126</w:t>
            </w:r>
          </w:p>
        </w:tc>
        <w:tc>
          <w:tcPr>
            <w:tcW w:w="569" w:type="pct"/>
            <w:tcBorders>
              <w:top w:val="single" w:sz="4" w:space="0" w:color="auto"/>
              <w:bottom w:val="single" w:sz="4" w:space="0" w:color="auto"/>
            </w:tcBorders>
            <w:tcMar>
              <w:top w:w="0" w:type="dxa"/>
              <w:left w:w="0" w:type="dxa"/>
              <w:bottom w:w="0" w:type="dxa"/>
              <w:right w:w="0" w:type="dxa"/>
            </w:tcMar>
            <w:vAlign w:val="center"/>
          </w:tcPr>
          <w:p w14:paraId="0CF017E0" w14:textId="77777777" w:rsidR="009103CC" w:rsidRPr="001814D2" w:rsidRDefault="009103CC" w:rsidP="002718DF">
            <w:pPr>
              <w:pStyle w:val="Tabletext"/>
              <w:jc w:val="right"/>
              <w:rPr>
                <w:rFonts w:cs="Preston"/>
                <w:szCs w:val="18"/>
              </w:rPr>
            </w:pPr>
            <w:r w:rsidRPr="001814D2">
              <w:rPr>
                <w:rFonts w:cs="Preston"/>
                <w:szCs w:val="18"/>
              </w:rPr>
              <w:t>126</w:t>
            </w:r>
          </w:p>
        </w:tc>
        <w:tc>
          <w:tcPr>
            <w:tcW w:w="935" w:type="pct"/>
            <w:tcBorders>
              <w:top w:val="single" w:sz="4" w:space="0" w:color="auto"/>
              <w:bottom w:val="single" w:sz="4" w:space="0" w:color="auto"/>
            </w:tcBorders>
            <w:tcMar>
              <w:top w:w="0" w:type="dxa"/>
              <w:left w:w="0" w:type="dxa"/>
              <w:bottom w:w="0" w:type="dxa"/>
              <w:right w:w="0" w:type="dxa"/>
            </w:tcMar>
            <w:vAlign w:val="center"/>
          </w:tcPr>
          <w:p w14:paraId="71D09E80" w14:textId="77777777" w:rsidR="009103CC" w:rsidRPr="001814D2" w:rsidRDefault="009103CC" w:rsidP="002718DF">
            <w:pPr>
              <w:pStyle w:val="Tabletext"/>
              <w:jc w:val="right"/>
              <w:rPr>
                <w:rFonts w:cs="Preston"/>
                <w:szCs w:val="18"/>
              </w:rPr>
            </w:pPr>
            <w:r w:rsidRPr="001814D2">
              <w:rPr>
                <w:rFonts w:cs="Preston"/>
                <w:szCs w:val="18"/>
              </w:rPr>
              <w:t>126</w:t>
            </w:r>
          </w:p>
        </w:tc>
        <w:tc>
          <w:tcPr>
            <w:tcW w:w="569" w:type="pct"/>
            <w:tcBorders>
              <w:top w:val="single" w:sz="4" w:space="0" w:color="auto"/>
              <w:bottom w:val="single" w:sz="4" w:space="0" w:color="auto"/>
            </w:tcBorders>
            <w:tcMar>
              <w:top w:w="0" w:type="dxa"/>
              <w:left w:w="0" w:type="dxa"/>
              <w:bottom w:w="0" w:type="dxa"/>
              <w:right w:w="0" w:type="dxa"/>
            </w:tcMar>
            <w:vAlign w:val="center"/>
          </w:tcPr>
          <w:p w14:paraId="6B5D8231" w14:textId="77777777" w:rsidR="009103CC" w:rsidRPr="001814D2" w:rsidRDefault="009103CC" w:rsidP="002718DF">
            <w:pPr>
              <w:pStyle w:val="Tabletext"/>
              <w:jc w:val="right"/>
              <w:rPr>
                <w:rFonts w:cs="Preston"/>
                <w:szCs w:val="18"/>
              </w:rPr>
            </w:pPr>
            <w:r w:rsidRPr="001814D2">
              <w:rPr>
                <w:rFonts w:cs="Preston"/>
                <w:szCs w:val="18"/>
              </w:rPr>
              <w:t>126</w:t>
            </w:r>
          </w:p>
        </w:tc>
        <w:tc>
          <w:tcPr>
            <w:tcW w:w="569" w:type="pct"/>
            <w:tcBorders>
              <w:top w:val="single" w:sz="4" w:space="0" w:color="auto"/>
              <w:bottom w:val="single" w:sz="4" w:space="0" w:color="auto"/>
            </w:tcBorders>
            <w:tcMar>
              <w:top w:w="0" w:type="dxa"/>
              <w:left w:w="0" w:type="dxa"/>
              <w:bottom w:w="0" w:type="dxa"/>
              <w:right w:w="0" w:type="dxa"/>
            </w:tcMar>
            <w:vAlign w:val="center"/>
          </w:tcPr>
          <w:p w14:paraId="7D588F01" w14:textId="77777777" w:rsidR="009103CC" w:rsidRPr="001814D2" w:rsidRDefault="009103CC" w:rsidP="002718DF">
            <w:pPr>
              <w:pStyle w:val="Tabletext"/>
              <w:jc w:val="right"/>
              <w:rPr>
                <w:rFonts w:cs="Preston"/>
                <w:szCs w:val="18"/>
              </w:rPr>
            </w:pPr>
            <w:r w:rsidRPr="001814D2">
              <w:rPr>
                <w:rFonts w:cs="Preston"/>
                <w:szCs w:val="18"/>
              </w:rPr>
              <w:t>126</w:t>
            </w:r>
          </w:p>
        </w:tc>
      </w:tr>
      <w:tr w:rsidR="009103CC" w:rsidRPr="001814D2" w14:paraId="41EDD6DE"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5CEB40FA" w14:textId="77777777" w:rsidR="009103CC" w:rsidRPr="001814D2" w:rsidRDefault="009103CC" w:rsidP="002718DF">
            <w:pPr>
              <w:pStyle w:val="Tabletext"/>
            </w:pPr>
            <w:r w:rsidRPr="001814D2">
              <w:t>Total non-current liabilities</w:t>
            </w:r>
          </w:p>
        </w:tc>
        <w:tc>
          <w:tcPr>
            <w:tcW w:w="377" w:type="pct"/>
            <w:tcBorders>
              <w:top w:val="single" w:sz="4" w:space="0" w:color="auto"/>
              <w:bottom w:val="single" w:sz="4" w:space="0" w:color="auto"/>
            </w:tcBorders>
            <w:tcMar>
              <w:top w:w="0" w:type="dxa"/>
              <w:left w:w="0" w:type="dxa"/>
              <w:bottom w:w="0" w:type="dxa"/>
              <w:right w:w="0" w:type="dxa"/>
            </w:tcMar>
            <w:vAlign w:val="center"/>
          </w:tcPr>
          <w:p w14:paraId="48289F45"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5972FBD9" w14:textId="77777777" w:rsidR="009103CC" w:rsidRPr="001814D2" w:rsidRDefault="009103CC" w:rsidP="002718DF">
            <w:pPr>
              <w:pStyle w:val="Tabletext"/>
              <w:jc w:val="right"/>
              <w:rPr>
                <w:rFonts w:cs="Preston"/>
                <w:szCs w:val="18"/>
              </w:rPr>
            </w:pPr>
            <w:r w:rsidRPr="001814D2">
              <w:rPr>
                <w:rFonts w:cs="Preston"/>
                <w:szCs w:val="18"/>
              </w:rPr>
              <w:t>1,070</w:t>
            </w:r>
          </w:p>
        </w:tc>
        <w:tc>
          <w:tcPr>
            <w:tcW w:w="569" w:type="pct"/>
            <w:tcBorders>
              <w:top w:val="single" w:sz="4" w:space="0" w:color="auto"/>
              <w:bottom w:val="single" w:sz="4" w:space="0" w:color="auto"/>
            </w:tcBorders>
            <w:tcMar>
              <w:top w:w="0" w:type="dxa"/>
              <w:left w:w="0" w:type="dxa"/>
              <w:bottom w:w="0" w:type="dxa"/>
              <w:right w:w="0" w:type="dxa"/>
            </w:tcMar>
            <w:vAlign w:val="center"/>
          </w:tcPr>
          <w:p w14:paraId="2B348F3F" w14:textId="77777777" w:rsidR="009103CC" w:rsidRPr="001814D2" w:rsidRDefault="009103CC" w:rsidP="002718DF">
            <w:pPr>
              <w:pStyle w:val="Tabletext"/>
              <w:jc w:val="right"/>
              <w:rPr>
                <w:rFonts w:cs="Preston"/>
                <w:szCs w:val="18"/>
              </w:rPr>
            </w:pPr>
            <w:r w:rsidRPr="001814D2">
              <w:rPr>
                <w:rFonts w:cs="Preston"/>
                <w:szCs w:val="18"/>
              </w:rPr>
              <w:t>126</w:t>
            </w:r>
          </w:p>
        </w:tc>
        <w:tc>
          <w:tcPr>
            <w:tcW w:w="935" w:type="pct"/>
            <w:tcBorders>
              <w:top w:val="single" w:sz="4" w:space="0" w:color="auto"/>
              <w:bottom w:val="single" w:sz="4" w:space="0" w:color="auto"/>
            </w:tcBorders>
            <w:tcMar>
              <w:top w:w="0" w:type="dxa"/>
              <w:left w:w="0" w:type="dxa"/>
              <w:bottom w:w="0" w:type="dxa"/>
              <w:right w:w="0" w:type="dxa"/>
            </w:tcMar>
            <w:vAlign w:val="center"/>
          </w:tcPr>
          <w:p w14:paraId="1A682E71" w14:textId="77777777" w:rsidR="009103CC" w:rsidRPr="001814D2" w:rsidRDefault="009103CC" w:rsidP="002718DF">
            <w:pPr>
              <w:pStyle w:val="Tabletext"/>
              <w:jc w:val="right"/>
              <w:rPr>
                <w:rFonts w:cs="Preston"/>
                <w:szCs w:val="18"/>
              </w:rPr>
            </w:pPr>
            <w:r w:rsidRPr="001814D2">
              <w:rPr>
                <w:rFonts w:cs="Preston"/>
                <w:szCs w:val="18"/>
              </w:rPr>
              <w:t>126</w:t>
            </w:r>
          </w:p>
        </w:tc>
        <w:tc>
          <w:tcPr>
            <w:tcW w:w="569" w:type="pct"/>
            <w:tcBorders>
              <w:top w:val="single" w:sz="4" w:space="0" w:color="auto"/>
              <w:bottom w:val="single" w:sz="4" w:space="0" w:color="auto"/>
            </w:tcBorders>
            <w:tcMar>
              <w:top w:w="0" w:type="dxa"/>
              <w:left w:w="0" w:type="dxa"/>
              <w:bottom w:w="0" w:type="dxa"/>
              <w:right w:w="0" w:type="dxa"/>
            </w:tcMar>
            <w:vAlign w:val="center"/>
          </w:tcPr>
          <w:p w14:paraId="29CA74A0" w14:textId="77777777" w:rsidR="009103CC" w:rsidRPr="001814D2" w:rsidRDefault="009103CC" w:rsidP="002718DF">
            <w:pPr>
              <w:pStyle w:val="Tabletext"/>
              <w:jc w:val="right"/>
              <w:rPr>
                <w:rFonts w:cs="Preston"/>
                <w:szCs w:val="18"/>
              </w:rPr>
            </w:pPr>
            <w:r w:rsidRPr="001814D2">
              <w:rPr>
                <w:rFonts w:cs="Preston"/>
                <w:szCs w:val="18"/>
              </w:rPr>
              <w:t>1,070</w:t>
            </w:r>
          </w:p>
        </w:tc>
        <w:tc>
          <w:tcPr>
            <w:tcW w:w="569" w:type="pct"/>
            <w:tcBorders>
              <w:top w:val="single" w:sz="4" w:space="0" w:color="auto"/>
              <w:bottom w:val="single" w:sz="4" w:space="0" w:color="auto"/>
            </w:tcBorders>
            <w:tcMar>
              <w:top w:w="0" w:type="dxa"/>
              <w:left w:w="0" w:type="dxa"/>
              <w:bottom w:w="0" w:type="dxa"/>
              <w:right w:w="0" w:type="dxa"/>
            </w:tcMar>
            <w:vAlign w:val="center"/>
          </w:tcPr>
          <w:p w14:paraId="56E8F437" w14:textId="77777777" w:rsidR="009103CC" w:rsidRPr="001814D2" w:rsidRDefault="009103CC" w:rsidP="002718DF">
            <w:pPr>
              <w:pStyle w:val="Tabletext"/>
              <w:jc w:val="right"/>
              <w:rPr>
                <w:rFonts w:cs="Preston"/>
                <w:szCs w:val="18"/>
              </w:rPr>
            </w:pPr>
            <w:r w:rsidRPr="001814D2">
              <w:rPr>
                <w:rFonts w:cs="Preston"/>
                <w:szCs w:val="18"/>
              </w:rPr>
              <w:t>126</w:t>
            </w:r>
          </w:p>
        </w:tc>
      </w:tr>
      <w:tr w:rsidR="009103CC" w:rsidRPr="001814D2" w14:paraId="10092084"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5C58EA46" w14:textId="77777777" w:rsidR="009103CC" w:rsidRPr="001814D2" w:rsidRDefault="009103CC" w:rsidP="002718DF">
            <w:pPr>
              <w:pStyle w:val="Tabletext"/>
              <w:rPr>
                <w:rFonts w:cs="Preston"/>
                <w:b/>
                <w:bCs/>
                <w:szCs w:val="18"/>
              </w:rPr>
            </w:pPr>
            <w:r w:rsidRPr="001814D2">
              <w:rPr>
                <w:rFonts w:cs="Preston"/>
                <w:b/>
                <w:bCs/>
                <w:szCs w:val="18"/>
              </w:rPr>
              <w:t>Total liabilities</w:t>
            </w:r>
          </w:p>
        </w:tc>
        <w:tc>
          <w:tcPr>
            <w:tcW w:w="377" w:type="pct"/>
            <w:tcBorders>
              <w:top w:val="single" w:sz="4" w:space="0" w:color="auto"/>
              <w:bottom w:val="single" w:sz="4" w:space="0" w:color="auto"/>
            </w:tcBorders>
            <w:tcMar>
              <w:top w:w="0" w:type="dxa"/>
              <w:left w:w="0" w:type="dxa"/>
              <w:bottom w:w="0" w:type="dxa"/>
              <w:right w:w="0" w:type="dxa"/>
            </w:tcMar>
            <w:vAlign w:val="center"/>
          </w:tcPr>
          <w:p w14:paraId="5A206149" w14:textId="77777777" w:rsidR="009103CC" w:rsidRPr="001814D2" w:rsidRDefault="009103CC" w:rsidP="002718DF">
            <w:pPr>
              <w:pStyle w:val="Tabletext"/>
              <w:rPr>
                <w:b/>
                <w:bCs/>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27410FE7" w14:textId="77777777" w:rsidR="009103CC" w:rsidRPr="001814D2" w:rsidRDefault="009103CC" w:rsidP="002718DF">
            <w:pPr>
              <w:pStyle w:val="Tabletext"/>
              <w:jc w:val="right"/>
              <w:rPr>
                <w:rFonts w:cs="Preston"/>
                <w:b/>
                <w:bCs/>
                <w:szCs w:val="18"/>
              </w:rPr>
            </w:pPr>
            <w:r w:rsidRPr="001814D2">
              <w:rPr>
                <w:rFonts w:cs="Preston"/>
                <w:b/>
                <w:bCs/>
                <w:szCs w:val="18"/>
              </w:rPr>
              <w:t>30,763</w:t>
            </w:r>
          </w:p>
        </w:tc>
        <w:tc>
          <w:tcPr>
            <w:tcW w:w="569" w:type="pct"/>
            <w:tcBorders>
              <w:top w:val="single" w:sz="4" w:space="0" w:color="auto"/>
              <w:bottom w:val="single" w:sz="4" w:space="0" w:color="auto"/>
            </w:tcBorders>
            <w:tcMar>
              <w:top w:w="0" w:type="dxa"/>
              <w:left w:w="0" w:type="dxa"/>
              <w:bottom w:w="0" w:type="dxa"/>
              <w:right w:w="0" w:type="dxa"/>
            </w:tcMar>
            <w:vAlign w:val="center"/>
          </w:tcPr>
          <w:p w14:paraId="060BD75B" w14:textId="77777777" w:rsidR="009103CC" w:rsidRPr="001814D2" w:rsidRDefault="009103CC" w:rsidP="002718DF">
            <w:pPr>
              <w:pStyle w:val="Tabletext"/>
              <w:jc w:val="right"/>
              <w:rPr>
                <w:rFonts w:cs="Preston"/>
                <w:b/>
                <w:bCs/>
                <w:szCs w:val="18"/>
              </w:rPr>
            </w:pPr>
            <w:r w:rsidRPr="001814D2">
              <w:rPr>
                <w:rFonts w:cs="Preston"/>
                <w:b/>
                <w:bCs/>
                <w:szCs w:val="18"/>
              </w:rPr>
              <w:t>15,702</w:t>
            </w:r>
          </w:p>
        </w:tc>
        <w:tc>
          <w:tcPr>
            <w:tcW w:w="935" w:type="pct"/>
            <w:tcBorders>
              <w:top w:val="single" w:sz="4" w:space="0" w:color="auto"/>
              <w:bottom w:val="single" w:sz="4" w:space="0" w:color="auto"/>
            </w:tcBorders>
            <w:tcMar>
              <w:top w:w="0" w:type="dxa"/>
              <w:left w:w="0" w:type="dxa"/>
              <w:bottom w:w="0" w:type="dxa"/>
              <w:right w:w="0" w:type="dxa"/>
            </w:tcMar>
            <w:vAlign w:val="center"/>
          </w:tcPr>
          <w:p w14:paraId="0F5167A6" w14:textId="77777777" w:rsidR="009103CC" w:rsidRPr="001814D2" w:rsidRDefault="009103CC" w:rsidP="002718DF">
            <w:pPr>
              <w:pStyle w:val="Tabletext"/>
              <w:jc w:val="right"/>
              <w:rPr>
                <w:rFonts w:cs="Preston"/>
                <w:b/>
                <w:bCs/>
                <w:szCs w:val="18"/>
              </w:rPr>
            </w:pPr>
            <w:r w:rsidRPr="001814D2">
              <w:rPr>
                <w:rFonts w:cs="Preston"/>
                <w:b/>
                <w:bCs/>
                <w:szCs w:val="18"/>
              </w:rPr>
              <w:t>23,728</w:t>
            </w:r>
          </w:p>
        </w:tc>
        <w:tc>
          <w:tcPr>
            <w:tcW w:w="569" w:type="pct"/>
            <w:tcBorders>
              <w:top w:val="single" w:sz="4" w:space="0" w:color="auto"/>
              <w:bottom w:val="single" w:sz="4" w:space="0" w:color="auto"/>
            </w:tcBorders>
            <w:tcMar>
              <w:top w:w="0" w:type="dxa"/>
              <w:left w:w="0" w:type="dxa"/>
              <w:bottom w:w="0" w:type="dxa"/>
              <w:right w:w="0" w:type="dxa"/>
            </w:tcMar>
            <w:vAlign w:val="center"/>
          </w:tcPr>
          <w:p w14:paraId="4101F783" w14:textId="77777777" w:rsidR="009103CC" w:rsidRPr="001814D2" w:rsidRDefault="009103CC" w:rsidP="002718DF">
            <w:pPr>
              <w:pStyle w:val="Tabletext"/>
              <w:jc w:val="right"/>
              <w:rPr>
                <w:rFonts w:cs="Preston"/>
                <w:b/>
                <w:bCs/>
                <w:szCs w:val="18"/>
              </w:rPr>
            </w:pPr>
            <w:r w:rsidRPr="001814D2">
              <w:rPr>
                <w:rFonts w:cs="Preston"/>
                <w:b/>
                <w:bCs/>
                <w:szCs w:val="18"/>
              </w:rPr>
              <w:t>30,584</w:t>
            </w:r>
          </w:p>
        </w:tc>
        <w:tc>
          <w:tcPr>
            <w:tcW w:w="569" w:type="pct"/>
            <w:tcBorders>
              <w:top w:val="single" w:sz="4" w:space="0" w:color="auto"/>
              <w:bottom w:val="single" w:sz="4" w:space="0" w:color="auto"/>
            </w:tcBorders>
            <w:tcMar>
              <w:top w:w="0" w:type="dxa"/>
              <w:left w:w="0" w:type="dxa"/>
              <w:bottom w:w="0" w:type="dxa"/>
              <w:right w:w="0" w:type="dxa"/>
            </w:tcMar>
            <w:vAlign w:val="center"/>
          </w:tcPr>
          <w:p w14:paraId="03813CE0" w14:textId="77777777" w:rsidR="009103CC" w:rsidRPr="001814D2" w:rsidRDefault="009103CC" w:rsidP="002718DF">
            <w:pPr>
              <w:pStyle w:val="Tabletext"/>
              <w:jc w:val="right"/>
              <w:rPr>
                <w:rFonts w:cs="Preston"/>
                <w:b/>
                <w:bCs/>
                <w:szCs w:val="18"/>
              </w:rPr>
            </w:pPr>
            <w:r w:rsidRPr="001814D2">
              <w:rPr>
                <w:rFonts w:cs="Preston"/>
                <w:b/>
                <w:bCs/>
                <w:szCs w:val="18"/>
              </w:rPr>
              <w:t>15,603</w:t>
            </w:r>
          </w:p>
        </w:tc>
      </w:tr>
      <w:tr w:rsidR="009103CC" w:rsidRPr="001814D2" w14:paraId="5638C0CA"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493111D6" w14:textId="77777777" w:rsidR="009103CC" w:rsidRPr="001814D2" w:rsidRDefault="009103CC" w:rsidP="002718DF">
            <w:pPr>
              <w:pStyle w:val="Tabletext"/>
              <w:rPr>
                <w:rFonts w:cs="Preston"/>
                <w:b/>
                <w:bCs/>
                <w:szCs w:val="18"/>
              </w:rPr>
            </w:pPr>
            <w:r w:rsidRPr="001814D2">
              <w:rPr>
                <w:rFonts w:cs="Preston"/>
                <w:b/>
                <w:bCs/>
                <w:szCs w:val="18"/>
              </w:rPr>
              <w:t>Net assets</w:t>
            </w:r>
          </w:p>
        </w:tc>
        <w:tc>
          <w:tcPr>
            <w:tcW w:w="377" w:type="pct"/>
            <w:tcBorders>
              <w:top w:val="single" w:sz="4" w:space="0" w:color="auto"/>
              <w:bottom w:val="single" w:sz="4" w:space="0" w:color="auto"/>
            </w:tcBorders>
            <w:tcMar>
              <w:top w:w="0" w:type="dxa"/>
              <w:left w:w="0" w:type="dxa"/>
              <w:bottom w:w="0" w:type="dxa"/>
              <w:right w:w="0" w:type="dxa"/>
            </w:tcMar>
            <w:vAlign w:val="center"/>
          </w:tcPr>
          <w:p w14:paraId="7A862D2F" w14:textId="77777777" w:rsidR="009103CC" w:rsidRPr="001814D2" w:rsidRDefault="009103CC" w:rsidP="002718DF">
            <w:pPr>
              <w:pStyle w:val="Tabletext"/>
              <w:rPr>
                <w:b/>
                <w:bCs/>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08805A3D" w14:textId="77777777" w:rsidR="009103CC" w:rsidRPr="001814D2" w:rsidRDefault="009103CC" w:rsidP="002718DF">
            <w:pPr>
              <w:pStyle w:val="Tabletext"/>
              <w:jc w:val="right"/>
              <w:rPr>
                <w:rFonts w:cs="Preston"/>
                <w:b/>
                <w:bCs/>
                <w:szCs w:val="18"/>
              </w:rPr>
            </w:pPr>
            <w:r w:rsidRPr="001814D2">
              <w:rPr>
                <w:rFonts w:cs="Preston"/>
                <w:b/>
                <w:bCs/>
                <w:szCs w:val="18"/>
              </w:rPr>
              <w:t>2,384,925</w:t>
            </w:r>
          </w:p>
        </w:tc>
        <w:tc>
          <w:tcPr>
            <w:tcW w:w="569" w:type="pct"/>
            <w:tcBorders>
              <w:top w:val="single" w:sz="4" w:space="0" w:color="auto"/>
              <w:bottom w:val="single" w:sz="4" w:space="0" w:color="auto"/>
            </w:tcBorders>
            <w:tcMar>
              <w:top w:w="0" w:type="dxa"/>
              <w:left w:w="0" w:type="dxa"/>
              <w:bottom w:w="0" w:type="dxa"/>
              <w:right w:w="0" w:type="dxa"/>
            </w:tcMar>
            <w:vAlign w:val="center"/>
          </w:tcPr>
          <w:p w14:paraId="3F129ADF" w14:textId="77777777" w:rsidR="009103CC" w:rsidRPr="001814D2" w:rsidRDefault="009103CC" w:rsidP="002718DF">
            <w:pPr>
              <w:pStyle w:val="Tabletext"/>
              <w:jc w:val="right"/>
              <w:rPr>
                <w:rFonts w:cs="Preston"/>
                <w:b/>
                <w:bCs/>
                <w:szCs w:val="18"/>
              </w:rPr>
            </w:pPr>
            <w:r w:rsidRPr="001814D2">
              <w:rPr>
                <w:rFonts w:cs="Preston"/>
                <w:b/>
                <w:bCs/>
                <w:szCs w:val="18"/>
              </w:rPr>
              <w:t>2,228,464</w:t>
            </w:r>
          </w:p>
        </w:tc>
        <w:tc>
          <w:tcPr>
            <w:tcW w:w="935" w:type="pct"/>
            <w:tcBorders>
              <w:top w:val="single" w:sz="4" w:space="0" w:color="auto"/>
              <w:bottom w:val="single" w:sz="4" w:space="0" w:color="auto"/>
            </w:tcBorders>
            <w:tcMar>
              <w:top w:w="0" w:type="dxa"/>
              <w:left w:w="0" w:type="dxa"/>
              <w:bottom w:w="0" w:type="dxa"/>
              <w:right w:w="0" w:type="dxa"/>
            </w:tcMar>
            <w:vAlign w:val="center"/>
          </w:tcPr>
          <w:p w14:paraId="47CC2624" w14:textId="77777777" w:rsidR="009103CC" w:rsidRPr="001814D2" w:rsidRDefault="009103CC" w:rsidP="002718DF">
            <w:pPr>
              <w:pStyle w:val="Tabletext"/>
              <w:jc w:val="right"/>
              <w:rPr>
                <w:rFonts w:cs="Preston"/>
                <w:b/>
                <w:bCs/>
                <w:szCs w:val="18"/>
              </w:rPr>
            </w:pPr>
            <w:r w:rsidRPr="001814D2">
              <w:rPr>
                <w:rFonts w:cs="Preston"/>
                <w:b/>
                <w:bCs/>
                <w:szCs w:val="18"/>
              </w:rPr>
              <w:t>2,373,539</w:t>
            </w:r>
          </w:p>
        </w:tc>
        <w:tc>
          <w:tcPr>
            <w:tcW w:w="569" w:type="pct"/>
            <w:tcBorders>
              <w:top w:val="single" w:sz="4" w:space="0" w:color="auto"/>
              <w:bottom w:val="single" w:sz="4" w:space="0" w:color="auto"/>
            </w:tcBorders>
            <w:tcMar>
              <w:top w:w="0" w:type="dxa"/>
              <w:left w:w="0" w:type="dxa"/>
              <w:bottom w:w="0" w:type="dxa"/>
              <w:right w:w="0" w:type="dxa"/>
            </w:tcMar>
            <w:vAlign w:val="center"/>
          </w:tcPr>
          <w:p w14:paraId="7DE017B4" w14:textId="77777777" w:rsidR="009103CC" w:rsidRPr="001814D2" w:rsidRDefault="009103CC" w:rsidP="002718DF">
            <w:pPr>
              <w:pStyle w:val="Tabletext"/>
              <w:jc w:val="right"/>
              <w:rPr>
                <w:rFonts w:cs="Preston"/>
                <w:b/>
                <w:bCs/>
                <w:szCs w:val="18"/>
              </w:rPr>
            </w:pPr>
            <w:r w:rsidRPr="001814D2">
              <w:rPr>
                <w:rFonts w:cs="Preston"/>
                <w:b/>
                <w:bCs/>
                <w:szCs w:val="18"/>
              </w:rPr>
              <w:t>2,383,565</w:t>
            </w:r>
          </w:p>
        </w:tc>
        <w:tc>
          <w:tcPr>
            <w:tcW w:w="569" w:type="pct"/>
            <w:tcBorders>
              <w:top w:val="single" w:sz="4" w:space="0" w:color="auto"/>
              <w:bottom w:val="single" w:sz="4" w:space="0" w:color="auto"/>
            </w:tcBorders>
            <w:tcMar>
              <w:top w:w="0" w:type="dxa"/>
              <w:left w:w="0" w:type="dxa"/>
              <w:bottom w:w="0" w:type="dxa"/>
              <w:right w:w="0" w:type="dxa"/>
            </w:tcMar>
            <w:vAlign w:val="center"/>
          </w:tcPr>
          <w:p w14:paraId="18FA526C" w14:textId="77777777" w:rsidR="009103CC" w:rsidRPr="001814D2" w:rsidRDefault="009103CC" w:rsidP="002718DF">
            <w:pPr>
              <w:pStyle w:val="Tabletext"/>
              <w:jc w:val="right"/>
              <w:rPr>
                <w:rFonts w:cs="Preston"/>
                <w:b/>
                <w:bCs/>
                <w:szCs w:val="18"/>
              </w:rPr>
            </w:pPr>
            <w:r w:rsidRPr="001814D2">
              <w:rPr>
                <w:rFonts w:cs="Preston"/>
                <w:b/>
                <w:bCs/>
                <w:szCs w:val="18"/>
              </w:rPr>
              <w:t>2,227,152</w:t>
            </w:r>
          </w:p>
        </w:tc>
      </w:tr>
      <w:tr w:rsidR="009103CC" w:rsidRPr="001814D2" w14:paraId="0FEF84B5" w14:textId="77777777" w:rsidTr="002718DF">
        <w:trPr>
          <w:cantSplit/>
          <w:trHeight w:hRule="exact" w:val="332"/>
        </w:trPr>
        <w:tc>
          <w:tcPr>
            <w:tcW w:w="1412" w:type="pct"/>
            <w:tcBorders>
              <w:bottom w:val="single" w:sz="4" w:space="0" w:color="auto"/>
            </w:tcBorders>
            <w:tcMar>
              <w:top w:w="0" w:type="dxa"/>
              <w:left w:w="0" w:type="dxa"/>
              <w:bottom w:w="0" w:type="dxa"/>
              <w:right w:w="0" w:type="dxa"/>
            </w:tcMar>
            <w:vAlign w:val="center"/>
          </w:tcPr>
          <w:p w14:paraId="5A48F121" w14:textId="77777777" w:rsidR="009103CC" w:rsidRPr="001814D2" w:rsidRDefault="009103CC" w:rsidP="002718DF">
            <w:pPr>
              <w:pStyle w:val="Tabletext"/>
              <w:rPr>
                <w:rFonts w:cs="Preston"/>
                <w:b/>
                <w:bCs/>
                <w:szCs w:val="18"/>
              </w:rPr>
            </w:pPr>
            <w:r w:rsidRPr="001814D2">
              <w:rPr>
                <w:rFonts w:cs="Preston"/>
                <w:b/>
                <w:bCs/>
                <w:szCs w:val="18"/>
              </w:rPr>
              <w:t>Funds</w:t>
            </w:r>
          </w:p>
        </w:tc>
        <w:tc>
          <w:tcPr>
            <w:tcW w:w="377" w:type="pct"/>
            <w:tcBorders>
              <w:bottom w:val="single" w:sz="4" w:space="0" w:color="auto"/>
            </w:tcBorders>
            <w:tcMar>
              <w:top w:w="0" w:type="dxa"/>
              <w:left w:w="0" w:type="dxa"/>
              <w:bottom w:w="0" w:type="dxa"/>
              <w:right w:w="0" w:type="dxa"/>
            </w:tcMar>
            <w:vAlign w:val="center"/>
          </w:tcPr>
          <w:p w14:paraId="3B576078" w14:textId="77777777" w:rsidR="009103CC" w:rsidRPr="001814D2" w:rsidRDefault="009103CC" w:rsidP="002718DF">
            <w:pPr>
              <w:pStyle w:val="Tabletext"/>
            </w:pPr>
          </w:p>
        </w:tc>
        <w:tc>
          <w:tcPr>
            <w:tcW w:w="569" w:type="pct"/>
            <w:tcBorders>
              <w:bottom w:val="single" w:sz="4" w:space="0" w:color="auto"/>
            </w:tcBorders>
            <w:tcMar>
              <w:top w:w="0" w:type="dxa"/>
              <w:left w:w="0" w:type="dxa"/>
              <w:bottom w:w="0" w:type="dxa"/>
              <w:right w:w="0" w:type="dxa"/>
            </w:tcMar>
            <w:vAlign w:val="center"/>
          </w:tcPr>
          <w:p w14:paraId="221CC180"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4438002D" w14:textId="77777777" w:rsidR="009103CC" w:rsidRPr="001814D2" w:rsidRDefault="009103CC" w:rsidP="002718DF">
            <w:pPr>
              <w:pStyle w:val="Tabletext"/>
              <w:jc w:val="right"/>
            </w:pPr>
          </w:p>
        </w:tc>
        <w:tc>
          <w:tcPr>
            <w:tcW w:w="935" w:type="pct"/>
            <w:tcBorders>
              <w:bottom w:val="single" w:sz="4" w:space="0" w:color="auto"/>
            </w:tcBorders>
            <w:tcMar>
              <w:top w:w="0" w:type="dxa"/>
              <w:left w:w="0" w:type="dxa"/>
              <w:bottom w:w="0" w:type="dxa"/>
              <w:right w:w="0" w:type="dxa"/>
            </w:tcMar>
            <w:vAlign w:val="center"/>
          </w:tcPr>
          <w:p w14:paraId="336B8C6D"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3FF6EF6A"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7F4B89B9" w14:textId="77777777" w:rsidR="009103CC" w:rsidRPr="001814D2" w:rsidRDefault="009103CC" w:rsidP="002718DF">
            <w:pPr>
              <w:pStyle w:val="Tabletext"/>
              <w:jc w:val="right"/>
            </w:pPr>
          </w:p>
        </w:tc>
      </w:tr>
      <w:tr w:rsidR="009103CC" w:rsidRPr="001814D2" w14:paraId="0A2A7637"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72C2C906" w14:textId="77777777" w:rsidR="009103CC" w:rsidRPr="001814D2" w:rsidRDefault="009103CC" w:rsidP="002718DF">
            <w:pPr>
              <w:pStyle w:val="Tabletext"/>
            </w:pPr>
            <w:r w:rsidRPr="001814D2">
              <w:t>Reserves</w:t>
            </w:r>
          </w:p>
        </w:tc>
        <w:tc>
          <w:tcPr>
            <w:tcW w:w="377" w:type="pct"/>
            <w:tcBorders>
              <w:top w:val="single" w:sz="4" w:space="0" w:color="auto"/>
              <w:bottom w:val="single" w:sz="4" w:space="0" w:color="auto"/>
            </w:tcBorders>
            <w:tcMar>
              <w:top w:w="0" w:type="dxa"/>
              <w:left w:w="0" w:type="dxa"/>
              <w:bottom w:w="0" w:type="dxa"/>
              <w:right w:w="0" w:type="dxa"/>
            </w:tcMar>
            <w:vAlign w:val="center"/>
          </w:tcPr>
          <w:p w14:paraId="35A6F101" w14:textId="77777777" w:rsidR="009103CC" w:rsidRPr="001814D2" w:rsidRDefault="009103CC" w:rsidP="002718DF">
            <w:pPr>
              <w:pStyle w:val="Tabletext"/>
              <w:rPr>
                <w:rFonts w:cs="Preston"/>
                <w:szCs w:val="18"/>
              </w:rPr>
            </w:pPr>
            <w:r w:rsidRPr="001814D2">
              <w:rPr>
                <w:rFonts w:cs="Preston"/>
                <w:szCs w:val="18"/>
              </w:rPr>
              <w:t>1.2</w:t>
            </w:r>
          </w:p>
        </w:tc>
        <w:tc>
          <w:tcPr>
            <w:tcW w:w="569" w:type="pct"/>
            <w:tcBorders>
              <w:top w:val="single" w:sz="4" w:space="0" w:color="auto"/>
              <w:bottom w:val="single" w:sz="4" w:space="0" w:color="auto"/>
            </w:tcBorders>
            <w:tcMar>
              <w:top w:w="0" w:type="dxa"/>
              <w:left w:w="0" w:type="dxa"/>
              <w:bottom w:w="0" w:type="dxa"/>
              <w:right w:w="0" w:type="dxa"/>
            </w:tcMar>
            <w:vAlign w:val="center"/>
          </w:tcPr>
          <w:p w14:paraId="607876B9" w14:textId="77777777" w:rsidR="009103CC" w:rsidRPr="001814D2" w:rsidRDefault="009103CC" w:rsidP="002718DF">
            <w:pPr>
              <w:pStyle w:val="Tabletext"/>
              <w:jc w:val="right"/>
              <w:rPr>
                <w:rFonts w:cs="Preston"/>
                <w:szCs w:val="18"/>
              </w:rPr>
            </w:pPr>
            <w:r w:rsidRPr="001814D2">
              <w:rPr>
                <w:rFonts w:cs="Preston"/>
                <w:szCs w:val="18"/>
              </w:rPr>
              <w:t>1,180,307</w:t>
            </w:r>
          </w:p>
        </w:tc>
        <w:tc>
          <w:tcPr>
            <w:tcW w:w="569" w:type="pct"/>
            <w:tcBorders>
              <w:top w:val="single" w:sz="4" w:space="0" w:color="auto"/>
              <w:bottom w:val="single" w:sz="4" w:space="0" w:color="auto"/>
            </w:tcBorders>
            <w:tcMar>
              <w:top w:w="0" w:type="dxa"/>
              <w:left w:w="0" w:type="dxa"/>
              <w:bottom w:w="0" w:type="dxa"/>
              <w:right w:w="0" w:type="dxa"/>
            </w:tcMar>
            <w:vAlign w:val="center"/>
          </w:tcPr>
          <w:p w14:paraId="086F7C5D" w14:textId="77777777" w:rsidR="009103CC" w:rsidRPr="001814D2" w:rsidRDefault="009103CC" w:rsidP="002718DF">
            <w:pPr>
              <w:pStyle w:val="Tabletext"/>
              <w:jc w:val="right"/>
              <w:rPr>
                <w:rFonts w:cs="Preston"/>
                <w:szCs w:val="18"/>
              </w:rPr>
            </w:pPr>
            <w:r w:rsidRPr="001814D2">
              <w:rPr>
                <w:rFonts w:cs="Preston"/>
                <w:szCs w:val="18"/>
              </w:rPr>
              <w:t>1,178,807</w:t>
            </w:r>
          </w:p>
        </w:tc>
        <w:tc>
          <w:tcPr>
            <w:tcW w:w="935" w:type="pct"/>
            <w:tcBorders>
              <w:top w:val="single" w:sz="4" w:space="0" w:color="auto"/>
              <w:bottom w:val="single" w:sz="4" w:space="0" w:color="auto"/>
            </w:tcBorders>
            <w:tcMar>
              <w:top w:w="0" w:type="dxa"/>
              <w:left w:w="0" w:type="dxa"/>
              <w:bottom w:w="0" w:type="dxa"/>
              <w:right w:w="0" w:type="dxa"/>
            </w:tcMar>
            <w:vAlign w:val="center"/>
          </w:tcPr>
          <w:p w14:paraId="3802B781" w14:textId="77777777" w:rsidR="009103CC" w:rsidRPr="001814D2" w:rsidRDefault="009103CC" w:rsidP="002718DF">
            <w:pPr>
              <w:pStyle w:val="Tabletext"/>
              <w:jc w:val="right"/>
              <w:rPr>
                <w:rFonts w:cs="Preston"/>
                <w:szCs w:val="18"/>
              </w:rPr>
            </w:pPr>
            <w:r w:rsidRPr="001814D2">
              <w:rPr>
                <w:rFonts w:cs="Preston"/>
                <w:szCs w:val="18"/>
              </w:rPr>
              <w:t>1,178,807</w:t>
            </w:r>
          </w:p>
        </w:tc>
        <w:tc>
          <w:tcPr>
            <w:tcW w:w="569" w:type="pct"/>
            <w:tcBorders>
              <w:top w:val="single" w:sz="4" w:space="0" w:color="auto"/>
              <w:bottom w:val="single" w:sz="4" w:space="0" w:color="auto"/>
            </w:tcBorders>
            <w:tcMar>
              <w:top w:w="0" w:type="dxa"/>
              <w:left w:w="0" w:type="dxa"/>
              <w:bottom w:w="0" w:type="dxa"/>
              <w:right w:w="0" w:type="dxa"/>
            </w:tcMar>
            <w:vAlign w:val="center"/>
          </w:tcPr>
          <w:p w14:paraId="5B46A0C9" w14:textId="77777777" w:rsidR="009103CC" w:rsidRPr="001814D2" w:rsidRDefault="009103CC" w:rsidP="002718DF">
            <w:pPr>
              <w:pStyle w:val="Tabletext"/>
              <w:jc w:val="right"/>
              <w:rPr>
                <w:rFonts w:cs="Preston"/>
                <w:szCs w:val="18"/>
              </w:rPr>
            </w:pPr>
            <w:r w:rsidRPr="001814D2">
              <w:rPr>
                <w:rFonts w:cs="Preston"/>
                <w:szCs w:val="18"/>
              </w:rPr>
              <w:t>1,180,307</w:t>
            </w:r>
          </w:p>
        </w:tc>
        <w:tc>
          <w:tcPr>
            <w:tcW w:w="569" w:type="pct"/>
            <w:tcBorders>
              <w:top w:val="single" w:sz="4" w:space="0" w:color="auto"/>
              <w:bottom w:val="single" w:sz="4" w:space="0" w:color="auto"/>
            </w:tcBorders>
            <w:tcMar>
              <w:top w:w="0" w:type="dxa"/>
              <w:left w:w="0" w:type="dxa"/>
              <w:bottom w:w="0" w:type="dxa"/>
              <w:right w:w="0" w:type="dxa"/>
            </w:tcMar>
            <w:vAlign w:val="center"/>
          </w:tcPr>
          <w:p w14:paraId="3F931F74" w14:textId="77777777" w:rsidR="009103CC" w:rsidRPr="001814D2" w:rsidRDefault="009103CC" w:rsidP="002718DF">
            <w:pPr>
              <w:pStyle w:val="Tabletext"/>
              <w:jc w:val="right"/>
              <w:rPr>
                <w:rFonts w:cs="Preston"/>
                <w:szCs w:val="18"/>
              </w:rPr>
            </w:pPr>
            <w:r w:rsidRPr="001814D2">
              <w:rPr>
                <w:rFonts w:cs="Preston"/>
                <w:szCs w:val="18"/>
              </w:rPr>
              <w:t>1,178,807</w:t>
            </w:r>
          </w:p>
        </w:tc>
      </w:tr>
      <w:tr w:rsidR="009103CC" w:rsidRPr="001814D2" w14:paraId="1C5A192D"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1A05E3FD" w14:textId="77777777" w:rsidR="009103CC" w:rsidRPr="001814D2" w:rsidRDefault="009103CC" w:rsidP="002718DF">
            <w:pPr>
              <w:pStyle w:val="Tabletext"/>
            </w:pPr>
            <w:r w:rsidRPr="001814D2">
              <w:t>Accumulated funds</w:t>
            </w:r>
          </w:p>
        </w:tc>
        <w:tc>
          <w:tcPr>
            <w:tcW w:w="377" w:type="pct"/>
            <w:tcBorders>
              <w:top w:val="single" w:sz="4" w:space="0" w:color="auto"/>
              <w:bottom w:val="single" w:sz="4" w:space="0" w:color="auto"/>
            </w:tcBorders>
            <w:tcMar>
              <w:top w:w="0" w:type="dxa"/>
              <w:left w:w="0" w:type="dxa"/>
              <w:bottom w:w="0" w:type="dxa"/>
              <w:right w:w="0" w:type="dxa"/>
            </w:tcMar>
            <w:vAlign w:val="center"/>
          </w:tcPr>
          <w:p w14:paraId="6F0829BD" w14:textId="77777777" w:rsidR="009103CC" w:rsidRPr="001814D2" w:rsidRDefault="009103CC" w:rsidP="002718DF">
            <w:pPr>
              <w:pStyle w:val="Tabletext"/>
              <w:rPr>
                <w:rFonts w:cs="Preston"/>
                <w:szCs w:val="18"/>
              </w:rPr>
            </w:pPr>
            <w:r w:rsidRPr="001814D2">
              <w:rPr>
                <w:rFonts w:cs="Preston"/>
                <w:szCs w:val="18"/>
              </w:rPr>
              <w:t>1.2</w:t>
            </w:r>
          </w:p>
        </w:tc>
        <w:tc>
          <w:tcPr>
            <w:tcW w:w="569" w:type="pct"/>
            <w:tcBorders>
              <w:top w:val="single" w:sz="4" w:space="0" w:color="auto"/>
              <w:bottom w:val="single" w:sz="4" w:space="0" w:color="auto"/>
            </w:tcBorders>
            <w:tcMar>
              <w:top w:w="0" w:type="dxa"/>
              <w:left w:w="0" w:type="dxa"/>
              <w:bottom w:w="0" w:type="dxa"/>
              <w:right w:w="0" w:type="dxa"/>
            </w:tcMar>
            <w:vAlign w:val="center"/>
          </w:tcPr>
          <w:p w14:paraId="273626C8" w14:textId="77777777" w:rsidR="009103CC" w:rsidRPr="001814D2" w:rsidRDefault="009103CC" w:rsidP="002718DF">
            <w:pPr>
              <w:pStyle w:val="Tabletext"/>
              <w:jc w:val="right"/>
              <w:rPr>
                <w:rFonts w:cs="Preston"/>
                <w:szCs w:val="18"/>
              </w:rPr>
            </w:pPr>
            <w:r w:rsidRPr="001814D2">
              <w:rPr>
                <w:rFonts w:cs="Preston"/>
                <w:szCs w:val="18"/>
              </w:rPr>
              <w:t>1,204,618</w:t>
            </w:r>
          </w:p>
        </w:tc>
        <w:tc>
          <w:tcPr>
            <w:tcW w:w="569" w:type="pct"/>
            <w:tcBorders>
              <w:top w:val="single" w:sz="4" w:space="0" w:color="auto"/>
              <w:bottom w:val="single" w:sz="4" w:space="0" w:color="auto"/>
            </w:tcBorders>
            <w:tcMar>
              <w:top w:w="0" w:type="dxa"/>
              <w:left w:w="0" w:type="dxa"/>
              <w:bottom w:w="0" w:type="dxa"/>
              <w:right w:w="0" w:type="dxa"/>
            </w:tcMar>
            <w:vAlign w:val="center"/>
          </w:tcPr>
          <w:p w14:paraId="637A8884" w14:textId="77777777" w:rsidR="009103CC" w:rsidRPr="001814D2" w:rsidRDefault="009103CC" w:rsidP="002718DF">
            <w:pPr>
              <w:pStyle w:val="Tabletext"/>
              <w:jc w:val="right"/>
              <w:rPr>
                <w:rFonts w:cs="Preston"/>
                <w:szCs w:val="18"/>
              </w:rPr>
            </w:pPr>
            <w:r w:rsidRPr="001814D2">
              <w:rPr>
                <w:rFonts w:cs="Preston"/>
                <w:szCs w:val="18"/>
              </w:rPr>
              <w:t>1,049,657</w:t>
            </w:r>
          </w:p>
        </w:tc>
        <w:tc>
          <w:tcPr>
            <w:tcW w:w="935" w:type="pct"/>
            <w:tcBorders>
              <w:top w:val="single" w:sz="4" w:space="0" w:color="auto"/>
              <w:bottom w:val="single" w:sz="4" w:space="0" w:color="auto"/>
            </w:tcBorders>
            <w:tcMar>
              <w:top w:w="0" w:type="dxa"/>
              <w:left w:w="0" w:type="dxa"/>
              <w:bottom w:w="0" w:type="dxa"/>
              <w:right w:w="0" w:type="dxa"/>
            </w:tcMar>
            <w:vAlign w:val="center"/>
          </w:tcPr>
          <w:p w14:paraId="6ED42331" w14:textId="77777777" w:rsidR="009103CC" w:rsidRPr="001814D2" w:rsidRDefault="009103CC" w:rsidP="002718DF">
            <w:pPr>
              <w:pStyle w:val="Tabletext"/>
              <w:jc w:val="right"/>
              <w:rPr>
                <w:rFonts w:cs="Preston"/>
                <w:szCs w:val="18"/>
              </w:rPr>
            </w:pPr>
            <w:r w:rsidRPr="001814D2">
              <w:rPr>
                <w:rFonts w:cs="Preston"/>
                <w:szCs w:val="18"/>
              </w:rPr>
              <w:t>1,194,732</w:t>
            </w:r>
          </w:p>
        </w:tc>
        <w:tc>
          <w:tcPr>
            <w:tcW w:w="569" w:type="pct"/>
            <w:tcBorders>
              <w:top w:val="single" w:sz="4" w:space="0" w:color="auto"/>
              <w:bottom w:val="single" w:sz="4" w:space="0" w:color="auto"/>
            </w:tcBorders>
            <w:tcMar>
              <w:top w:w="0" w:type="dxa"/>
              <w:left w:w="0" w:type="dxa"/>
              <w:bottom w:w="0" w:type="dxa"/>
              <w:right w:w="0" w:type="dxa"/>
            </w:tcMar>
            <w:vAlign w:val="center"/>
          </w:tcPr>
          <w:p w14:paraId="5B56F693" w14:textId="77777777" w:rsidR="009103CC" w:rsidRPr="001814D2" w:rsidRDefault="009103CC" w:rsidP="002718DF">
            <w:pPr>
              <w:pStyle w:val="Tabletext"/>
              <w:jc w:val="right"/>
              <w:rPr>
                <w:rFonts w:cs="Preston"/>
                <w:szCs w:val="18"/>
              </w:rPr>
            </w:pPr>
            <w:r w:rsidRPr="001814D2">
              <w:rPr>
                <w:rFonts w:cs="Preston"/>
                <w:szCs w:val="18"/>
              </w:rPr>
              <w:t>1,203,258</w:t>
            </w:r>
          </w:p>
        </w:tc>
        <w:tc>
          <w:tcPr>
            <w:tcW w:w="569" w:type="pct"/>
            <w:tcBorders>
              <w:top w:val="single" w:sz="4" w:space="0" w:color="auto"/>
              <w:bottom w:val="single" w:sz="4" w:space="0" w:color="auto"/>
            </w:tcBorders>
            <w:tcMar>
              <w:top w:w="0" w:type="dxa"/>
              <w:left w:w="0" w:type="dxa"/>
              <w:bottom w:w="0" w:type="dxa"/>
              <w:right w:w="0" w:type="dxa"/>
            </w:tcMar>
            <w:vAlign w:val="center"/>
          </w:tcPr>
          <w:p w14:paraId="323E5545" w14:textId="77777777" w:rsidR="009103CC" w:rsidRPr="001814D2" w:rsidRDefault="009103CC" w:rsidP="002718DF">
            <w:pPr>
              <w:pStyle w:val="Tabletext"/>
              <w:jc w:val="right"/>
              <w:rPr>
                <w:rFonts w:cs="Preston"/>
                <w:szCs w:val="18"/>
              </w:rPr>
            </w:pPr>
            <w:r w:rsidRPr="001814D2">
              <w:rPr>
                <w:rFonts w:cs="Preston"/>
                <w:szCs w:val="18"/>
              </w:rPr>
              <w:t>1,048,345</w:t>
            </w:r>
          </w:p>
        </w:tc>
      </w:tr>
      <w:tr w:rsidR="009103CC" w:rsidRPr="001814D2" w14:paraId="3CED43C3"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47849669" w14:textId="77777777" w:rsidR="009103CC" w:rsidRPr="001814D2" w:rsidRDefault="009103CC" w:rsidP="002718DF">
            <w:pPr>
              <w:pStyle w:val="Tabletext"/>
              <w:rPr>
                <w:rFonts w:cs="Preston"/>
                <w:b/>
                <w:bCs/>
                <w:szCs w:val="18"/>
              </w:rPr>
            </w:pPr>
            <w:r w:rsidRPr="001814D2">
              <w:rPr>
                <w:rFonts w:cs="Preston"/>
                <w:b/>
                <w:bCs/>
                <w:szCs w:val="18"/>
              </w:rPr>
              <w:t>Total funds</w:t>
            </w:r>
          </w:p>
        </w:tc>
        <w:tc>
          <w:tcPr>
            <w:tcW w:w="377" w:type="pct"/>
            <w:tcBorders>
              <w:top w:val="single" w:sz="4" w:space="0" w:color="auto"/>
              <w:bottom w:val="single" w:sz="4" w:space="0" w:color="auto"/>
            </w:tcBorders>
            <w:tcMar>
              <w:top w:w="0" w:type="dxa"/>
              <w:left w:w="0" w:type="dxa"/>
              <w:bottom w:w="0" w:type="dxa"/>
              <w:right w:w="0" w:type="dxa"/>
            </w:tcMar>
            <w:vAlign w:val="center"/>
          </w:tcPr>
          <w:p w14:paraId="448B036D" w14:textId="77777777" w:rsidR="009103CC" w:rsidRPr="001814D2" w:rsidRDefault="009103CC" w:rsidP="002718DF">
            <w:pPr>
              <w:pStyle w:val="Tabletext"/>
              <w:rPr>
                <w:b/>
                <w:bCs/>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240F38CD" w14:textId="77777777" w:rsidR="009103CC" w:rsidRPr="001814D2" w:rsidRDefault="009103CC" w:rsidP="002718DF">
            <w:pPr>
              <w:pStyle w:val="Tabletext"/>
              <w:jc w:val="right"/>
              <w:rPr>
                <w:rFonts w:cs="Preston"/>
                <w:b/>
                <w:bCs/>
                <w:szCs w:val="18"/>
              </w:rPr>
            </w:pPr>
            <w:r w:rsidRPr="001814D2">
              <w:rPr>
                <w:rFonts w:cs="Preston"/>
                <w:b/>
                <w:bCs/>
                <w:szCs w:val="18"/>
              </w:rPr>
              <w:t>2,384,925</w:t>
            </w:r>
          </w:p>
        </w:tc>
        <w:tc>
          <w:tcPr>
            <w:tcW w:w="569" w:type="pct"/>
            <w:tcBorders>
              <w:top w:val="single" w:sz="4" w:space="0" w:color="auto"/>
              <w:bottom w:val="single" w:sz="4" w:space="0" w:color="auto"/>
            </w:tcBorders>
            <w:tcMar>
              <w:top w:w="0" w:type="dxa"/>
              <w:left w:w="0" w:type="dxa"/>
              <w:bottom w:w="0" w:type="dxa"/>
              <w:right w:w="0" w:type="dxa"/>
            </w:tcMar>
            <w:vAlign w:val="center"/>
          </w:tcPr>
          <w:p w14:paraId="7702DFE5" w14:textId="77777777" w:rsidR="009103CC" w:rsidRPr="001814D2" w:rsidRDefault="009103CC" w:rsidP="002718DF">
            <w:pPr>
              <w:pStyle w:val="Tabletext"/>
              <w:jc w:val="right"/>
              <w:rPr>
                <w:rFonts w:cs="Preston"/>
                <w:b/>
                <w:bCs/>
                <w:szCs w:val="18"/>
              </w:rPr>
            </w:pPr>
            <w:r w:rsidRPr="001814D2">
              <w:rPr>
                <w:rFonts w:cs="Preston"/>
                <w:b/>
                <w:bCs/>
                <w:szCs w:val="18"/>
              </w:rPr>
              <w:t>2,228,464</w:t>
            </w:r>
          </w:p>
        </w:tc>
        <w:tc>
          <w:tcPr>
            <w:tcW w:w="935" w:type="pct"/>
            <w:tcBorders>
              <w:top w:val="single" w:sz="4" w:space="0" w:color="auto"/>
              <w:bottom w:val="single" w:sz="4" w:space="0" w:color="auto"/>
            </w:tcBorders>
            <w:tcMar>
              <w:top w:w="0" w:type="dxa"/>
              <w:left w:w="0" w:type="dxa"/>
              <w:bottom w:w="0" w:type="dxa"/>
              <w:right w:w="0" w:type="dxa"/>
            </w:tcMar>
            <w:vAlign w:val="center"/>
          </w:tcPr>
          <w:p w14:paraId="445442B6" w14:textId="77777777" w:rsidR="009103CC" w:rsidRPr="001814D2" w:rsidRDefault="009103CC" w:rsidP="002718DF">
            <w:pPr>
              <w:pStyle w:val="Tabletext"/>
              <w:jc w:val="right"/>
              <w:rPr>
                <w:rFonts w:cs="Preston"/>
                <w:b/>
                <w:bCs/>
                <w:szCs w:val="18"/>
              </w:rPr>
            </w:pPr>
            <w:r w:rsidRPr="001814D2">
              <w:rPr>
                <w:rFonts w:cs="Preston"/>
                <w:b/>
                <w:bCs/>
                <w:szCs w:val="18"/>
              </w:rPr>
              <w:t>2,373,539</w:t>
            </w:r>
          </w:p>
        </w:tc>
        <w:tc>
          <w:tcPr>
            <w:tcW w:w="569" w:type="pct"/>
            <w:tcBorders>
              <w:top w:val="single" w:sz="4" w:space="0" w:color="auto"/>
              <w:bottom w:val="single" w:sz="4" w:space="0" w:color="auto"/>
            </w:tcBorders>
            <w:tcMar>
              <w:top w:w="0" w:type="dxa"/>
              <w:left w:w="0" w:type="dxa"/>
              <w:bottom w:w="0" w:type="dxa"/>
              <w:right w:w="0" w:type="dxa"/>
            </w:tcMar>
            <w:vAlign w:val="center"/>
          </w:tcPr>
          <w:p w14:paraId="6F9016F5" w14:textId="77777777" w:rsidR="009103CC" w:rsidRPr="001814D2" w:rsidRDefault="009103CC" w:rsidP="002718DF">
            <w:pPr>
              <w:pStyle w:val="Tabletext"/>
              <w:jc w:val="right"/>
              <w:rPr>
                <w:rFonts w:cs="Preston"/>
                <w:b/>
                <w:bCs/>
                <w:szCs w:val="18"/>
              </w:rPr>
            </w:pPr>
            <w:r w:rsidRPr="001814D2">
              <w:rPr>
                <w:rFonts w:cs="Preston"/>
                <w:b/>
                <w:bCs/>
                <w:szCs w:val="18"/>
              </w:rPr>
              <w:t>2,383,565</w:t>
            </w:r>
          </w:p>
        </w:tc>
        <w:tc>
          <w:tcPr>
            <w:tcW w:w="569" w:type="pct"/>
            <w:tcBorders>
              <w:top w:val="single" w:sz="4" w:space="0" w:color="auto"/>
              <w:bottom w:val="single" w:sz="4" w:space="0" w:color="auto"/>
            </w:tcBorders>
            <w:tcMar>
              <w:top w:w="0" w:type="dxa"/>
              <w:left w:w="0" w:type="dxa"/>
              <w:bottom w:w="0" w:type="dxa"/>
              <w:right w:w="0" w:type="dxa"/>
            </w:tcMar>
            <w:vAlign w:val="center"/>
          </w:tcPr>
          <w:p w14:paraId="05CDA2DA" w14:textId="77777777" w:rsidR="009103CC" w:rsidRPr="001814D2" w:rsidRDefault="009103CC" w:rsidP="002718DF">
            <w:pPr>
              <w:pStyle w:val="Tabletext"/>
              <w:jc w:val="right"/>
              <w:rPr>
                <w:rFonts w:cs="Preston"/>
                <w:b/>
                <w:bCs/>
                <w:szCs w:val="18"/>
              </w:rPr>
            </w:pPr>
            <w:r w:rsidRPr="001814D2">
              <w:rPr>
                <w:rFonts w:cs="Preston"/>
                <w:b/>
                <w:bCs/>
                <w:szCs w:val="18"/>
              </w:rPr>
              <w:t>2,227,152</w:t>
            </w:r>
          </w:p>
        </w:tc>
      </w:tr>
      <w:tr w:rsidR="009103CC" w:rsidRPr="009761E7" w14:paraId="33F63FBD" w14:textId="77777777" w:rsidTr="002718DF">
        <w:trPr>
          <w:cantSplit/>
          <w:trHeight w:val="332"/>
        </w:trPr>
        <w:tc>
          <w:tcPr>
            <w:tcW w:w="5000" w:type="pct"/>
            <w:gridSpan w:val="7"/>
            <w:tcBorders>
              <w:top w:val="single" w:sz="4" w:space="0" w:color="auto"/>
            </w:tcBorders>
            <w:tcMar>
              <w:top w:w="111" w:type="dxa"/>
              <w:left w:w="0" w:type="dxa"/>
              <w:bottom w:w="0" w:type="dxa"/>
              <w:right w:w="0" w:type="dxa"/>
            </w:tcMar>
          </w:tcPr>
          <w:p w14:paraId="754D5D03" w14:textId="77777777" w:rsidR="009103CC" w:rsidRPr="009761E7" w:rsidRDefault="009103CC" w:rsidP="002718DF">
            <w:pPr>
              <w:pStyle w:val="Tabletext"/>
            </w:pPr>
            <w:r w:rsidRPr="009761E7">
              <w:t>The statement of financial position is to be read in conjunction with the attached notes.</w:t>
            </w:r>
          </w:p>
        </w:tc>
      </w:tr>
    </w:tbl>
    <w:p w14:paraId="08F8150C" w14:textId="77777777" w:rsidR="009103CC" w:rsidRPr="00933FC4" w:rsidRDefault="009103CC" w:rsidP="009103CC">
      <w:pPr>
        <w:pStyle w:val="ARbody"/>
      </w:pPr>
      <w:r w:rsidRPr="00933FC4">
        <w:br w:type="page"/>
      </w:r>
    </w:p>
    <w:p w14:paraId="304C299A" w14:textId="77777777" w:rsidR="009103CC" w:rsidRPr="001814D2" w:rsidRDefault="009103CC" w:rsidP="009103CC">
      <w:pPr>
        <w:pStyle w:val="ARheading3"/>
      </w:pPr>
      <w:r w:rsidRPr="001814D2">
        <w:t xml:space="preserve">Statement of changes in equity </w:t>
      </w:r>
      <w:r>
        <w:br/>
      </w:r>
      <w:r w:rsidRPr="001814D2">
        <w:t>For the year ended 30 June 2021</w:t>
      </w:r>
    </w:p>
    <w:tbl>
      <w:tblPr>
        <w:tblW w:w="5000" w:type="pct"/>
        <w:tblCellMar>
          <w:left w:w="0" w:type="dxa"/>
          <w:right w:w="0" w:type="dxa"/>
        </w:tblCellMar>
        <w:tblLook w:val="0000" w:firstRow="0" w:lastRow="0" w:firstColumn="0" w:lastColumn="0" w:noHBand="0" w:noVBand="0"/>
        <w:tblCaption w:val="Statement of changes in equity for the year ended 30 June 2021"/>
        <w:tblDescription w:val="This table provides figures for 2020 and 2021 for both the consolidated entity and parent entity, in terms of accumulated funds, asset revaluation reserve and total funds, starting with balances on 30 June 2019."/>
      </w:tblPr>
      <w:tblGrid>
        <w:gridCol w:w="3556"/>
        <w:gridCol w:w="1838"/>
        <w:gridCol w:w="1838"/>
        <w:gridCol w:w="1838"/>
      </w:tblGrid>
      <w:tr w:rsidR="009103CC" w:rsidRPr="003B5FB9" w14:paraId="1C328FA0" w14:textId="77777777" w:rsidTr="002718DF">
        <w:trPr>
          <w:cantSplit/>
          <w:trHeight w:hRule="exact" w:val="553"/>
          <w:tblHeader/>
        </w:trPr>
        <w:tc>
          <w:tcPr>
            <w:tcW w:w="1960" w:type="pct"/>
            <w:tcBorders>
              <w:bottom w:val="single" w:sz="4" w:space="0" w:color="auto"/>
            </w:tcBorders>
            <w:tcMar>
              <w:top w:w="0" w:type="dxa"/>
              <w:left w:w="0" w:type="dxa"/>
              <w:bottom w:w="0" w:type="dxa"/>
              <w:right w:w="0" w:type="dxa"/>
            </w:tcMar>
            <w:vAlign w:val="center"/>
          </w:tcPr>
          <w:p w14:paraId="74E4D448" w14:textId="77777777" w:rsidR="009103CC" w:rsidRPr="003B5FB9" w:rsidRDefault="009103CC" w:rsidP="002718DF">
            <w:pPr>
              <w:pStyle w:val="Tabletext"/>
              <w:rPr>
                <w:b/>
                <w:bCs/>
              </w:rPr>
            </w:pPr>
            <w:r w:rsidRPr="003B5FB9">
              <w:rPr>
                <w:b/>
                <w:bCs/>
              </w:rPr>
              <w:t>Consolidated entity</w:t>
            </w:r>
          </w:p>
          <w:p w14:paraId="09B0B81C" w14:textId="77777777" w:rsidR="009103CC" w:rsidRPr="003B5FB9" w:rsidRDefault="009103CC" w:rsidP="002718DF">
            <w:pPr>
              <w:pStyle w:val="Tabletext"/>
              <w:rPr>
                <w:b/>
                <w:bCs/>
              </w:rPr>
            </w:pPr>
          </w:p>
        </w:tc>
        <w:tc>
          <w:tcPr>
            <w:tcW w:w="1013" w:type="pct"/>
            <w:tcBorders>
              <w:bottom w:val="single" w:sz="4" w:space="0" w:color="auto"/>
            </w:tcBorders>
            <w:tcMar>
              <w:top w:w="0" w:type="dxa"/>
              <w:left w:w="0" w:type="dxa"/>
              <w:bottom w:w="0" w:type="dxa"/>
              <w:right w:w="0" w:type="dxa"/>
            </w:tcMar>
            <w:vAlign w:val="center"/>
          </w:tcPr>
          <w:p w14:paraId="5B93B7A7" w14:textId="77777777" w:rsidR="009103CC" w:rsidRPr="003B5FB9" w:rsidRDefault="009103CC" w:rsidP="002718DF">
            <w:pPr>
              <w:pStyle w:val="Tabletext"/>
              <w:jc w:val="right"/>
              <w:rPr>
                <w:b/>
                <w:bCs/>
              </w:rPr>
            </w:pPr>
            <w:r w:rsidRPr="003B5FB9">
              <w:rPr>
                <w:b/>
                <w:bCs/>
              </w:rPr>
              <w:t>Accumulated funds $’000</w:t>
            </w:r>
          </w:p>
        </w:tc>
        <w:tc>
          <w:tcPr>
            <w:tcW w:w="1013" w:type="pct"/>
            <w:tcBorders>
              <w:bottom w:val="single" w:sz="4" w:space="0" w:color="auto"/>
            </w:tcBorders>
            <w:tcMar>
              <w:top w:w="0" w:type="dxa"/>
              <w:left w:w="0" w:type="dxa"/>
              <w:bottom w:w="0" w:type="dxa"/>
              <w:right w:w="0" w:type="dxa"/>
            </w:tcMar>
            <w:vAlign w:val="center"/>
          </w:tcPr>
          <w:p w14:paraId="4CF96552" w14:textId="77777777" w:rsidR="009103CC" w:rsidRPr="003B5FB9" w:rsidRDefault="009103CC" w:rsidP="002718DF">
            <w:pPr>
              <w:pStyle w:val="Tabletext"/>
              <w:jc w:val="right"/>
              <w:rPr>
                <w:b/>
                <w:bCs/>
              </w:rPr>
            </w:pPr>
            <w:r w:rsidRPr="003B5FB9">
              <w:rPr>
                <w:b/>
                <w:bCs/>
              </w:rPr>
              <w:t>Asset revaluation reserve $’000</w:t>
            </w:r>
          </w:p>
        </w:tc>
        <w:tc>
          <w:tcPr>
            <w:tcW w:w="1013" w:type="pct"/>
            <w:tcBorders>
              <w:bottom w:val="single" w:sz="4" w:space="0" w:color="auto"/>
            </w:tcBorders>
            <w:tcMar>
              <w:top w:w="0" w:type="dxa"/>
              <w:left w:w="0" w:type="dxa"/>
              <w:bottom w:w="0" w:type="dxa"/>
              <w:right w:w="0" w:type="dxa"/>
            </w:tcMar>
            <w:vAlign w:val="center"/>
          </w:tcPr>
          <w:p w14:paraId="16B0EAF6" w14:textId="77777777" w:rsidR="009103CC" w:rsidRPr="003B5FB9" w:rsidRDefault="009103CC" w:rsidP="002718DF">
            <w:pPr>
              <w:pStyle w:val="Tabletext"/>
              <w:jc w:val="right"/>
              <w:rPr>
                <w:b/>
                <w:bCs/>
              </w:rPr>
            </w:pPr>
            <w:r w:rsidRPr="003B5FB9">
              <w:rPr>
                <w:b/>
                <w:bCs/>
              </w:rPr>
              <w:t xml:space="preserve">Total funds </w:t>
            </w:r>
            <w:r w:rsidRPr="003B5FB9">
              <w:rPr>
                <w:b/>
                <w:bCs/>
              </w:rPr>
              <w:br/>
              <w:t>$’000</w:t>
            </w:r>
          </w:p>
        </w:tc>
      </w:tr>
      <w:tr w:rsidR="009103CC" w:rsidRPr="001814D2" w14:paraId="19A74A00"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5ABC9FB3" w14:textId="77777777" w:rsidR="009103CC" w:rsidRPr="001814D2" w:rsidRDefault="009103CC" w:rsidP="002718DF">
            <w:pPr>
              <w:pStyle w:val="Tabletext"/>
            </w:pPr>
            <w:r w:rsidRPr="001814D2">
              <w:t>Balance at 30 June 2019</w:t>
            </w:r>
          </w:p>
        </w:tc>
        <w:tc>
          <w:tcPr>
            <w:tcW w:w="1013" w:type="pct"/>
            <w:tcBorders>
              <w:top w:val="single" w:sz="4" w:space="0" w:color="auto"/>
              <w:bottom w:val="single" w:sz="4" w:space="0" w:color="auto"/>
            </w:tcBorders>
            <w:tcMar>
              <w:top w:w="0" w:type="dxa"/>
              <w:left w:w="0" w:type="dxa"/>
              <w:bottom w:w="0" w:type="dxa"/>
              <w:right w:w="0" w:type="dxa"/>
            </w:tcMar>
            <w:vAlign w:val="center"/>
          </w:tcPr>
          <w:p w14:paraId="1147872C" w14:textId="77777777" w:rsidR="009103CC" w:rsidRPr="001814D2" w:rsidRDefault="009103CC" w:rsidP="002718DF">
            <w:pPr>
              <w:pStyle w:val="Tabletext"/>
              <w:jc w:val="right"/>
            </w:pPr>
            <w:r w:rsidRPr="001814D2">
              <w:t>969,414</w:t>
            </w:r>
          </w:p>
        </w:tc>
        <w:tc>
          <w:tcPr>
            <w:tcW w:w="1013" w:type="pct"/>
            <w:tcBorders>
              <w:top w:val="single" w:sz="4" w:space="0" w:color="auto"/>
              <w:bottom w:val="single" w:sz="4" w:space="0" w:color="auto"/>
            </w:tcBorders>
            <w:tcMar>
              <w:top w:w="0" w:type="dxa"/>
              <w:left w:w="0" w:type="dxa"/>
              <w:bottom w:w="0" w:type="dxa"/>
              <w:right w:w="0" w:type="dxa"/>
            </w:tcMar>
            <w:vAlign w:val="center"/>
          </w:tcPr>
          <w:p w14:paraId="0019611B" w14:textId="77777777" w:rsidR="009103CC" w:rsidRPr="001814D2" w:rsidRDefault="009103CC" w:rsidP="002718DF">
            <w:pPr>
              <w:pStyle w:val="Tabletext"/>
              <w:jc w:val="right"/>
            </w:pPr>
            <w:r w:rsidRPr="001814D2">
              <w:t>793,169</w:t>
            </w:r>
          </w:p>
        </w:tc>
        <w:tc>
          <w:tcPr>
            <w:tcW w:w="1013" w:type="pct"/>
            <w:tcBorders>
              <w:top w:val="single" w:sz="4" w:space="0" w:color="auto"/>
              <w:bottom w:val="single" w:sz="4" w:space="0" w:color="auto"/>
            </w:tcBorders>
            <w:tcMar>
              <w:top w:w="0" w:type="dxa"/>
              <w:left w:w="0" w:type="dxa"/>
              <w:bottom w:w="0" w:type="dxa"/>
              <w:right w:w="0" w:type="dxa"/>
            </w:tcMar>
            <w:vAlign w:val="center"/>
          </w:tcPr>
          <w:p w14:paraId="68AEEC2C" w14:textId="77777777" w:rsidR="009103CC" w:rsidRPr="001814D2" w:rsidRDefault="009103CC" w:rsidP="002718DF">
            <w:pPr>
              <w:pStyle w:val="Tabletext"/>
              <w:jc w:val="right"/>
            </w:pPr>
            <w:r w:rsidRPr="001814D2">
              <w:t>1,762,583</w:t>
            </w:r>
          </w:p>
        </w:tc>
      </w:tr>
      <w:tr w:rsidR="009103CC" w:rsidRPr="001814D2" w14:paraId="27BDB753"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41CEA656" w14:textId="77777777" w:rsidR="009103CC" w:rsidRPr="001814D2" w:rsidRDefault="009103CC" w:rsidP="002718DF">
            <w:pPr>
              <w:pStyle w:val="Tabletext"/>
            </w:pPr>
            <w:r w:rsidRPr="001814D2">
              <w:t>Net result for the year</w:t>
            </w:r>
          </w:p>
        </w:tc>
        <w:tc>
          <w:tcPr>
            <w:tcW w:w="1013" w:type="pct"/>
            <w:tcBorders>
              <w:top w:val="single" w:sz="4" w:space="0" w:color="auto"/>
              <w:bottom w:val="single" w:sz="4" w:space="0" w:color="auto"/>
            </w:tcBorders>
            <w:tcMar>
              <w:top w:w="0" w:type="dxa"/>
              <w:left w:w="0" w:type="dxa"/>
              <w:bottom w:w="0" w:type="dxa"/>
              <w:right w:w="0" w:type="dxa"/>
            </w:tcMar>
            <w:vAlign w:val="center"/>
          </w:tcPr>
          <w:p w14:paraId="2FCFFDE5" w14:textId="77777777" w:rsidR="009103CC" w:rsidRPr="001814D2" w:rsidRDefault="009103CC" w:rsidP="002718DF">
            <w:pPr>
              <w:pStyle w:val="Tabletext"/>
              <w:jc w:val="right"/>
            </w:pPr>
            <w:r w:rsidRPr="001814D2">
              <w:t>80,243</w:t>
            </w:r>
          </w:p>
        </w:tc>
        <w:tc>
          <w:tcPr>
            <w:tcW w:w="1013" w:type="pct"/>
            <w:tcBorders>
              <w:top w:val="single" w:sz="4" w:space="0" w:color="auto"/>
              <w:bottom w:val="single" w:sz="4" w:space="0" w:color="auto"/>
            </w:tcBorders>
            <w:tcMar>
              <w:top w:w="0" w:type="dxa"/>
              <w:left w:w="0" w:type="dxa"/>
              <w:bottom w:w="0" w:type="dxa"/>
              <w:right w:w="0" w:type="dxa"/>
            </w:tcMar>
            <w:vAlign w:val="center"/>
          </w:tcPr>
          <w:p w14:paraId="594C0D10" w14:textId="77777777" w:rsidR="009103CC" w:rsidRPr="001814D2" w:rsidRDefault="009103CC" w:rsidP="002718DF">
            <w:pPr>
              <w:pStyle w:val="Tabletext"/>
              <w:jc w:val="right"/>
            </w:pPr>
            <w:r w:rsidRPr="001814D2">
              <w:t>-</w:t>
            </w:r>
          </w:p>
        </w:tc>
        <w:tc>
          <w:tcPr>
            <w:tcW w:w="1013" w:type="pct"/>
            <w:tcBorders>
              <w:top w:val="single" w:sz="4" w:space="0" w:color="auto"/>
              <w:bottom w:val="single" w:sz="4" w:space="0" w:color="auto"/>
            </w:tcBorders>
            <w:tcMar>
              <w:top w:w="0" w:type="dxa"/>
              <w:left w:w="0" w:type="dxa"/>
              <w:bottom w:w="0" w:type="dxa"/>
              <w:right w:w="0" w:type="dxa"/>
            </w:tcMar>
            <w:vAlign w:val="center"/>
          </w:tcPr>
          <w:p w14:paraId="559DF49B" w14:textId="77777777" w:rsidR="009103CC" w:rsidRPr="001814D2" w:rsidRDefault="009103CC" w:rsidP="002718DF">
            <w:pPr>
              <w:pStyle w:val="Tabletext"/>
              <w:jc w:val="right"/>
            </w:pPr>
            <w:r w:rsidRPr="001814D2">
              <w:t>80,243</w:t>
            </w:r>
          </w:p>
        </w:tc>
      </w:tr>
      <w:tr w:rsidR="009103CC" w:rsidRPr="001814D2" w14:paraId="2EAA85DA"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342EBCE6" w14:textId="77777777" w:rsidR="009103CC" w:rsidRPr="001814D2" w:rsidRDefault="009103CC" w:rsidP="002718DF">
            <w:pPr>
              <w:pStyle w:val="Tabletext"/>
            </w:pPr>
            <w:r w:rsidRPr="001814D2">
              <w:t>Other comprehensive income</w:t>
            </w:r>
          </w:p>
        </w:tc>
        <w:tc>
          <w:tcPr>
            <w:tcW w:w="1013" w:type="pct"/>
            <w:tcBorders>
              <w:top w:val="single" w:sz="4" w:space="0" w:color="auto"/>
              <w:bottom w:val="single" w:sz="4" w:space="0" w:color="auto"/>
            </w:tcBorders>
            <w:tcMar>
              <w:top w:w="0" w:type="dxa"/>
              <w:left w:w="0" w:type="dxa"/>
              <w:bottom w:w="0" w:type="dxa"/>
              <w:right w:w="0" w:type="dxa"/>
            </w:tcMar>
            <w:vAlign w:val="center"/>
          </w:tcPr>
          <w:p w14:paraId="0011A3EB" w14:textId="77777777" w:rsidR="009103CC" w:rsidRPr="001814D2" w:rsidRDefault="009103CC" w:rsidP="002718DF">
            <w:pPr>
              <w:pStyle w:val="Tabletext"/>
              <w:jc w:val="right"/>
              <w:rPr>
                <w:rFonts w:cstheme="minorBidi"/>
                <w:sz w:val="24"/>
                <w:szCs w:val="24"/>
              </w:rPr>
            </w:pPr>
          </w:p>
        </w:tc>
        <w:tc>
          <w:tcPr>
            <w:tcW w:w="1013" w:type="pct"/>
            <w:tcBorders>
              <w:top w:val="single" w:sz="4" w:space="0" w:color="auto"/>
              <w:bottom w:val="single" w:sz="4" w:space="0" w:color="auto"/>
            </w:tcBorders>
            <w:tcMar>
              <w:top w:w="0" w:type="dxa"/>
              <w:left w:w="0" w:type="dxa"/>
              <w:bottom w:w="0" w:type="dxa"/>
              <w:right w:w="0" w:type="dxa"/>
            </w:tcMar>
            <w:vAlign w:val="center"/>
          </w:tcPr>
          <w:p w14:paraId="3FCA121D" w14:textId="77777777" w:rsidR="009103CC" w:rsidRPr="001814D2" w:rsidRDefault="009103CC" w:rsidP="002718DF">
            <w:pPr>
              <w:pStyle w:val="Tabletext"/>
              <w:jc w:val="right"/>
              <w:rPr>
                <w:rFonts w:cstheme="minorBidi"/>
                <w:sz w:val="24"/>
                <w:szCs w:val="24"/>
              </w:rPr>
            </w:pPr>
          </w:p>
        </w:tc>
        <w:tc>
          <w:tcPr>
            <w:tcW w:w="1013" w:type="pct"/>
            <w:tcBorders>
              <w:top w:val="single" w:sz="4" w:space="0" w:color="auto"/>
              <w:bottom w:val="single" w:sz="4" w:space="0" w:color="auto"/>
            </w:tcBorders>
            <w:tcMar>
              <w:top w:w="0" w:type="dxa"/>
              <w:left w:w="0" w:type="dxa"/>
              <w:bottom w:w="0" w:type="dxa"/>
              <w:right w:w="0" w:type="dxa"/>
            </w:tcMar>
            <w:vAlign w:val="center"/>
          </w:tcPr>
          <w:p w14:paraId="4625AEAA" w14:textId="77777777" w:rsidR="009103CC" w:rsidRPr="001814D2" w:rsidRDefault="009103CC" w:rsidP="002718DF">
            <w:pPr>
              <w:pStyle w:val="Tabletext"/>
              <w:jc w:val="right"/>
              <w:rPr>
                <w:rFonts w:cstheme="minorBidi"/>
                <w:sz w:val="24"/>
                <w:szCs w:val="24"/>
              </w:rPr>
            </w:pPr>
          </w:p>
        </w:tc>
      </w:tr>
      <w:tr w:rsidR="009103CC" w:rsidRPr="001814D2" w14:paraId="67B2F218" w14:textId="77777777" w:rsidTr="002718DF">
        <w:trPr>
          <w:cantSplit/>
          <w:trHeight w:hRule="exact" w:val="680"/>
        </w:trPr>
        <w:tc>
          <w:tcPr>
            <w:tcW w:w="1960" w:type="pct"/>
            <w:tcBorders>
              <w:top w:val="single" w:sz="4" w:space="0" w:color="auto"/>
              <w:bottom w:val="single" w:sz="4" w:space="0" w:color="auto"/>
            </w:tcBorders>
            <w:tcMar>
              <w:top w:w="0" w:type="dxa"/>
              <w:left w:w="0" w:type="dxa"/>
              <w:bottom w:w="0" w:type="dxa"/>
              <w:right w:w="0" w:type="dxa"/>
            </w:tcMar>
            <w:vAlign w:val="center"/>
          </w:tcPr>
          <w:p w14:paraId="5EDDCAB8" w14:textId="77777777" w:rsidR="009103CC" w:rsidRPr="001814D2" w:rsidRDefault="009103CC" w:rsidP="002718DF">
            <w:pPr>
              <w:pStyle w:val="Tabletext"/>
            </w:pPr>
            <w:r w:rsidRPr="001814D2">
              <w:t>Valuation increment / (decrement) of property, plant and equipment</w:t>
            </w:r>
          </w:p>
        </w:tc>
        <w:tc>
          <w:tcPr>
            <w:tcW w:w="1013" w:type="pct"/>
            <w:tcBorders>
              <w:top w:val="single" w:sz="4" w:space="0" w:color="auto"/>
              <w:bottom w:val="single" w:sz="4" w:space="0" w:color="auto"/>
            </w:tcBorders>
            <w:tcMar>
              <w:top w:w="0" w:type="dxa"/>
              <w:left w:w="0" w:type="dxa"/>
              <w:bottom w:w="0" w:type="dxa"/>
              <w:right w:w="0" w:type="dxa"/>
            </w:tcMar>
          </w:tcPr>
          <w:p w14:paraId="7DB6DC77" w14:textId="77777777" w:rsidR="009103CC" w:rsidRPr="001814D2" w:rsidRDefault="009103CC" w:rsidP="002718DF">
            <w:pPr>
              <w:pStyle w:val="Tabletext"/>
              <w:jc w:val="right"/>
            </w:pPr>
            <w:r w:rsidRPr="001814D2">
              <w:t>-</w:t>
            </w:r>
          </w:p>
        </w:tc>
        <w:tc>
          <w:tcPr>
            <w:tcW w:w="1013" w:type="pct"/>
            <w:tcBorders>
              <w:top w:val="single" w:sz="4" w:space="0" w:color="auto"/>
              <w:bottom w:val="single" w:sz="4" w:space="0" w:color="auto"/>
            </w:tcBorders>
            <w:tcMar>
              <w:top w:w="0" w:type="dxa"/>
              <w:left w:w="0" w:type="dxa"/>
              <w:bottom w:w="0" w:type="dxa"/>
              <w:right w:w="0" w:type="dxa"/>
            </w:tcMar>
          </w:tcPr>
          <w:p w14:paraId="6B34C973" w14:textId="77777777" w:rsidR="009103CC" w:rsidRPr="001814D2" w:rsidRDefault="009103CC" w:rsidP="002718DF">
            <w:pPr>
              <w:pStyle w:val="Tabletext"/>
              <w:jc w:val="right"/>
            </w:pPr>
            <w:r w:rsidRPr="001814D2">
              <w:t>385,638</w:t>
            </w:r>
          </w:p>
          <w:p w14:paraId="6321234E" w14:textId="77777777" w:rsidR="009103CC" w:rsidRPr="001814D2" w:rsidRDefault="009103CC" w:rsidP="002718DF">
            <w:pPr>
              <w:pStyle w:val="Tabletext"/>
              <w:jc w:val="right"/>
            </w:pPr>
          </w:p>
        </w:tc>
        <w:tc>
          <w:tcPr>
            <w:tcW w:w="1013" w:type="pct"/>
            <w:tcBorders>
              <w:top w:val="single" w:sz="4" w:space="0" w:color="auto"/>
              <w:bottom w:val="single" w:sz="4" w:space="0" w:color="auto"/>
            </w:tcBorders>
            <w:tcMar>
              <w:top w:w="0" w:type="dxa"/>
              <w:left w:w="0" w:type="dxa"/>
              <w:bottom w:w="0" w:type="dxa"/>
              <w:right w:w="0" w:type="dxa"/>
            </w:tcMar>
          </w:tcPr>
          <w:p w14:paraId="09546226" w14:textId="77777777" w:rsidR="009103CC" w:rsidRPr="001814D2" w:rsidRDefault="009103CC" w:rsidP="002718DF">
            <w:pPr>
              <w:pStyle w:val="Tabletext"/>
              <w:jc w:val="right"/>
            </w:pPr>
            <w:r w:rsidRPr="001814D2">
              <w:t>385,638</w:t>
            </w:r>
          </w:p>
          <w:p w14:paraId="0545F41F" w14:textId="77777777" w:rsidR="009103CC" w:rsidRPr="001814D2" w:rsidRDefault="009103CC" w:rsidP="002718DF">
            <w:pPr>
              <w:pStyle w:val="Tabletext"/>
              <w:jc w:val="right"/>
            </w:pPr>
          </w:p>
        </w:tc>
      </w:tr>
      <w:tr w:rsidR="009103CC" w:rsidRPr="001814D2" w14:paraId="6C6D5F00"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56FE82B2" w14:textId="77777777" w:rsidR="009103CC" w:rsidRPr="001814D2" w:rsidRDefault="009103CC" w:rsidP="002718DF">
            <w:pPr>
              <w:pStyle w:val="Tabletext"/>
            </w:pPr>
            <w:r w:rsidRPr="001814D2">
              <w:t>Total other comprehensive income</w:t>
            </w:r>
          </w:p>
        </w:tc>
        <w:tc>
          <w:tcPr>
            <w:tcW w:w="1013" w:type="pct"/>
            <w:tcBorders>
              <w:top w:val="single" w:sz="4" w:space="0" w:color="auto"/>
              <w:bottom w:val="single" w:sz="4" w:space="0" w:color="auto"/>
            </w:tcBorders>
            <w:tcMar>
              <w:top w:w="0" w:type="dxa"/>
              <w:left w:w="0" w:type="dxa"/>
              <w:bottom w:w="0" w:type="dxa"/>
              <w:right w:w="0" w:type="dxa"/>
            </w:tcMar>
          </w:tcPr>
          <w:p w14:paraId="7CE8C9CA" w14:textId="77777777" w:rsidR="009103CC" w:rsidRPr="001814D2" w:rsidRDefault="009103CC" w:rsidP="002718DF">
            <w:pPr>
              <w:pStyle w:val="Tabletext"/>
              <w:jc w:val="right"/>
            </w:pPr>
            <w:r w:rsidRPr="001814D2">
              <w:t>-</w:t>
            </w:r>
          </w:p>
        </w:tc>
        <w:tc>
          <w:tcPr>
            <w:tcW w:w="1013" w:type="pct"/>
            <w:tcBorders>
              <w:top w:val="single" w:sz="4" w:space="0" w:color="auto"/>
              <w:bottom w:val="single" w:sz="4" w:space="0" w:color="auto"/>
            </w:tcBorders>
            <w:tcMar>
              <w:top w:w="0" w:type="dxa"/>
              <w:left w:w="0" w:type="dxa"/>
              <w:bottom w:w="0" w:type="dxa"/>
              <w:right w:w="0" w:type="dxa"/>
            </w:tcMar>
          </w:tcPr>
          <w:p w14:paraId="09925681" w14:textId="77777777" w:rsidR="009103CC" w:rsidRPr="001814D2" w:rsidRDefault="009103CC" w:rsidP="002718DF">
            <w:pPr>
              <w:pStyle w:val="Tabletext"/>
              <w:jc w:val="right"/>
            </w:pPr>
            <w:r w:rsidRPr="001814D2">
              <w:t>385,638</w:t>
            </w:r>
          </w:p>
        </w:tc>
        <w:tc>
          <w:tcPr>
            <w:tcW w:w="1013" w:type="pct"/>
            <w:tcBorders>
              <w:top w:val="single" w:sz="4" w:space="0" w:color="auto"/>
              <w:bottom w:val="single" w:sz="4" w:space="0" w:color="auto"/>
            </w:tcBorders>
            <w:tcMar>
              <w:top w:w="0" w:type="dxa"/>
              <w:left w:w="0" w:type="dxa"/>
              <w:bottom w:w="0" w:type="dxa"/>
              <w:right w:w="0" w:type="dxa"/>
            </w:tcMar>
          </w:tcPr>
          <w:p w14:paraId="4E0D39C0" w14:textId="77777777" w:rsidR="009103CC" w:rsidRPr="001814D2" w:rsidRDefault="009103CC" w:rsidP="002718DF">
            <w:pPr>
              <w:pStyle w:val="Tabletext"/>
              <w:jc w:val="right"/>
            </w:pPr>
            <w:r w:rsidRPr="001814D2">
              <w:t>385,638</w:t>
            </w:r>
          </w:p>
        </w:tc>
      </w:tr>
      <w:tr w:rsidR="009103CC" w:rsidRPr="001814D2" w14:paraId="3126CD12"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3AE2848D" w14:textId="77777777" w:rsidR="009103CC" w:rsidRPr="001814D2" w:rsidRDefault="009103CC" w:rsidP="002718DF">
            <w:pPr>
              <w:pStyle w:val="Tabletext"/>
            </w:pPr>
            <w:r w:rsidRPr="001814D2">
              <w:t>Total comprehensive income for the year</w:t>
            </w:r>
          </w:p>
        </w:tc>
        <w:tc>
          <w:tcPr>
            <w:tcW w:w="1013" w:type="pct"/>
            <w:tcBorders>
              <w:top w:val="single" w:sz="4" w:space="0" w:color="auto"/>
              <w:bottom w:val="single" w:sz="4" w:space="0" w:color="auto"/>
            </w:tcBorders>
            <w:tcMar>
              <w:top w:w="0" w:type="dxa"/>
              <w:left w:w="0" w:type="dxa"/>
              <w:bottom w:w="0" w:type="dxa"/>
              <w:right w:w="0" w:type="dxa"/>
            </w:tcMar>
          </w:tcPr>
          <w:p w14:paraId="1F03F150" w14:textId="77777777" w:rsidR="009103CC" w:rsidRPr="001814D2" w:rsidRDefault="009103CC" w:rsidP="002718DF">
            <w:pPr>
              <w:pStyle w:val="Tabletext"/>
              <w:jc w:val="right"/>
            </w:pPr>
            <w:r w:rsidRPr="001814D2">
              <w:t>80,243</w:t>
            </w:r>
          </w:p>
        </w:tc>
        <w:tc>
          <w:tcPr>
            <w:tcW w:w="1013" w:type="pct"/>
            <w:tcBorders>
              <w:top w:val="single" w:sz="4" w:space="0" w:color="auto"/>
              <w:bottom w:val="single" w:sz="4" w:space="0" w:color="auto"/>
            </w:tcBorders>
            <w:tcMar>
              <w:top w:w="0" w:type="dxa"/>
              <w:left w:w="0" w:type="dxa"/>
              <w:bottom w:w="0" w:type="dxa"/>
              <w:right w:w="0" w:type="dxa"/>
            </w:tcMar>
          </w:tcPr>
          <w:p w14:paraId="754D469A" w14:textId="77777777" w:rsidR="009103CC" w:rsidRPr="001814D2" w:rsidRDefault="009103CC" w:rsidP="002718DF">
            <w:pPr>
              <w:pStyle w:val="Tabletext"/>
              <w:jc w:val="right"/>
            </w:pPr>
            <w:r w:rsidRPr="001814D2">
              <w:t>385,638</w:t>
            </w:r>
          </w:p>
        </w:tc>
        <w:tc>
          <w:tcPr>
            <w:tcW w:w="1013" w:type="pct"/>
            <w:tcBorders>
              <w:top w:val="single" w:sz="4" w:space="0" w:color="auto"/>
              <w:bottom w:val="single" w:sz="4" w:space="0" w:color="auto"/>
            </w:tcBorders>
            <w:tcMar>
              <w:top w:w="0" w:type="dxa"/>
              <w:left w:w="0" w:type="dxa"/>
              <w:bottom w:w="0" w:type="dxa"/>
              <w:right w:w="0" w:type="dxa"/>
            </w:tcMar>
          </w:tcPr>
          <w:p w14:paraId="309A7928" w14:textId="77777777" w:rsidR="009103CC" w:rsidRPr="001814D2" w:rsidRDefault="009103CC" w:rsidP="002718DF">
            <w:pPr>
              <w:pStyle w:val="Tabletext"/>
              <w:jc w:val="right"/>
            </w:pPr>
            <w:r w:rsidRPr="001814D2">
              <w:t>465,881</w:t>
            </w:r>
          </w:p>
        </w:tc>
      </w:tr>
      <w:tr w:rsidR="009103CC" w:rsidRPr="001814D2" w14:paraId="7112CE53"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389607B4" w14:textId="77777777" w:rsidR="009103CC" w:rsidRPr="001814D2" w:rsidRDefault="009103CC" w:rsidP="002718DF">
            <w:pPr>
              <w:pStyle w:val="Tabletext"/>
            </w:pPr>
            <w:r w:rsidRPr="001814D2">
              <w:t>Balance at 30 June 2020</w:t>
            </w:r>
          </w:p>
        </w:tc>
        <w:tc>
          <w:tcPr>
            <w:tcW w:w="1013" w:type="pct"/>
            <w:tcBorders>
              <w:top w:val="single" w:sz="4" w:space="0" w:color="auto"/>
              <w:bottom w:val="single" w:sz="4" w:space="0" w:color="auto"/>
            </w:tcBorders>
            <w:tcMar>
              <w:top w:w="0" w:type="dxa"/>
              <w:left w:w="0" w:type="dxa"/>
              <w:bottom w:w="0" w:type="dxa"/>
              <w:right w:w="0" w:type="dxa"/>
            </w:tcMar>
          </w:tcPr>
          <w:p w14:paraId="6EB247E6" w14:textId="77777777" w:rsidR="009103CC" w:rsidRPr="001814D2" w:rsidRDefault="009103CC" w:rsidP="002718DF">
            <w:pPr>
              <w:pStyle w:val="Tabletext"/>
              <w:jc w:val="right"/>
            </w:pPr>
            <w:r w:rsidRPr="001814D2">
              <w:t>1,049,657</w:t>
            </w:r>
          </w:p>
        </w:tc>
        <w:tc>
          <w:tcPr>
            <w:tcW w:w="1013" w:type="pct"/>
            <w:tcBorders>
              <w:top w:val="single" w:sz="4" w:space="0" w:color="auto"/>
              <w:bottom w:val="single" w:sz="4" w:space="0" w:color="auto"/>
            </w:tcBorders>
            <w:tcMar>
              <w:top w:w="0" w:type="dxa"/>
              <w:left w:w="0" w:type="dxa"/>
              <w:bottom w:w="0" w:type="dxa"/>
              <w:right w:w="0" w:type="dxa"/>
            </w:tcMar>
          </w:tcPr>
          <w:p w14:paraId="487D35A5" w14:textId="77777777" w:rsidR="009103CC" w:rsidRPr="001814D2" w:rsidRDefault="009103CC" w:rsidP="002718DF">
            <w:pPr>
              <w:pStyle w:val="Tabletext"/>
              <w:jc w:val="right"/>
            </w:pPr>
            <w:r w:rsidRPr="001814D2">
              <w:t>1,178,807</w:t>
            </w:r>
          </w:p>
        </w:tc>
        <w:tc>
          <w:tcPr>
            <w:tcW w:w="1013" w:type="pct"/>
            <w:tcBorders>
              <w:top w:val="single" w:sz="4" w:space="0" w:color="auto"/>
              <w:bottom w:val="single" w:sz="4" w:space="0" w:color="auto"/>
            </w:tcBorders>
            <w:tcMar>
              <w:top w:w="0" w:type="dxa"/>
              <w:left w:w="0" w:type="dxa"/>
              <w:bottom w:w="0" w:type="dxa"/>
              <w:right w:w="0" w:type="dxa"/>
            </w:tcMar>
          </w:tcPr>
          <w:p w14:paraId="067FD4C9" w14:textId="77777777" w:rsidR="009103CC" w:rsidRPr="001814D2" w:rsidRDefault="009103CC" w:rsidP="002718DF">
            <w:pPr>
              <w:pStyle w:val="Tabletext"/>
              <w:jc w:val="right"/>
            </w:pPr>
            <w:r w:rsidRPr="001814D2">
              <w:t>2,228,464</w:t>
            </w:r>
          </w:p>
        </w:tc>
      </w:tr>
      <w:tr w:rsidR="009103CC" w:rsidRPr="001814D2" w14:paraId="08AC09E0"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798245E7" w14:textId="77777777" w:rsidR="009103CC" w:rsidRPr="001814D2" w:rsidRDefault="009103CC" w:rsidP="002718DF">
            <w:pPr>
              <w:pStyle w:val="Tabletext"/>
              <w:rPr>
                <w:rFonts w:cstheme="minorBidi"/>
                <w:sz w:val="24"/>
                <w:szCs w:val="24"/>
              </w:rPr>
            </w:pPr>
          </w:p>
        </w:tc>
        <w:tc>
          <w:tcPr>
            <w:tcW w:w="1013" w:type="pct"/>
            <w:tcBorders>
              <w:top w:val="single" w:sz="4" w:space="0" w:color="auto"/>
              <w:bottom w:val="single" w:sz="4" w:space="0" w:color="auto"/>
            </w:tcBorders>
            <w:tcMar>
              <w:top w:w="0" w:type="dxa"/>
              <w:left w:w="0" w:type="dxa"/>
              <w:bottom w:w="0" w:type="dxa"/>
              <w:right w:w="0" w:type="dxa"/>
            </w:tcMar>
          </w:tcPr>
          <w:p w14:paraId="15C0A396" w14:textId="77777777" w:rsidR="009103CC" w:rsidRPr="001814D2" w:rsidRDefault="009103CC" w:rsidP="002718DF">
            <w:pPr>
              <w:pStyle w:val="Tabletext"/>
              <w:jc w:val="right"/>
              <w:rPr>
                <w:rFonts w:cstheme="minorBidi"/>
                <w:sz w:val="24"/>
                <w:szCs w:val="24"/>
              </w:rPr>
            </w:pPr>
          </w:p>
        </w:tc>
        <w:tc>
          <w:tcPr>
            <w:tcW w:w="1013" w:type="pct"/>
            <w:tcBorders>
              <w:top w:val="single" w:sz="4" w:space="0" w:color="auto"/>
              <w:bottom w:val="single" w:sz="4" w:space="0" w:color="auto"/>
            </w:tcBorders>
            <w:tcMar>
              <w:top w:w="0" w:type="dxa"/>
              <w:left w:w="0" w:type="dxa"/>
              <w:bottom w:w="0" w:type="dxa"/>
              <w:right w:w="0" w:type="dxa"/>
            </w:tcMar>
          </w:tcPr>
          <w:p w14:paraId="1A505DED" w14:textId="77777777" w:rsidR="009103CC" w:rsidRPr="001814D2" w:rsidRDefault="009103CC" w:rsidP="002718DF">
            <w:pPr>
              <w:pStyle w:val="Tabletext"/>
              <w:jc w:val="right"/>
              <w:rPr>
                <w:rFonts w:cstheme="minorBidi"/>
                <w:sz w:val="24"/>
                <w:szCs w:val="24"/>
              </w:rPr>
            </w:pPr>
          </w:p>
        </w:tc>
        <w:tc>
          <w:tcPr>
            <w:tcW w:w="1013" w:type="pct"/>
            <w:tcBorders>
              <w:top w:val="single" w:sz="4" w:space="0" w:color="auto"/>
              <w:bottom w:val="single" w:sz="4" w:space="0" w:color="auto"/>
            </w:tcBorders>
            <w:tcMar>
              <w:top w:w="0" w:type="dxa"/>
              <w:left w:w="0" w:type="dxa"/>
              <w:bottom w:w="0" w:type="dxa"/>
              <w:right w:w="0" w:type="dxa"/>
            </w:tcMar>
          </w:tcPr>
          <w:p w14:paraId="18301BED" w14:textId="77777777" w:rsidR="009103CC" w:rsidRPr="001814D2" w:rsidRDefault="009103CC" w:rsidP="002718DF">
            <w:pPr>
              <w:pStyle w:val="Tabletext"/>
              <w:jc w:val="right"/>
              <w:rPr>
                <w:rFonts w:cstheme="minorBidi"/>
                <w:sz w:val="24"/>
                <w:szCs w:val="24"/>
              </w:rPr>
            </w:pPr>
          </w:p>
        </w:tc>
      </w:tr>
      <w:tr w:rsidR="009103CC" w:rsidRPr="001814D2" w14:paraId="75EF7EFA"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4B038162" w14:textId="77777777" w:rsidR="009103CC" w:rsidRPr="001814D2" w:rsidRDefault="009103CC" w:rsidP="002718DF">
            <w:pPr>
              <w:pStyle w:val="Tabletext"/>
            </w:pPr>
            <w:r w:rsidRPr="001814D2">
              <w:t>Balance at 1 July 2020</w:t>
            </w:r>
          </w:p>
        </w:tc>
        <w:tc>
          <w:tcPr>
            <w:tcW w:w="1013" w:type="pct"/>
            <w:tcBorders>
              <w:top w:val="single" w:sz="4" w:space="0" w:color="auto"/>
              <w:bottom w:val="single" w:sz="4" w:space="0" w:color="auto"/>
            </w:tcBorders>
            <w:tcMar>
              <w:top w:w="0" w:type="dxa"/>
              <w:left w:w="0" w:type="dxa"/>
              <w:bottom w:w="0" w:type="dxa"/>
              <w:right w:w="0" w:type="dxa"/>
            </w:tcMar>
          </w:tcPr>
          <w:p w14:paraId="6087707B" w14:textId="77777777" w:rsidR="009103CC" w:rsidRPr="001814D2" w:rsidRDefault="009103CC" w:rsidP="002718DF">
            <w:pPr>
              <w:pStyle w:val="Tabletext"/>
              <w:jc w:val="right"/>
            </w:pPr>
            <w:r w:rsidRPr="001814D2">
              <w:t>1,049,657</w:t>
            </w:r>
          </w:p>
        </w:tc>
        <w:tc>
          <w:tcPr>
            <w:tcW w:w="1013" w:type="pct"/>
            <w:tcBorders>
              <w:top w:val="single" w:sz="4" w:space="0" w:color="auto"/>
              <w:bottom w:val="single" w:sz="4" w:space="0" w:color="auto"/>
            </w:tcBorders>
            <w:tcMar>
              <w:top w:w="0" w:type="dxa"/>
              <w:left w:w="0" w:type="dxa"/>
              <w:bottom w:w="0" w:type="dxa"/>
              <w:right w:w="0" w:type="dxa"/>
            </w:tcMar>
          </w:tcPr>
          <w:p w14:paraId="46F2FD65" w14:textId="77777777" w:rsidR="009103CC" w:rsidRPr="001814D2" w:rsidRDefault="009103CC" w:rsidP="002718DF">
            <w:pPr>
              <w:pStyle w:val="Tabletext"/>
              <w:jc w:val="right"/>
            </w:pPr>
            <w:r w:rsidRPr="001814D2">
              <w:t>1,178,807</w:t>
            </w:r>
          </w:p>
        </w:tc>
        <w:tc>
          <w:tcPr>
            <w:tcW w:w="1013" w:type="pct"/>
            <w:tcBorders>
              <w:top w:val="single" w:sz="4" w:space="0" w:color="auto"/>
              <w:bottom w:val="single" w:sz="4" w:space="0" w:color="auto"/>
            </w:tcBorders>
            <w:tcMar>
              <w:top w:w="0" w:type="dxa"/>
              <w:left w:w="0" w:type="dxa"/>
              <w:bottom w:w="0" w:type="dxa"/>
              <w:right w:w="0" w:type="dxa"/>
            </w:tcMar>
          </w:tcPr>
          <w:p w14:paraId="72EFD5F1" w14:textId="77777777" w:rsidR="009103CC" w:rsidRPr="001814D2" w:rsidRDefault="009103CC" w:rsidP="002718DF">
            <w:pPr>
              <w:pStyle w:val="Tabletext"/>
              <w:jc w:val="right"/>
            </w:pPr>
            <w:r w:rsidRPr="001814D2">
              <w:t>2,228,464</w:t>
            </w:r>
          </w:p>
        </w:tc>
      </w:tr>
      <w:tr w:rsidR="009103CC" w:rsidRPr="001814D2" w14:paraId="6D5F3B3B"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7FE7238B" w14:textId="77777777" w:rsidR="009103CC" w:rsidRPr="001814D2" w:rsidRDefault="009103CC" w:rsidP="002718DF">
            <w:pPr>
              <w:pStyle w:val="Tabletext"/>
            </w:pPr>
            <w:r w:rsidRPr="001814D2">
              <w:t>Net result for the year</w:t>
            </w:r>
          </w:p>
        </w:tc>
        <w:tc>
          <w:tcPr>
            <w:tcW w:w="1013" w:type="pct"/>
            <w:tcBorders>
              <w:top w:val="single" w:sz="4" w:space="0" w:color="auto"/>
              <w:bottom w:val="single" w:sz="4" w:space="0" w:color="auto"/>
            </w:tcBorders>
            <w:tcMar>
              <w:top w:w="0" w:type="dxa"/>
              <w:left w:w="0" w:type="dxa"/>
              <w:bottom w:w="0" w:type="dxa"/>
              <w:right w:w="0" w:type="dxa"/>
            </w:tcMar>
          </w:tcPr>
          <w:p w14:paraId="614B8CE5" w14:textId="77777777" w:rsidR="009103CC" w:rsidRPr="001814D2" w:rsidRDefault="009103CC" w:rsidP="002718DF">
            <w:pPr>
              <w:pStyle w:val="Tabletext"/>
              <w:jc w:val="right"/>
            </w:pPr>
            <w:r w:rsidRPr="001814D2">
              <w:t>154,961</w:t>
            </w:r>
          </w:p>
        </w:tc>
        <w:tc>
          <w:tcPr>
            <w:tcW w:w="1013" w:type="pct"/>
            <w:tcBorders>
              <w:top w:val="single" w:sz="4" w:space="0" w:color="auto"/>
              <w:bottom w:val="single" w:sz="4" w:space="0" w:color="auto"/>
            </w:tcBorders>
            <w:tcMar>
              <w:top w:w="0" w:type="dxa"/>
              <w:left w:w="0" w:type="dxa"/>
              <w:bottom w:w="0" w:type="dxa"/>
              <w:right w:w="0" w:type="dxa"/>
            </w:tcMar>
          </w:tcPr>
          <w:p w14:paraId="2A6921B5" w14:textId="77777777" w:rsidR="009103CC" w:rsidRPr="001814D2" w:rsidRDefault="009103CC" w:rsidP="002718DF">
            <w:pPr>
              <w:pStyle w:val="Tabletext"/>
              <w:jc w:val="right"/>
            </w:pPr>
            <w:r w:rsidRPr="001814D2">
              <w:t>-</w:t>
            </w:r>
          </w:p>
        </w:tc>
        <w:tc>
          <w:tcPr>
            <w:tcW w:w="1013" w:type="pct"/>
            <w:tcBorders>
              <w:top w:val="single" w:sz="4" w:space="0" w:color="auto"/>
              <w:bottom w:val="single" w:sz="4" w:space="0" w:color="auto"/>
            </w:tcBorders>
            <w:tcMar>
              <w:top w:w="0" w:type="dxa"/>
              <w:left w:w="0" w:type="dxa"/>
              <w:bottom w:w="0" w:type="dxa"/>
              <w:right w:w="0" w:type="dxa"/>
            </w:tcMar>
          </w:tcPr>
          <w:p w14:paraId="1E3EE18A" w14:textId="77777777" w:rsidR="009103CC" w:rsidRPr="001814D2" w:rsidRDefault="009103CC" w:rsidP="002718DF">
            <w:pPr>
              <w:pStyle w:val="Tabletext"/>
              <w:jc w:val="right"/>
            </w:pPr>
            <w:r w:rsidRPr="001814D2">
              <w:t>154,961</w:t>
            </w:r>
          </w:p>
        </w:tc>
      </w:tr>
      <w:tr w:rsidR="009103CC" w:rsidRPr="001814D2" w14:paraId="59CC1B94"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797026F0" w14:textId="77777777" w:rsidR="009103CC" w:rsidRPr="001814D2" w:rsidRDefault="009103CC" w:rsidP="002718DF">
            <w:pPr>
              <w:pStyle w:val="Tabletext"/>
            </w:pPr>
            <w:r w:rsidRPr="001814D2">
              <w:t>Other comprehensive income</w:t>
            </w:r>
          </w:p>
        </w:tc>
        <w:tc>
          <w:tcPr>
            <w:tcW w:w="1013" w:type="pct"/>
            <w:tcBorders>
              <w:top w:val="single" w:sz="4" w:space="0" w:color="auto"/>
              <w:bottom w:val="single" w:sz="4" w:space="0" w:color="auto"/>
            </w:tcBorders>
            <w:tcMar>
              <w:top w:w="0" w:type="dxa"/>
              <w:left w:w="0" w:type="dxa"/>
              <w:bottom w:w="0" w:type="dxa"/>
              <w:right w:w="0" w:type="dxa"/>
            </w:tcMar>
          </w:tcPr>
          <w:p w14:paraId="5E92C397" w14:textId="77777777" w:rsidR="009103CC" w:rsidRPr="001814D2" w:rsidRDefault="009103CC" w:rsidP="002718DF">
            <w:pPr>
              <w:pStyle w:val="Tabletext"/>
              <w:jc w:val="right"/>
              <w:rPr>
                <w:rFonts w:cstheme="minorBidi"/>
                <w:sz w:val="24"/>
                <w:szCs w:val="24"/>
              </w:rPr>
            </w:pPr>
          </w:p>
        </w:tc>
        <w:tc>
          <w:tcPr>
            <w:tcW w:w="1013" w:type="pct"/>
            <w:tcBorders>
              <w:top w:val="single" w:sz="4" w:space="0" w:color="auto"/>
              <w:bottom w:val="single" w:sz="4" w:space="0" w:color="auto"/>
            </w:tcBorders>
            <w:tcMar>
              <w:top w:w="0" w:type="dxa"/>
              <w:left w:w="0" w:type="dxa"/>
              <w:bottom w:w="0" w:type="dxa"/>
              <w:right w:w="0" w:type="dxa"/>
            </w:tcMar>
          </w:tcPr>
          <w:p w14:paraId="3F66622E" w14:textId="77777777" w:rsidR="009103CC" w:rsidRPr="001814D2" w:rsidRDefault="009103CC" w:rsidP="002718DF">
            <w:pPr>
              <w:pStyle w:val="Tabletext"/>
              <w:jc w:val="right"/>
              <w:rPr>
                <w:rFonts w:cstheme="minorBidi"/>
                <w:sz w:val="24"/>
                <w:szCs w:val="24"/>
              </w:rPr>
            </w:pPr>
          </w:p>
        </w:tc>
        <w:tc>
          <w:tcPr>
            <w:tcW w:w="1013" w:type="pct"/>
            <w:tcBorders>
              <w:top w:val="single" w:sz="4" w:space="0" w:color="auto"/>
              <w:bottom w:val="single" w:sz="4" w:space="0" w:color="auto"/>
            </w:tcBorders>
            <w:tcMar>
              <w:top w:w="0" w:type="dxa"/>
              <w:left w:w="0" w:type="dxa"/>
              <w:bottom w:w="0" w:type="dxa"/>
              <w:right w:w="0" w:type="dxa"/>
            </w:tcMar>
          </w:tcPr>
          <w:p w14:paraId="55D14EE2" w14:textId="77777777" w:rsidR="009103CC" w:rsidRPr="001814D2" w:rsidRDefault="009103CC" w:rsidP="002718DF">
            <w:pPr>
              <w:pStyle w:val="Tabletext"/>
              <w:jc w:val="right"/>
              <w:rPr>
                <w:rFonts w:cstheme="minorBidi"/>
                <w:sz w:val="24"/>
                <w:szCs w:val="24"/>
              </w:rPr>
            </w:pPr>
          </w:p>
        </w:tc>
      </w:tr>
      <w:tr w:rsidR="009103CC" w:rsidRPr="001814D2" w14:paraId="7A3BCECD" w14:textId="77777777" w:rsidTr="002718DF">
        <w:trPr>
          <w:cantSplit/>
          <w:trHeight w:hRule="exact" w:val="553"/>
        </w:trPr>
        <w:tc>
          <w:tcPr>
            <w:tcW w:w="1960" w:type="pct"/>
            <w:tcBorders>
              <w:top w:val="single" w:sz="4" w:space="0" w:color="auto"/>
              <w:bottom w:val="single" w:sz="4" w:space="0" w:color="auto"/>
            </w:tcBorders>
            <w:tcMar>
              <w:top w:w="0" w:type="dxa"/>
              <w:left w:w="0" w:type="dxa"/>
              <w:bottom w:w="0" w:type="dxa"/>
              <w:right w:w="0" w:type="dxa"/>
            </w:tcMar>
            <w:vAlign w:val="center"/>
          </w:tcPr>
          <w:p w14:paraId="064AD0B0" w14:textId="77777777" w:rsidR="009103CC" w:rsidRPr="001814D2" w:rsidRDefault="009103CC" w:rsidP="002718DF">
            <w:pPr>
              <w:pStyle w:val="Tabletext"/>
            </w:pPr>
            <w:r w:rsidRPr="001814D2">
              <w:t xml:space="preserve">Valuation increment / (decrement) </w:t>
            </w:r>
            <w:r w:rsidRPr="001814D2">
              <w:br/>
              <w:t>of property, plant and equipment</w:t>
            </w:r>
          </w:p>
        </w:tc>
        <w:tc>
          <w:tcPr>
            <w:tcW w:w="1013" w:type="pct"/>
            <w:tcBorders>
              <w:top w:val="single" w:sz="4" w:space="0" w:color="auto"/>
              <w:bottom w:val="single" w:sz="4" w:space="0" w:color="auto"/>
            </w:tcBorders>
            <w:tcMar>
              <w:top w:w="0" w:type="dxa"/>
              <w:left w:w="0" w:type="dxa"/>
              <w:bottom w:w="0" w:type="dxa"/>
              <w:right w:w="0" w:type="dxa"/>
            </w:tcMar>
          </w:tcPr>
          <w:p w14:paraId="7F34B432" w14:textId="77777777" w:rsidR="009103CC" w:rsidRPr="001814D2" w:rsidRDefault="009103CC" w:rsidP="002718DF">
            <w:pPr>
              <w:pStyle w:val="Tabletext"/>
              <w:jc w:val="right"/>
            </w:pPr>
            <w:r w:rsidRPr="001814D2">
              <w:t>-</w:t>
            </w:r>
          </w:p>
          <w:p w14:paraId="23F1CE36" w14:textId="77777777" w:rsidR="009103CC" w:rsidRPr="001814D2" w:rsidRDefault="009103CC" w:rsidP="002718DF">
            <w:pPr>
              <w:pStyle w:val="Tabletext"/>
              <w:jc w:val="right"/>
            </w:pPr>
          </w:p>
        </w:tc>
        <w:tc>
          <w:tcPr>
            <w:tcW w:w="1013" w:type="pct"/>
            <w:tcBorders>
              <w:top w:val="single" w:sz="4" w:space="0" w:color="auto"/>
              <w:bottom w:val="single" w:sz="4" w:space="0" w:color="auto"/>
            </w:tcBorders>
            <w:tcMar>
              <w:top w:w="0" w:type="dxa"/>
              <w:left w:w="0" w:type="dxa"/>
              <w:bottom w:w="0" w:type="dxa"/>
              <w:right w:w="0" w:type="dxa"/>
            </w:tcMar>
          </w:tcPr>
          <w:p w14:paraId="0E80C4C3" w14:textId="77777777" w:rsidR="009103CC" w:rsidRPr="001814D2" w:rsidRDefault="009103CC" w:rsidP="002718DF">
            <w:pPr>
              <w:pStyle w:val="Tabletext"/>
              <w:jc w:val="right"/>
            </w:pPr>
            <w:r w:rsidRPr="001814D2">
              <w:t>1,500</w:t>
            </w:r>
          </w:p>
          <w:p w14:paraId="7D0929D4" w14:textId="77777777" w:rsidR="009103CC" w:rsidRPr="001814D2" w:rsidRDefault="009103CC" w:rsidP="002718DF">
            <w:pPr>
              <w:pStyle w:val="Tabletext"/>
              <w:jc w:val="right"/>
            </w:pPr>
          </w:p>
        </w:tc>
        <w:tc>
          <w:tcPr>
            <w:tcW w:w="1013" w:type="pct"/>
            <w:tcBorders>
              <w:top w:val="single" w:sz="4" w:space="0" w:color="auto"/>
              <w:bottom w:val="single" w:sz="4" w:space="0" w:color="auto"/>
            </w:tcBorders>
            <w:tcMar>
              <w:top w:w="0" w:type="dxa"/>
              <w:left w:w="0" w:type="dxa"/>
              <w:bottom w:w="0" w:type="dxa"/>
              <w:right w:w="0" w:type="dxa"/>
            </w:tcMar>
          </w:tcPr>
          <w:p w14:paraId="6396A4AC" w14:textId="77777777" w:rsidR="009103CC" w:rsidRPr="001814D2" w:rsidRDefault="009103CC" w:rsidP="002718DF">
            <w:pPr>
              <w:pStyle w:val="Tabletext"/>
              <w:jc w:val="right"/>
            </w:pPr>
            <w:r w:rsidRPr="001814D2">
              <w:t>1,500</w:t>
            </w:r>
          </w:p>
          <w:p w14:paraId="253841AA" w14:textId="77777777" w:rsidR="009103CC" w:rsidRPr="001814D2" w:rsidRDefault="009103CC" w:rsidP="002718DF">
            <w:pPr>
              <w:pStyle w:val="Tabletext"/>
              <w:jc w:val="right"/>
            </w:pPr>
          </w:p>
        </w:tc>
      </w:tr>
      <w:tr w:rsidR="009103CC" w:rsidRPr="001814D2" w14:paraId="63AC800C"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63798994" w14:textId="77777777" w:rsidR="009103CC" w:rsidRPr="001814D2" w:rsidRDefault="009103CC" w:rsidP="002718DF">
            <w:pPr>
              <w:pStyle w:val="Tabletext"/>
            </w:pPr>
            <w:r w:rsidRPr="001814D2">
              <w:t>Total other comprehensive income</w:t>
            </w:r>
          </w:p>
        </w:tc>
        <w:tc>
          <w:tcPr>
            <w:tcW w:w="1013" w:type="pct"/>
            <w:tcBorders>
              <w:top w:val="single" w:sz="4" w:space="0" w:color="auto"/>
              <w:bottom w:val="single" w:sz="4" w:space="0" w:color="auto"/>
            </w:tcBorders>
            <w:tcMar>
              <w:top w:w="0" w:type="dxa"/>
              <w:left w:w="0" w:type="dxa"/>
              <w:bottom w:w="0" w:type="dxa"/>
              <w:right w:w="0" w:type="dxa"/>
            </w:tcMar>
          </w:tcPr>
          <w:p w14:paraId="489FDD63" w14:textId="77777777" w:rsidR="009103CC" w:rsidRPr="001814D2" w:rsidRDefault="009103CC" w:rsidP="002718DF">
            <w:pPr>
              <w:pStyle w:val="Tabletext"/>
              <w:jc w:val="right"/>
            </w:pPr>
            <w:r w:rsidRPr="001814D2">
              <w:t>-</w:t>
            </w:r>
          </w:p>
        </w:tc>
        <w:tc>
          <w:tcPr>
            <w:tcW w:w="1013" w:type="pct"/>
            <w:tcBorders>
              <w:top w:val="single" w:sz="4" w:space="0" w:color="auto"/>
              <w:bottom w:val="single" w:sz="4" w:space="0" w:color="auto"/>
            </w:tcBorders>
            <w:tcMar>
              <w:top w:w="0" w:type="dxa"/>
              <w:left w:w="0" w:type="dxa"/>
              <w:bottom w:w="0" w:type="dxa"/>
              <w:right w:w="0" w:type="dxa"/>
            </w:tcMar>
          </w:tcPr>
          <w:p w14:paraId="37FD0B03" w14:textId="77777777" w:rsidR="009103CC" w:rsidRPr="001814D2" w:rsidRDefault="009103CC" w:rsidP="002718DF">
            <w:pPr>
              <w:pStyle w:val="Tabletext"/>
              <w:jc w:val="right"/>
            </w:pPr>
            <w:r w:rsidRPr="001814D2">
              <w:t>1,500</w:t>
            </w:r>
          </w:p>
        </w:tc>
        <w:tc>
          <w:tcPr>
            <w:tcW w:w="1013" w:type="pct"/>
            <w:tcBorders>
              <w:top w:val="single" w:sz="4" w:space="0" w:color="auto"/>
              <w:bottom w:val="single" w:sz="4" w:space="0" w:color="auto"/>
            </w:tcBorders>
            <w:tcMar>
              <w:top w:w="0" w:type="dxa"/>
              <w:left w:w="0" w:type="dxa"/>
              <w:bottom w:w="0" w:type="dxa"/>
              <w:right w:w="0" w:type="dxa"/>
            </w:tcMar>
          </w:tcPr>
          <w:p w14:paraId="019C4916" w14:textId="77777777" w:rsidR="009103CC" w:rsidRPr="001814D2" w:rsidRDefault="009103CC" w:rsidP="002718DF">
            <w:pPr>
              <w:pStyle w:val="Tabletext"/>
              <w:jc w:val="right"/>
            </w:pPr>
            <w:r w:rsidRPr="001814D2">
              <w:t>1,500</w:t>
            </w:r>
          </w:p>
        </w:tc>
      </w:tr>
      <w:tr w:rsidR="009103CC" w:rsidRPr="001814D2" w14:paraId="0E3BA589"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6BB928E5" w14:textId="77777777" w:rsidR="009103CC" w:rsidRPr="001814D2" w:rsidRDefault="009103CC" w:rsidP="002718DF">
            <w:pPr>
              <w:pStyle w:val="Tabletext"/>
            </w:pPr>
            <w:r w:rsidRPr="001814D2">
              <w:t>Total comprehensive income for the year</w:t>
            </w:r>
          </w:p>
        </w:tc>
        <w:tc>
          <w:tcPr>
            <w:tcW w:w="1013" w:type="pct"/>
            <w:tcBorders>
              <w:top w:val="single" w:sz="4" w:space="0" w:color="auto"/>
              <w:bottom w:val="single" w:sz="4" w:space="0" w:color="auto"/>
            </w:tcBorders>
            <w:tcMar>
              <w:top w:w="0" w:type="dxa"/>
              <w:left w:w="0" w:type="dxa"/>
              <w:bottom w:w="0" w:type="dxa"/>
              <w:right w:w="0" w:type="dxa"/>
            </w:tcMar>
          </w:tcPr>
          <w:p w14:paraId="3962CB02" w14:textId="77777777" w:rsidR="009103CC" w:rsidRPr="001814D2" w:rsidRDefault="009103CC" w:rsidP="002718DF">
            <w:pPr>
              <w:pStyle w:val="Tabletext"/>
              <w:jc w:val="right"/>
            </w:pPr>
            <w:r w:rsidRPr="001814D2">
              <w:t>154,961</w:t>
            </w:r>
          </w:p>
        </w:tc>
        <w:tc>
          <w:tcPr>
            <w:tcW w:w="1013" w:type="pct"/>
            <w:tcBorders>
              <w:top w:val="single" w:sz="4" w:space="0" w:color="auto"/>
              <w:bottom w:val="single" w:sz="4" w:space="0" w:color="auto"/>
            </w:tcBorders>
            <w:tcMar>
              <w:top w:w="0" w:type="dxa"/>
              <w:left w:w="0" w:type="dxa"/>
              <w:bottom w:w="0" w:type="dxa"/>
              <w:right w:w="0" w:type="dxa"/>
            </w:tcMar>
          </w:tcPr>
          <w:p w14:paraId="1E12E245" w14:textId="77777777" w:rsidR="009103CC" w:rsidRPr="001814D2" w:rsidRDefault="009103CC" w:rsidP="002718DF">
            <w:pPr>
              <w:pStyle w:val="Tabletext"/>
              <w:jc w:val="right"/>
            </w:pPr>
            <w:r w:rsidRPr="001814D2">
              <w:t>1,500</w:t>
            </w:r>
          </w:p>
        </w:tc>
        <w:tc>
          <w:tcPr>
            <w:tcW w:w="1013" w:type="pct"/>
            <w:tcBorders>
              <w:top w:val="single" w:sz="4" w:space="0" w:color="auto"/>
              <w:bottom w:val="single" w:sz="4" w:space="0" w:color="auto"/>
            </w:tcBorders>
            <w:tcMar>
              <w:top w:w="0" w:type="dxa"/>
              <w:left w:w="0" w:type="dxa"/>
              <w:bottom w:w="0" w:type="dxa"/>
              <w:right w:w="0" w:type="dxa"/>
            </w:tcMar>
          </w:tcPr>
          <w:p w14:paraId="557F4309" w14:textId="77777777" w:rsidR="009103CC" w:rsidRPr="001814D2" w:rsidRDefault="009103CC" w:rsidP="002718DF">
            <w:pPr>
              <w:pStyle w:val="Tabletext"/>
              <w:jc w:val="right"/>
            </w:pPr>
            <w:r w:rsidRPr="001814D2">
              <w:t>156,461</w:t>
            </w:r>
          </w:p>
        </w:tc>
      </w:tr>
      <w:tr w:rsidR="009103CC" w:rsidRPr="001814D2" w14:paraId="412308C2"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214A3683" w14:textId="77777777" w:rsidR="009103CC" w:rsidRPr="001814D2" w:rsidRDefault="009103CC" w:rsidP="002718DF">
            <w:pPr>
              <w:pStyle w:val="Tabletext"/>
            </w:pPr>
            <w:r w:rsidRPr="001814D2">
              <w:t>Balance at 30 June 2021</w:t>
            </w:r>
          </w:p>
        </w:tc>
        <w:tc>
          <w:tcPr>
            <w:tcW w:w="1013" w:type="pct"/>
            <w:tcBorders>
              <w:top w:val="single" w:sz="4" w:space="0" w:color="auto"/>
              <w:bottom w:val="single" w:sz="4" w:space="0" w:color="auto"/>
            </w:tcBorders>
            <w:tcMar>
              <w:top w:w="0" w:type="dxa"/>
              <w:left w:w="0" w:type="dxa"/>
              <w:bottom w:w="0" w:type="dxa"/>
              <w:right w:w="0" w:type="dxa"/>
            </w:tcMar>
          </w:tcPr>
          <w:p w14:paraId="371A0CD7" w14:textId="77777777" w:rsidR="009103CC" w:rsidRPr="001814D2" w:rsidRDefault="009103CC" w:rsidP="002718DF">
            <w:pPr>
              <w:pStyle w:val="Tabletext"/>
              <w:jc w:val="right"/>
            </w:pPr>
            <w:r w:rsidRPr="001814D2">
              <w:t>1,204,618</w:t>
            </w:r>
          </w:p>
        </w:tc>
        <w:tc>
          <w:tcPr>
            <w:tcW w:w="1013" w:type="pct"/>
            <w:tcBorders>
              <w:top w:val="single" w:sz="4" w:space="0" w:color="auto"/>
              <w:bottom w:val="single" w:sz="4" w:space="0" w:color="auto"/>
            </w:tcBorders>
            <w:tcMar>
              <w:top w:w="0" w:type="dxa"/>
              <w:left w:w="0" w:type="dxa"/>
              <w:bottom w:w="0" w:type="dxa"/>
              <w:right w:w="0" w:type="dxa"/>
            </w:tcMar>
          </w:tcPr>
          <w:p w14:paraId="7D6B785B" w14:textId="77777777" w:rsidR="009103CC" w:rsidRPr="001814D2" w:rsidRDefault="009103CC" w:rsidP="002718DF">
            <w:pPr>
              <w:pStyle w:val="Tabletext"/>
              <w:jc w:val="right"/>
            </w:pPr>
            <w:r w:rsidRPr="001814D2">
              <w:t>1,180,307</w:t>
            </w:r>
          </w:p>
        </w:tc>
        <w:tc>
          <w:tcPr>
            <w:tcW w:w="1013" w:type="pct"/>
            <w:tcBorders>
              <w:top w:val="single" w:sz="4" w:space="0" w:color="auto"/>
              <w:bottom w:val="single" w:sz="4" w:space="0" w:color="auto"/>
            </w:tcBorders>
            <w:tcMar>
              <w:top w:w="0" w:type="dxa"/>
              <w:left w:w="0" w:type="dxa"/>
              <w:bottom w:w="0" w:type="dxa"/>
              <w:right w:w="0" w:type="dxa"/>
            </w:tcMar>
          </w:tcPr>
          <w:p w14:paraId="1EF53C9D" w14:textId="77777777" w:rsidR="009103CC" w:rsidRPr="001814D2" w:rsidRDefault="009103CC" w:rsidP="002718DF">
            <w:pPr>
              <w:pStyle w:val="Tabletext"/>
              <w:jc w:val="right"/>
            </w:pPr>
            <w:r w:rsidRPr="001814D2">
              <w:t>2,384,925</w:t>
            </w:r>
          </w:p>
        </w:tc>
      </w:tr>
    </w:tbl>
    <w:p w14:paraId="7813DD61" w14:textId="77777777" w:rsidR="009103CC" w:rsidRDefault="009103CC" w:rsidP="009103CC">
      <w:pPr>
        <w:pStyle w:val="Tabletext"/>
      </w:pPr>
    </w:p>
    <w:tbl>
      <w:tblPr>
        <w:tblW w:w="5000" w:type="pct"/>
        <w:tblCellMar>
          <w:left w:w="0" w:type="dxa"/>
          <w:right w:w="0" w:type="dxa"/>
        </w:tblCellMar>
        <w:tblLook w:val="0000" w:firstRow="0" w:lastRow="0" w:firstColumn="0" w:lastColumn="0" w:noHBand="0" w:noVBand="0"/>
      </w:tblPr>
      <w:tblGrid>
        <w:gridCol w:w="3555"/>
        <w:gridCol w:w="1838"/>
        <w:gridCol w:w="1838"/>
        <w:gridCol w:w="1839"/>
      </w:tblGrid>
      <w:tr w:rsidR="009103CC" w:rsidRPr="003B5FB9" w14:paraId="390B6AAD" w14:textId="77777777" w:rsidTr="002718DF">
        <w:trPr>
          <w:cantSplit/>
          <w:trHeight w:hRule="exact" w:val="553"/>
          <w:tblHeader/>
        </w:trPr>
        <w:tc>
          <w:tcPr>
            <w:tcW w:w="1960" w:type="pct"/>
            <w:tcBorders>
              <w:bottom w:val="single" w:sz="4" w:space="0" w:color="auto"/>
            </w:tcBorders>
            <w:tcMar>
              <w:top w:w="0" w:type="dxa"/>
              <w:left w:w="0" w:type="dxa"/>
              <w:bottom w:w="0" w:type="dxa"/>
              <w:right w:w="0" w:type="dxa"/>
            </w:tcMar>
            <w:vAlign w:val="center"/>
          </w:tcPr>
          <w:p w14:paraId="2D20C973" w14:textId="77777777" w:rsidR="009103CC" w:rsidRPr="003B5FB9" w:rsidRDefault="009103CC" w:rsidP="002718DF">
            <w:pPr>
              <w:pStyle w:val="Tabletext"/>
              <w:rPr>
                <w:b/>
                <w:bCs/>
              </w:rPr>
            </w:pPr>
            <w:r w:rsidRPr="003B5FB9">
              <w:rPr>
                <w:b/>
                <w:bCs/>
              </w:rPr>
              <w:t>Parent entity</w:t>
            </w:r>
          </w:p>
          <w:p w14:paraId="5DDD1A51" w14:textId="77777777" w:rsidR="009103CC" w:rsidRPr="003B5FB9" w:rsidRDefault="009103CC" w:rsidP="002718DF">
            <w:pPr>
              <w:pStyle w:val="Tabletext"/>
              <w:rPr>
                <w:b/>
                <w:bCs/>
              </w:rPr>
            </w:pPr>
          </w:p>
        </w:tc>
        <w:tc>
          <w:tcPr>
            <w:tcW w:w="1013" w:type="pct"/>
            <w:tcBorders>
              <w:bottom w:val="single" w:sz="4" w:space="0" w:color="auto"/>
            </w:tcBorders>
            <w:tcMar>
              <w:top w:w="0" w:type="dxa"/>
              <w:left w:w="0" w:type="dxa"/>
              <w:bottom w:w="0" w:type="dxa"/>
              <w:right w:w="0" w:type="dxa"/>
            </w:tcMar>
          </w:tcPr>
          <w:p w14:paraId="06477197" w14:textId="77777777" w:rsidR="009103CC" w:rsidRPr="003B5FB9" w:rsidRDefault="009103CC" w:rsidP="002718DF">
            <w:pPr>
              <w:pStyle w:val="Tabletext"/>
              <w:jc w:val="right"/>
              <w:rPr>
                <w:b/>
                <w:bCs/>
              </w:rPr>
            </w:pPr>
            <w:r w:rsidRPr="003B5FB9">
              <w:rPr>
                <w:b/>
                <w:bCs/>
              </w:rPr>
              <w:t>Accumulated funds $'000</w:t>
            </w:r>
          </w:p>
          <w:p w14:paraId="7DDD715D" w14:textId="77777777" w:rsidR="009103CC" w:rsidRPr="003B5FB9" w:rsidRDefault="009103CC" w:rsidP="002718DF">
            <w:pPr>
              <w:pStyle w:val="Tabletext"/>
              <w:jc w:val="right"/>
              <w:rPr>
                <w:b/>
                <w:bCs/>
              </w:rPr>
            </w:pPr>
          </w:p>
        </w:tc>
        <w:tc>
          <w:tcPr>
            <w:tcW w:w="1013" w:type="pct"/>
            <w:tcBorders>
              <w:bottom w:val="single" w:sz="4" w:space="0" w:color="auto"/>
            </w:tcBorders>
            <w:tcMar>
              <w:top w:w="0" w:type="dxa"/>
              <w:left w:w="0" w:type="dxa"/>
              <w:bottom w:w="0" w:type="dxa"/>
              <w:right w:w="0" w:type="dxa"/>
            </w:tcMar>
          </w:tcPr>
          <w:p w14:paraId="3352EFE0" w14:textId="77777777" w:rsidR="009103CC" w:rsidRPr="003B5FB9" w:rsidRDefault="009103CC" w:rsidP="002718DF">
            <w:pPr>
              <w:pStyle w:val="Tabletext"/>
              <w:jc w:val="right"/>
              <w:rPr>
                <w:b/>
                <w:bCs/>
              </w:rPr>
            </w:pPr>
            <w:r w:rsidRPr="003B5FB9">
              <w:rPr>
                <w:b/>
                <w:bCs/>
              </w:rPr>
              <w:t>Asset revaluation reserve $'000</w:t>
            </w:r>
          </w:p>
        </w:tc>
        <w:tc>
          <w:tcPr>
            <w:tcW w:w="1014" w:type="pct"/>
            <w:tcBorders>
              <w:bottom w:val="single" w:sz="4" w:space="0" w:color="auto"/>
            </w:tcBorders>
            <w:tcMar>
              <w:top w:w="0" w:type="dxa"/>
              <w:left w:w="0" w:type="dxa"/>
              <w:bottom w:w="0" w:type="dxa"/>
              <w:right w:w="0" w:type="dxa"/>
            </w:tcMar>
          </w:tcPr>
          <w:p w14:paraId="0FC93E38" w14:textId="77777777" w:rsidR="009103CC" w:rsidRPr="003B5FB9" w:rsidRDefault="009103CC" w:rsidP="002718DF">
            <w:pPr>
              <w:pStyle w:val="Tabletext"/>
              <w:jc w:val="right"/>
              <w:rPr>
                <w:b/>
                <w:bCs/>
              </w:rPr>
            </w:pPr>
            <w:r w:rsidRPr="003B5FB9">
              <w:rPr>
                <w:b/>
                <w:bCs/>
              </w:rPr>
              <w:t xml:space="preserve">Total equity </w:t>
            </w:r>
          </w:p>
          <w:p w14:paraId="366495A7" w14:textId="77777777" w:rsidR="009103CC" w:rsidRPr="003B5FB9" w:rsidRDefault="009103CC" w:rsidP="002718DF">
            <w:pPr>
              <w:pStyle w:val="Tabletext"/>
              <w:jc w:val="right"/>
              <w:rPr>
                <w:b/>
                <w:bCs/>
              </w:rPr>
            </w:pPr>
            <w:r w:rsidRPr="003B5FB9">
              <w:rPr>
                <w:b/>
                <w:bCs/>
              </w:rPr>
              <w:t>$'000</w:t>
            </w:r>
          </w:p>
          <w:p w14:paraId="4BCE010F" w14:textId="77777777" w:rsidR="009103CC" w:rsidRPr="003B5FB9" w:rsidRDefault="009103CC" w:rsidP="002718DF">
            <w:pPr>
              <w:pStyle w:val="Tabletext"/>
              <w:jc w:val="right"/>
              <w:rPr>
                <w:b/>
                <w:bCs/>
              </w:rPr>
            </w:pPr>
          </w:p>
        </w:tc>
      </w:tr>
      <w:tr w:rsidR="009103CC" w:rsidRPr="001814D2" w14:paraId="72384D03"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06083A9B" w14:textId="77777777" w:rsidR="009103CC" w:rsidRPr="001814D2" w:rsidRDefault="009103CC" w:rsidP="002718DF">
            <w:pPr>
              <w:pStyle w:val="Tabletext"/>
            </w:pPr>
            <w:r w:rsidRPr="001814D2">
              <w:t>Balance at 1 July 2019</w:t>
            </w:r>
          </w:p>
        </w:tc>
        <w:tc>
          <w:tcPr>
            <w:tcW w:w="1013" w:type="pct"/>
            <w:tcBorders>
              <w:top w:val="single" w:sz="4" w:space="0" w:color="auto"/>
              <w:bottom w:val="single" w:sz="4" w:space="0" w:color="auto"/>
            </w:tcBorders>
            <w:tcMar>
              <w:top w:w="0" w:type="dxa"/>
              <w:left w:w="0" w:type="dxa"/>
              <w:bottom w:w="0" w:type="dxa"/>
              <w:right w:w="0" w:type="dxa"/>
            </w:tcMar>
          </w:tcPr>
          <w:p w14:paraId="04BCF1ED" w14:textId="77777777" w:rsidR="009103CC" w:rsidRPr="001814D2" w:rsidRDefault="009103CC" w:rsidP="002718DF">
            <w:pPr>
              <w:pStyle w:val="Tabletext"/>
              <w:jc w:val="right"/>
            </w:pPr>
            <w:r w:rsidRPr="001814D2">
              <w:t>967,902</w:t>
            </w:r>
          </w:p>
        </w:tc>
        <w:tc>
          <w:tcPr>
            <w:tcW w:w="1013" w:type="pct"/>
            <w:tcBorders>
              <w:top w:val="single" w:sz="4" w:space="0" w:color="auto"/>
              <w:bottom w:val="single" w:sz="4" w:space="0" w:color="auto"/>
            </w:tcBorders>
            <w:tcMar>
              <w:top w:w="0" w:type="dxa"/>
              <w:left w:w="0" w:type="dxa"/>
              <w:bottom w:w="0" w:type="dxa"/>
              <w:right w:w="0" w:type="dxa"/>
            </w:tcMar>
          </w:tcPr>
          <w:p w14:paraId="5F99CB9D" w14:textId="77777777" w:rsidR="009103CC" w:rsidRPr="001814D2" w:rsidRDefault="009103CC" w:rsidP="002718DF">
            <w:pPr>
              <w:pStyle w:val="Tabletext"/>
              <w:jc w:val="right"/>
            </w:pPr>
            <w:r w:rsidRPr="001814D2">
              <w:t>793,169</w:t>
            </w:r>
          </w:p>
        </w:tc>
        <w:tc>
          <w:tcPr>
            <w:tcW w:w="1014" w:type="pct"/>
            <w:tcBorders>
              <w:top w:val="single" w:sz="4" w:space="0" w:color="auto"/>
              <w:bottom w:val="single" w:sz="4" w:space="0" w:color="auto"/>
            </w:tcBorders>
            <w:tcMar>
              <w:top w:w="0" w:type="dxa"/>
              <w:left w:w="0" w:type="dxa"/>
              <w:bottom w:w="0" w:type="dxa"/>
              <w:right w:w="0" w:type="dxa"/>
            </w:tcMar>
          </w:tcPr>
          <w:p w14:paraId="2A2540EB" w14:textId="77777777" w:rsidR="009103CC" w:rsidRPr="001814D2" w:rsidRDefault="009103CC" w:rsidP="002718DF">
            <w:pPr>
              <w:pStyle w:val="Tabletext"/>
              <w:jc w:val="right"/>
            </w:pPr>
            <w:r w:rsidRPr="001814D2">
              <w:t>1,761,071</w:t>
            </w:r>
          </w:p>
        </w:tc>
      </w:tr>
      <w:tr w:rsidR="009103CC" w:rsidRPr="001814D2" w14:paraId="7E573387"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74EF5D87" w14:textId="77777777" w:rsidR="009103CC" w:rsidRPr="001814D2" w:rsidRDefault="009103CC" w:rsidP="002718DF">
            <w:pPr>
              <w:pStyle w:val="Tabletext"/>
            </w:pPr>
            <w:r w:rsidRPr="001814D2">
              <w:t>Net result for the year</w:t>
            </w:r>
          </w:p>
        </w:tc>
        <w:tc>
          <w:tcPr>
            <w:tcW w:w="1013" w:type="pct"/>
            <w:tcBorders>
              <w:top w:val="single" w:sz="4" w:space="0" w:color="auto"/>
              <w:bottom w:val="single" w:sz="4" w:space="0" w:color="auto"/>
            </w:tcBorders>
            <w:tcMar>
              <w:top w:w="0" w:type="dxa"/>
              <w:left w:w="0" w:type="dxa"/>
              <w:bottom w:w="0" w:type="dxa"/>
              <w:right w:w="0" w:type="dxa"/>
            </w:tcMar>
          </w:tcPr>
          <w:p w14:paraId="1DE4048C" w14:textId="77777777" w:rsidR="009103CC" w:rsidRPr="001814D2" w:rsidRDefault="009103CC" w:rsidP="002718DF">
            <w:pPr>
              <w:pStyle w:val="Tabletext"/>
              <w:jc w:val="right"/>
            </w:pPr>
            <w:r w:rsidRPr="001814D2">
              <w:t>80,443</w:t>
            </w:r>
          </w:p>
        </w:tc>
        <w:tc>
          <w:tcPr>
            <w:tcW w:w="1013" w:type="pct"/>
            <w:tcBorders>
              <w:top w:val="single" w:sz="4" w:space="0" w:color="auto"/>
              <w:bottom w:val="single" w:sz="4" w:space="0" w:color="auto"/>
            </w:tcBorders>
            <w:tcMar>
              <w:top w:w="0" w:type="dxa"/>
              <w:left w:w="0" w:type="dxa"/>
              <w:bottom w:w="0" w:type="dxa"/>
              <w:right w:w="0" w:type="dxa"/>
            </w:tcMar>
          </w:tcPr>
          <w:p w14:paraId="4F8F361E" w14:textId="77777777" w:rsidR="009103CC" w:rsidRPr="001814D2" w:rsidRDefault="009103CC" w:rsidP="002718DF">
            <w:pPr>
              <w:pStyle w:val="Tabletext"/>
              <w:jc w:val="right"/>
            </w:pPr>
            <w:r w:rsidRPr="001814D2">
              <w:t>-</w:t>
            </w:r>
          </w:p>
        </w:tc>
        <w:tc>
          <w:tcPr>
            <w:tcW w:w="1014" w:type="pct"/>
            <w:tcBorders>
              <w:top w:val="single" w:sz="4" w:space="0" w:color="auto"/>
              <w:bottom w:val="single" w:sz="4" w:space="0" w:color="auto"/>
            </w:tcBorders>
            <w:tcMar>
              <w:top w:w="0" w:type="dxa"/>
              <w:left w:w="0" w:type="dxa"/>
              <w:bottom w:w="0" w:type="dxa"/>
              <w:right w:w="0" w:type="dxa"/>
            </w:tcMar>
          </w:tcPr>
          <w:p w14:paraId="441BECC6" w14:textId="77777777" w:rsidR="009103CC" w:rsidRPr="001814D2" w:rsidRDefault="009103CC" w:rsidP="002718DF">
            <w:pPr>
              <w:pStyle w:val="Tabletext"/>
              <w:jc w:val="right"/>
            </w:pPr>
            <w:r w:rsidRPr="001814D2">
              <w:t>80,443</w:t>
            </w:r>
          </w:p>
        </w:tc>
      </w:tr>
      <w:tr w:rsidR="009103CC" w:rsidRPr="001814D2" w14:paraId="53B74633"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7260CCCF" w14:textId="77777777" w:rsidR="009103CC" w:rsidRPr="001814D2" w:rsidRDefault="009103CC" w:rsidP="002718DF">
            <w:pPr>
              <w:pStyle w:val="Tabletext"/>
            </w:pPr>
            <w:r w:rsidRPr="001814D2">
              <w:t>Other comprehensive income</w:t>
            </w:r>
          </w:p>
        </w:tc>
        <w:tc>
          <w:tcPr>
            <w:tcW w:w="1013" w:type="pct"/>
            <w:tcBorders>
              <w:top w:val="single" w:sz="4" w:space="0" w:color="auto"/>
              <w:bottom w:val="single" w:sz="4" w:space="0" w:color="auto"/>
            </w:tcBorders>
            <w:tcMar>
              <w:top w:w="0" w:type="dxa"/>
              <w:left w:w="0" w:type="dxa"/>
              <w:bottom w:w="0" w:type="dxa"/>
              <w:right w:w="0" w:type="dxa"/>
            </w:tcMar>
          </w:tcPr>
          <w:p w14:paraId="069E0A54" w14:textId="77777777" w:rsidR="009103CC" w:rsidRPr="001814D2" w:rsidRDefault="009103CC" w:rsidP="002718DF">
            <w:pPr>
              <w:pStyle w:val="Tabletext"/>
              <w:jc w:val="right"/>
              <w:rPr>
                <w:rFonts w:cstheme="minorBidi"/>
                <w:sz w:val="24"/>
                <w:szCs w:val="24"/>
              </w:rPr>
            </w:pPr>
          </w:p>
        </w:tc>
        <w:tc>
          <w:tcPr>
            <w:tcW w:w="1013" w:type="pct"/>
            <w:tcBorders>
              <w:top w:val="single" w:sz="4" w:space="0" w:color="auto"/>
              <w:bottom w:val="single" w:sz="4" w:space="0" w:color="auto"/>
            </w:tcBorders>
            <w:tcMar>
              <w:top w:w="0" w:type="dxa"/>
              <w:left w:w="0" w:type="dxa"/>
              <w:bottom w:w="0" w:type="dxa"/>
              <w:right w:w="0" w:type="dxa"/>
            </w:tcMar>
          </w:tcPr>
          <w:p w14:paraId="77FEE5FE" w14:textId="77777777" w:rsidR="009103CC" w:rsidRPr="001814D2" w:rsidRDefault="009103CC" w:rsidP="002718DF">
            <w:pPr>
              <w:pStyle w:val="Tabletext"/>
              <w:jc w:val="right"/>
              <w:rPr>
                <w:rFonts w:cstheme="minorBidi"/>
                <w:sz w:val="24"/>
                <w:szCs w:val="24"/>
              </w:rPr>
            </w:pPr>
          </w:p>
        </w:tc>
        <w:tc>
          <w:tcPr>
            <w:tcW w:w="1014" w:type="pct"/>
            <w:tcBorders>
              <w:top w:val="single" w:sz="4" w:space="0" w:color="auto"/>
              <w:bottom w:val="single" w:sz="4" w:space="0" w:color="auto"/>
            </w:tcBorders>
            <w:tcMar>
              <w:top w:w="0" w:type="dxa"/>
              <w:left w:w="0" w:type="dxa"/>
              <w:bottom w:w="0" w:type="dxa"/>
              <w:right w:w="0" w:type="dxa"/>
            </w:tcMar>
          </w:tcPr>
          <w:p w14:paraId="08CA4B4C" w14:textId="77777777" w:rsidR="009103CC" w:rsidRPr="001814D2" w:rsidRDefault="009103CC" w:rsidP="002718DF">
            <w:pPr>
              <w:pStyle w:val="Tabletext"/>
              <w:jc w:val="right"/>
              <w:rPr>
                <w:rFonts w:cstheme="minorBidi"/>
                <w:sz w:val="24"/>
                <w:szCs w:val="24"/>
              </w:rPr>
            </w:pPr>
          </w:p>
        </w:tc>
      </w:tr>
      <w:tr w:rsidR="009103CC" w:rsidRPr="001814D2" w14:paraId="25936749"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390CF715" w14:textId="77777777" w:rsidR="009103CC" w:rsidRPr="001814D2" w:rsidRDefault="009103CC" w:rsidP="002718DF">
            <w:pPr>
              <w:pStyle w:val="Tabletext"/>
            </w:pPr>
            <w:r w:rsidRPr="001814D2">
              <w:t>Valuation increment / (decrement)</w:t>
            </w:r>
          </w:p>
        </w:tc>
        <w:tc>
          <w:tcPr>
            <w:tcW w:w="1013" w:type="pct"/>
            <w:tcBorders>
              <w:top w:val="single" w:sz="4" w:space="0" w:color="auto"/>
              <w:bottom w:val="single" w:sz="4" w:space="0" w:color="auto"/>
            </w:tcBorders>
            <w:tcMar>
              <w:top w:w="0" w:type="dxa"/>
              <w:left w:w="0" w:type="dxa"/>
              <w:bottom w:w="0" w:type="dxa"/>
              <w:right w:w="0" w:type="dxa"/>
            </w:tcMar>
          </w:tcPr>
          <w:p w14:paraId="416FB154" w14:textId="77777777" w:rsidR="009103CC" w:rsidRPr="001814D2" w:rsidRDefault="009103CC" w:rsidP="002718DF">
            <w:pPr>
              <w:pStyle w:val="Tabletext"/>
              <w:jc w:val="right"/>
            </w:pPr>
            <w:r w:rsidRPr="001814D2">
              <w:t>-</w:t>
            </w:r>
          </w:p>
        </w:tc>
        <w:tc>
          <w:tcPr>
            <w:tcW w:w="1013" w:type="pct"/>
            <w:tcBorders>
              <w:top w:val="single" w:sz="4" w:space="0" w:color="auto"/>
              <w:bottom w:val="single" w:sz="4" w:space="0" w:color="auto"/>
            </w:tcBorders>
            <w:tcMar>
              <w:top w:w="0" w:type="dxa"/>
              <w:left w:w="0" w:type="dxa"/>
              <w:bottom w:w="0" w:type="dxa"/>
              <w:right w:w="0" w:type="dxa"/>
            </w:tcMar>
          </w:tcPr>
          <w:p w14:paraId="74F2AF0A" w14:textId="77777777" w:rsidR="009103CC" w:rsidRPr="001814D2" w:rsidRDefault="009103CC" w:rsidP="002718DF">
            <w:pPr>
              <w:pStyle w:val="Tabletext"/>
              <w:jc w:val="right"/>
            </w:pPr>
            <w:r w:rsidRPr="001814D2">
              <w:t>385,638</w:t>
            </w:r>
          </w:p>
        </w:tc>
        <w:tc>
          <w:tcPr>
            <w:tcW w:w="1014" w:type="pct"/>
            <w:tcBorders>
              <w:top w:val="single" w:sz="4" w:space="0" w:color="auto"/>
              <w:bottom w:val="single" w:sz="4" w:space="0" w:color="auto"/>
            </w:tcBorders>
            <w:tcMar>
              <w:top w:w="0" w:type="dxa"/>
              <w:left w:w="0" w:type="dxa"/>
              <w:bottom w:w="0" w:type="dxa"/>
              <w:right w:w="0" w:type="dxa"/>
            </w:tcMar>
          </w:tcPr>
          <w:p w14:paraId="1D32166F" w14:textId="77777777" w:rsidR="009103CC" w:rsidRPr="001814D2" w:rsidRDefault="009103CC" w:rsidP="002718DF">
            <w:pPr>
              <w:pStyle w:val="Tabletext"/>
              <w:jc w:val="right"/>
            </w:pPr>
            <w:r w:rsidRPr="001814D2">
              <w:t>385,638</w:t>
            </w:r>
          </w:p>
        </w:tc>
      </w:tr>
      <w:tr w:rsidR="009103CC" w:rsidRPr="001814D2" w14:paraId="627D0976"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22EE0F86" w14:textId="77777777" w:rsidR="009103CC" w:rsidRPr="001814D2" w:rsidRDefault="009103CC" w:rsidP="002718DF">
            <w:pPr>
              <w:pStyle w:val="Tabletext"/>
            </w:pPr>
            <w:r w:rsidRPr="001814D2">
              <w:t>Total other comprehensive income</w:t>
            </w:r>
          </w:p>
        </w:tc>
        <w:tc>
          <w:tcPr>
            <w:tcW w:w="1013" w:type="pct"/>
            <w:tcBorders>
              <w:top w:val="single" w:sz="4" w:space="0" w:color="auto"/>
              <w:bottom w:val="single" w:sz="4" w:space="0" w:color="auto"/>
            </w:tcBorders>
            <w:tcMar>
              <w:top w:w="0" w:type="dxa"/>
              <w:left w:w="0" w:type="dxa"/>
              <w:bottom w:w="0" w:type="dxa"/>
              <w:right w:w="0" w:type="dxa"/>
            </w:tcMar>
          </w:tcPr>
          <w:p w14:paraId="21D63D68" w14:textId="77777777" w:rsidR="009103CC" w:rsidRPr="001814D2" w:rsidRDefault="009103CC" w:rsidP="002718DF">
            <w:pPr>
              <w:pStyle w:val="Tabletext"/>
              <w:jc w:val="right"/>
            </w:pPr>
            <w:r w:rsidRPr="001814D2">
              <w:t>-</w:t>
            </w:r>
          </w:p>
        </w:tc>
        <w:tc>
          <w:tcPr>
            <w:tcW w:w="1013" w:type="pct"/>
            <w:tcBorders>
              <w:top w:val="single" w:sz="4" w:space="0" w:color="auto"/>
              <w:bottom w:val="single" w:sz="4" w:space="0" w:color="auto"/>
            </w:tcBorders>
            <w:tcMar>
              <w:top w:w="0" w:type="dxa"/>
              <w:left w:w="0" w:type="dxa"/>
              <w:bottom w:w="0" w:type="dxa"/>
              <w:right w:w="0" w:type="dxa"/>
            </w:tcMar>
          </w:tcPr>
          <w:p w14:paraId="32FE7B53" w14:textId="77777777" w:rsidR="009103CC" w:rsidRPr="001814D2" w:rsidRDefault="009103CC" w:rsidP="002718DF">
            <w:pPr>
              <w:pStyle w:val="Tabletext"/>
              <w:jc w:val="right"/>
            </w:pPr>
            <w:r w:rsidRPr="001814D2">
              <w:t xml:space="preserve"> 385,638</w:t>
            </w:r>
          </w:p>
        </w:tc>
        <w:tc>
          <w:tcPr>
            <w:tcW w:w="1014" w:type="pct"/>
            <w:tcBorders>
              <w:top w:val="single" w:sz="4" w:space="0" w:color="auto"/>
              <w:bottom w:val="single" w:sz="4" w:space="0" w:color="auto"/>
            </w:tcBorders>
            <w:tcMar>
              <w:top w:w="0" w:type="dxa"/>
              <w:left w:w="0" w:type="dxa"/>
              <w:bottom w:w="0" w:type="dxa"/>
              <w:right w:w="0" w:type="dxa"/>
            </w:tcMar>
          </w:tcPr>
          <w:p w14:paraId="67CDEFFF" w14:textId="77777777" w:rsidR="009103CC" w:rsidRPr="001814D2" w:rsidRDefault="009103CC" w:rsidP="002718DF">
            <w:pPr>
              <w:pStyle w:val="Tabletext"/>
              <w:jc w:val="right"/>
            </w:pPr>
            <w:r w:rsidRPr="001814D2">
              <w:t xml:space="preserve"> 385,638</w:t>
            </w:r>
          </w:p>
        </w:tc>
      </w:tr>
      <w:tr w:rsidR="009103CC" w:rsidRPr="001814D2" w14:paraId="3B7AA684"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71E0EF6C" w14:textId="77777777" w:rsidR="009103CC" w:rsidRPr="001814D2" w:rsidRDefault="009103CC" w:rsidP="002718DF">
            <w:pPr>
              <w:pStyle w:val="Tabletext"/>
            </w:pPr>
            <w:r w:rsidRPr="001814D2">
              <w:t>Total comprehensive income for the year</w:t>
            </w:r>
          </w:p>
        </w:tc>
        <w:tc>
          <w:tcPr>
            <w:tcW w:w="1013" w:type="pct"/>
            <w:tcBorders>
              <w:top w:val="single" w:sz="4" w:space="0" w:color="auto"/>
              <w:bottom w:val="single" w:sz="4" w:space="0" w:color="auto"/>
            </w:tcBorders>
            <w:tcMar>
              <w:top w:w="0" w:type="dxa"/>
              <w:left w:w="0" w:type="dxa"/>
              <w:bottom w:w="0" w:type="dxa"/>
              <w:right w:w="0" w:type="dxa"/>
            </w:tcMar>
          </w:tcPr>
          <w:p w14:paraId="5D4DF03A" w14:textId="77777777" w:rsidR="009103CC" w:rsidRPr="001814D2" w:rsidRDefault="009103CC" w:rsidP="002718DF">
            <w:pPr>
              <w:pStyle w:val="Tabletext"/>
              <w:jc w:val="right"/>
            </w:pPr>
            <w:r w:rsidRPr="001814D2">
              <w:t>80,443</w:t>
            </w:r>
          </w:p>
        </w:tc>
        <w:tc>
          <w:tcPr>
            <w:tcW w:w="1013" w:type="pct"/>
            <w:tcBorders>
              <w:top w:val="single" w:sz="4" w:space="0" w:color="auto"/>
              <w:bottom w:val="single" w:sz="4" w:space="0" w:color="auto"/>
            </w:tcBorders>
            <w:tcMar>
              <w:top w:w="0" w:type="dxa"/>
              <w:left w:w="0" w:type="dxa"/>
              <w:bottom w:w="0" w:type="dxa"/>
              <w:right w:w="0" w:type="dxa"/>
            </w:tcMar>
          </w:tcPr>
          <w:p w14:paraId="1205D3CA" w14:textId="77777777" w:rsidR="009103CC" w:rsidRPr="001814D2" w:rsidRDefault="009103CC" w:rsidP="002718DF">
            <w:pPr>
              <w:pStyle w:val="Tabletext"/>
              <w:jc w:val="right"/>
            </w:pPr>
            <w:r w:rsidRPr="001814D2">
              <w:t>385,638</w:t>
            </w:r>
          </w:p>
        </w:tc>
        <w:tc>
          <w:tcPr>
            <w:tcW w:w="1014" w:type="pct"/>
            <w:tcBorders>
              <w:top w:val="single" w:sz="4" w:space="0" w:color="auto"/>
              <w:bottom w:val="single" w:sz="4" w:space="0" w:color="auto"/>
            </w:tcBorders>
            <w:tcMar>
              <w:top w:w="0" w:type="dxa"/>
              <w:left w:w="0" w:type="dxa"/>
              <w:bottom w:w="0" w:type="dxa"/>
              <w:right w:w="0" w:type="dxa"/>
            </w:tcMar>
          </w:tcPr>
          <w:p w14:paraId="049AA362" w14:textId="77777777" w:rsidR="009103CC" w:rsidRPr="001814D2" w:rsidRDefault="009103CC" w:rsidP="002718DF">
            <w:pPr>
              <w:pStyle w:val="Tabletext"/>
              <w:jc w:val="right"/>
            </w:pPr>
            <w:r w:rsidRPr="001814D2">
              <w:t>466,081</w:t>
            </w:r>
          </w:p>
        </w:tc>
      </w:tr>
      <w:tr w:rsidR="009103CC" w:rsidRPr="001814D2" w14:paraId="253115E2"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6B52ED78" w14:textId="77777777" w:rsidR="009103CC" w:rsidRPr="001814D2" w:rsidRDefault="009103CC" w:rsidP="002718DF">
            <w:pPr>
              <w:pStyle w:val="Tabletext"/>
            </w:pPr>
            <w:r w:rsidRPr="001814D2">
              <w:t>Balance at 30 June 2020</w:t>
            </w:r>
          </w:p>
        </w:tc>
        <w:tc>
          <w:tcPr>
            <w:tcW w:w="1013" w:type="pct"/>
            <w:tcBorders>
              <w:top w:val="single" w:sz="4" w:space="0" w:color="auto"/>
              <w:bottom w:val="single" w:sz="4" w:space="0" w:color="auto"/>
            </w:tcBorders>
            <w:tcMar>
              <w:top w:w="0" w:type="dxa"/>
              <w:left w:w="0" w:type="dxa"/>
              <w:bottom w:w="0" w:type="dxa"/>
              <w:right w:w="0" w:type="dxa"/>
            </w:tcMar>
          </w:tcPr>
          <w:p w14:paraId="676CF46D" w14:textId="77777777" w:rsidR="009103CC" w:rsidRPr="001814D2" w:rsidRDefault="009103CC" w:rsidP="002718DF">
            <w:pPr>
              <w:pStyle w:val="Tabletext"/>
              <w:jc w:val="right"/>
            </w:pPr>
            <w:r w:rsidRPr="001814D2">
              <w:t>1,048,345</w:t>
            </w:r>
          </w:p>
        </w:tc>
        <w:tc>
          <w:tcPr>
            <w:tcW w:w="1013" w:type="pct"/>
            <w:tcBorders>
              <w:top w:val="single" w:sz="4" w:space="0" w:color="auto"/>
              <w:bottom w:val="single" w:sz="4" w:space="0" w:color="auto"/>
            </w:tcBorders>
            <w:tcMar>
              <w:top w:w="0" w:type="dxa"/>
              <w:left w:w="0" w:type="dxa"/>
              <w:bottom w:w="0" w:type="dxa"/>
              <w:right w:w="0" w:type="dxa"/>
            </w:tcMar>
          </w:tcPr>
          <w:p w14:paraId="59E9DFB9" w14:textId="77777777" w:rsidR="009103CC" w:rsidRPr="001814D2" w:rsidRDefault="009103CC" w:rsidP="002718DF">
            <w:pPr>
              <w:pStyle w:val="Tabletext"/>
              <w:jc w:val="right"/>
            </w:pPr>
            <w:r w:rsidRPr="001814D2">
              <w:t>1,178,807</w:t>
            </w:r>
          </w:p>
        </w:tc>
        <w:tc>
          <w:tcPr>
            <w:tcW w:w="1014" w:type="pct"/>
            <w:tcBorders>
              <w:top w:val="single" w:sz="4" w:space="0" w:color="auto"/>
              <w:bottom w:val="single" w:sz="4" w:space="0" w:color="auto"/>
            </w:tcBorders>
            <w:tcMar>
              <w:top w:w="0" w:type="dxa"/>
              <w:left w:w="0" w:type="dxa"/>
              <w:bottom w:w="0" w:type="dxa"/>
              <w:right w:w="0" w:type="dxa"/>
            </w:tcMar>
          </w:tcPr>
          <w:p w14:paraId="7C38AC26" w14:textId="77777777" w:rsidR="009103CC" w:rsidRPr="001814D2" w:rsidRDefault="009103CC" w:rsidP="002718DF">
            <w:pPr>
              <w:pStyle w:val="Tabletext"/>
              <w:jc w:val="right"/>
            </w:pPr>
            <w:r w:rsidRPr="001814D2">
              <w:t>2,227,152</w:t>
            </w:r>
          </w:p>
        </w:tc>
      </w:tr>
      <w:tr w:rsidR="009103CC" w:rsidRPr="001814D2" w14:paraId="2709BFD1"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67213E1D" w14:textId="77777777" w:rsidR="009103CC" w:rsidRPr="001814D2" w:rsidRDefault="009103CC" w:rsidP="002718DF">
            <w:pPr>
              <w:pStyle w:val="Tabletext"/>
              <w:rPr>
                <w:rFonts w:cstheme="minorBidi"/>
                <w:sz w:val="24"/>
                <w:szCs w:val="24"/>
              </w:rPr>
            </w:pPr>
          </w:p>
        </w:tc>
        <w:tc>
          <w:tcPr>
            <w:tcW w:w="1013" w:type="pct"/>
            <w:tcBorders>
              <w:top w:val="single" w:sz="4" w:space="0" w:color="auto"/>
              <w:bottom w:val="single" w:sz="4" w:space="0" w:color="auto"/>
            </w:tcBorders>
            <w:tcMar>
              <w:top w:w="0" w:type="dxa"/>
              <w:left w:w="0" w:type="dxa"/>
              <w:bottom w:w="0" w:type="dxa"/>
              <w:right w:w="0" w:type="dxa"/>
            </w:tcMar>
          </w:tcPr>
          <w:p w14:paraId="0158D587" w14:textId="77777777" w:rsidR="009103CC" w:rsidRPr="001814D2" w:rsidRDefault="009103CC" w:rsidP="002718DF">
            <w:pPr>
              <w:pStyle w:val="Tabletext"/>
              <w:jc w:val="right"/>
              <w:rPr>
                <w:rFonts w:cstheme="minorBidi"/>
                <w:sz w:val="24"/>
                <w:szCs w:val="24"/>
              </w:rPr>
            </w:pPr>
          </w:p>
        </w:tc>
        <w:tc>
          <w:tcPr>
            <w:tcW w:w="1013" w:type="pct"/>
            <w:tcBorders>
              <w:top w:val="single" w:sz="4" w:space="0" w:color="auto"/>
              <w:bottom w:val="single" w:sz="4" w:space="0" w:color="auto"/>
            </w:tcBorders>
            <w:tcMar>
              <w:top w:w="0" w:type="dxa"/>
              <w:left w:w="0" w:type="dxa"/>
              <w:bottom w:w="0" w:type="dxa"/>
              <w:right w:w="0" w:type="dxa"/>
            </w:tcMar>
          </w:tcPr>
          <w:p w14:paraId="48043A3D" w14:textId="77777777" w:rsidR="009103CC" w:rsidRPr="001814D2" w:rsidRDefault="009103CC" w:rsidP="002718DF">
            <w:pPr>
              <w:pStyle w:val="Tabletext"/>
              <w:jc w:val="right"/>
              <w:rPr>
                <w:rFonts w:cstheme="minorBidi"/>
                <w:sz w:val="24"/>
                <w:szCs w:val="24"/>
              </w:rPr>
            </w:pPr>
          </w:p>
        </w:tc>
        <w:tc>
          <w:tcPr>
            <w:tcW w:w="1014" w:type="pct"/>
            <w:tcBorders>
              <w:top w:val="single" w:sz="4" w:space="0" w:color="auto"/>
              <w:bottom w:val="single" w:sz="4" w:space="0" w:color="auto"/>
            </w:tcBorders>
            <w:tcMar>
              <w:top w:w="0" w:type="dxa"/>
              <w:left w:w="0" w:type="dxa"/>
              <w:bottom w:w="0" w:type="dxa"/>
              <w:right w:w="0" w:type="dxa"/>
            </w:tcMar>
          </w:tcPr>
          <w:p w14:paraId="653B17B7" w14:textId="77777777" w:rsidR="009103CC" w:rsidRPr="001814D2" w:rsidRDefault="009103CC" w:rsidP="002718DF">
            <w:pPr>
              <w:pStyle w:val="Tabletext"/>
              <w:jc w:val="right"/>
              <w:rPr>
                <w:rFonts w:cstheme="minorBidi"/>
                <w:sz w:val="24"/>
                <w:szCs w:val="24"/>
              </w:rPr>
            </w:pPr>
          </w:p>
        </w:tc>
      </w:tr>
      <w:tr w:rsidR="009103CC" w:rsidRPr="001814D2" w14:paraId="260EE4D8"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3C1083D3" w14:textId="77777777" w:rsidR="009103CC" w:rsidRPr="001814D2" w:rsidRDefault="009103CC" w:rsidP="002718DF">
            <w:pPr>
              <w:pStyle w:val="Tabletext"/>
            </w:pPr>
            <w:r w:rsidRPr="001814D2">
              <w:t>Balance at 1 July 2020</w:t>
            </w:r>
          </w:p>
        </w:tc>
        <w:tc>
          <w:tcPr>
            <w:tcW w:w="1013" w:type="pct"/>
            <w:tcBorders>
              <w:top w:val="single" w:sz="4" w:space="0" w:color="auto"/>
              <w:bottom w:val="single" w:sz="4" w:space="0" w:color="auto"/>
            </w:tcBorders>
            <w:tcMar>
              <w:top w:w="0" w:type="dxa"/>
              <w:left w:w="0" w:type="dxa"/>
              <w:bottom w:w="0" w:type="dxa"/>
              <w:right w:w="0" w:type="dxa"/>
            </w:tcMar>
          </w:tcPr>
          <w:p w14:paraId="609E19C1" w14:textId="77777777" w:rsidR="009103CC" w:rsidRPr="001814D2" w:rsidRDefault="009103CC" w:rsidP="002718DF">
            <w:pPr>
              <w:pStyle w:val="Tabletext"/>
              <w:jc w:val="right"/>
            </w:pPr>
            <w:r w:rsidRPr="001814D2">
              <w:t>1,048,345</w:t>
            </w:r>
          </w:p>
        </w:tc>
        <w:tc>
          <w:tcPr>
            <w:tcW w:w="1013" w:type="pct"/>
            <w:tcBorders>
              <w:top w:val="single" w:sz="4" w:space="0" w:color="auto"/>
              <w:bottom w:val="single" w:sz="4" w:space="0" w:color="auto"/>
            </w:tcBorders>
            <w:tcMar>
              <w:top w:w="0" w:type="dxa"/>
              <w:left w:w="0" w:type="dxa"/>
              <w:bottom w:w="0" w:type="dxa"/>
              <w:right w:w="0" w:type="dxa"/>
            </w:tcMar>
          </w:tcPr>
          <w:p w14:paraId="2C4EF4BB" w14:textId="77777777" w:rsidR="009103CC" w:rsidRPr="001814D2" w:rsidRDefault="009103CC" w:rsidP="002718DF">
            <w:pPr>
              <w:pStyle w:val="Tabletext"/>
              <w:jc w:val="right"/>
            </w:pPr>
            <w:r w:rsidRPr="001814D2">
              <w:t>1,178,807</w:t>
            </w:r>
          </w:p>
        </w:tc>
        <w:tc>
          <w:tcPr>
            <w:tcW w:w="1014" w:type="pct"/>
            <w:tcBorders>
              <w:top w:val="single" w:sz="4" w:space="0" w:color="auto"/>
              <w:bottom w:val="single" w:sz="4" w:space="0" w:color="auto"/>
            </w:tcBorders>
            <w:tcMar>
              <w:top w:w="0" w:type="dxa"/>
              <w:left w:w="0" w:type="dxa"/>
              <w:bottom w:w="0" w:type="dxa"/>
              <w:right w:w="0" w:type="dxa"/>
            </w:tcMar>
          </w:tcPr>
          <w:p w14:paraId="6C0F67D2" w14:textId="77777777" w:rsidR="009103CC" w:rsidRPr="001814D2" w:rsidRDefault="009103CC" w:rsidP="002718DF">
            <w:pPr>
              <w:pStyle w:val="Tabletext"/>
              <w:jc w:val="right"/>
            </w:pPr>
            <w:r w:rsidRPr="001814D2">
              <w:t>2,227,152</w:t>
            </w:r>
          </w:p>
        </w:tc>
      </w:tr>
      <w:tr w:rsidR="009103CC" w:rsidRPr="001814D2" w14:paraId="43AAA457"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246DE832" w14:textId="77777777" w:rsidR="009103CC" w:rsidRPr="001814D2" w:rsidRDefault="009103CC" w:rsidP="002718DF">
            <w:pPr>
              <w:pStyle w:val="Tabletext"/>
            </w:pPr>
            <w:r w:rsidRPr="001814D2">
              <w:t>Net result for the year</w:t>
            </w:r>
          </w:p>
        </w:tc>
        <w:tc>
          <w:tcPr>
            <w:tcW w:w="1013" w:type="pct"/>
            <w:tcBorders>
              <w:top w:val="single" w:sz="4" w:space="0" w:color="auto"/>
              <w:bottom w:val="single" w:sz="4" w:space="0" w:color="auto"/>
            </w:tcBorders>
            <w:tcMar>
              <w:top w:w="0" w:type="dxa"/>
              <w:left w:w="0" w:type="dxa"/>
              <w:bottom w:w="0" w:type="dxa"/>
              <w:right w:w="0" w:type="dxa"/>
            </w:tcMar>
          </w:tcPr>
          <w:p w14:paraId="277182B5" w14:textId="77777777" w:rsidR="009103CC" w:rsidRPr="001814D2" w:rsidRDefault="009103CC" w:rsidP="002718DF">
            <w:pPr>
              <w:pStyle w:val="Tabletext"/>
              <w:jc w:val="right"/>
            </w:pPr>
            <w:r w:rsidRPr="001814D2">
              <w:t>154,913</w:t>
            </w:r>
          </w:p>
        </w:tc>
        <w:tc>
          <w:tcPr>
            <w:tcW w:w="1013" w:type="pct"/>
            <w:tcBorders>
              <w:top w:val="single" w:sz="4" w:space="0" w:color="auto"/>
              <w:bottom w:val="single" w:sz="4" w:space="0" w:color="auto"/>
            </w:tcBorders>
            <w:tcMar>
              <w:top w:w="0" w:type="dxa"/>
              <w:left w:w="0" w:type="dxa"/>
              <w:bottom w:w="0" w:type="dxa"/>
              <w:right w:w="0" w:type="dxa"/>
            </w:tcMar>
          </w:tcPr>
          <w:p w14:paraId="48B02A9A" w14:textId="77777777" w:rsidR="009103CC" w:rsidRPr="001814D2" w:rsidRDefault="009103CC" w:rsidP="002718DF">
            <w:pPr>
              <w:pStyle w:val="Tabletext"/>
              <w:jc w:val="right"/>
            </w:pPr>
            <w:r w:rsidRPr="001814D2">
              <w:t>-</w:t>
            </w:r>
          </w:p>
        </w:tc>
        <w:tc>
          <w:tcPr>
            <w:tcW w:w="1014" w:type="pct"/>
            <w:tcBorders>
              <w:top w:val="single" w:sz="4" w:space="0" w:color="auto"/>
              <w:bottom w:val="single" w:sz="4" w:space="0" w:color="auto"/>
            </w:tcBorders>
            <w:tcMar>
              <w:top w:w="0" w:type="dxa"/>
              <w:left w:w="0" w:type="dxa"/>
              <w:bottom w:w="0" w:type="dxa"/>
              <w:right w:w="0" w:type="dxa"/>
            </w:tcMar>
          </w:tcPr>
          <w:p w14:paraId="295F2F69" w14:textId="77777777" w:rsidR="009103CC" w:rsidRPr="001814D2" w:rsidRDefault="009103CC" w:rsidP="002718DF">
            <w:pPr>
              <w:pStyle w:val="Tabletext"/>
              <w:jc w:val="right"/>
            </w:pPr>
            <w:r w:rsidRPr="001814D2">
              <w:t>154,913</w:t>
            </w:r>
          </w:p>
        </w:tc>
      </w:tr>
      <w:tr w:rsidR="009103CC" w:rsidRPr="001814D2" w14:paraId="24F7421B"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046F653E" w14:textId="77777777" w:rsidR="009103CC" w:rsidRPr="001814D2" w:rsidRDefault="009103CC" w:rsidP="002718DF">
            <w:pPr>
              <w:pStyle w:val="Tabletext"/>
            </w:pPr>
            <w:r w:rsidRPr="001814D2">
              <w:t>Other comprehensive income</w:t>
            </w:r>
          </w:p>
        </w:tc>
        <w:tc>
          <w:tcPr>
            <w:tcW w:w="1013" w:type="pct"/>
            <w:tcBorders>
              <w:top w:val="single" w:sz="4" w:space="0" w:color="auto"/>
              <w:bottom w:val="single" w:sz="4" w:space="0" w:color="auto"/>
            </w:tcBorders>
            <w:tcMar>
              <w:top w:w="0" w:type="dxa"/>
              <w:left w:w="0" w:type="dxa"/>
              <w:bottom w:w="0" w:type="dxa"/>
              <w:right w:w="0" w:type="dxa"/>
            </w:tcMar>
          </w:tcPr>
          <w:p w14:paraId="408BA183" w14:textId="77777777" w:rsidR="009103CC" w:rsidRPr="001814D2" w:rsidRDefault="009103CC" w:rsidP="002718DF">
            <w:pPr>
              <w:pStyle w:val="Tabletext"/>
              <w:jc w:val="right"/>
              <w:rPr>
                <w:rFonts w:cstheme="minorBidi"/>
                <w:sz w:val="24"/>
                <w:szCs w:val="24"/>
              </w:rPr>
            </w:pPr>
          </w:p>
        </w:tc>
        <w:tc>
          <w:tcPr>
            <w:tcW w:w="1013" w:type="pct"/>
            <w:tcBorders>
              <w:top w:val="single" w:sz="4" w:space="0" w:color="auto"/>
              <w:bottom w:val="single" w:sz="4" w:space="0" w:color="auto"/>
            </w:tcBorders>
            <w:tcMar>
              <w:top w:w="0" w:type="dxa"/>
              <w:left w:w="0" w:type="dxa"/>
              <w:bottom w:w="0" w:type="dxa"/>
              <w:right w:w="0" w:type="dxa"/>
            </w:tcMar>
          </w:tcPr>
          <w:p w14:paraId="47BFFBF3" w14:textId="77777777" w:rsidR="009103CC" w:rsidRPr="001814D2" w:rsidRDefault="009103CC" w:rsidP="002718DF">
            <w:pPr>
              <w:pStyle w:val="Tabletext"/>
              <w:jc w:val="right"/>
              <w:rPr>
                <w:rFonts w:cstheme="minorBidi"/>
                <w:sz w:val="24"/>
                <w:szCs w:val="24"/>
              </w:rPr>
            </w:pPr>
          </w:p>
        </w:tc>
        <w:tc>
          <w:tcPr>
            <w:tcW w:w="1014" w:type="pct"/>
            <w:tcBorders>
              <w:top w:val="single" w:sz="4" w:space="0" w:color="auto"/>
              <w:bottom w:val="single" w:sz="4" w:space="0" w:color="auto"/>
            </w:tcBorders>
            <w:tcMar>
              <w:top w:w="0" w:type="dxa"/>
              <w:left w:w="0" w:type="dxa"/>
              <w:bottom w:w="0" w:type="dxa"/>
              <w:right w:w="0" w:type="dxa"/>
            </w:tcMar>
          </w:tcPr>
          <w:p w14:paraId="2B317F8E" w14:textId="77777777" w:rsidR="009103CC" w:rsidRPr="001814D2" w:rsidRDefault="009103CC" w:rsidP="002718DF">
            <w:pPr>
              <w:pStyle w:val="Tabletext"/>
              <w:jc w:val="right"/>
              <w:rPr>
                <w:rFonts w:cstheme="minorBidi"/>
                <w:sz w:val="24"/>
                <w:szCs w:val="24"/>
              </w:rPr>
            </w:pPr>
          </w:p>
        </w:tc>
      </w:tr>
      <w:tr w:rsidR="009103CC" w:rsidRPr="001814D2" w14:paraId="173A3FD1"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3CAFBF47" w14:textId="77777777" w:rsidR="009103CC" w:rsidRPr="001814D2" w:rsidRDefault="009103CC" w:rsidP="002718DF">
            <w:pPr>
              <w:pStyle w:val="Tabletext"/>
            </w:pPr>
            <w:r w:rsidRPr="001814D2">
              <w:t>Valuation increment / (decrement)</w:t>
            </w:r>
          </w:p>
        </w:tc>
        <w:tc>
          <w:tcPr>
            <w:tcW w:w="1013" w:type="pct"/>
            <w:tcBorders>
              <w:top w:val="single" w:sz="4" w:space="0" w:color="auto"/>
              <w:bottom w:val="single" w:sz="4" w:space="0" w:color="auto"/>
            </w:tcBorders>
            <w:tcMar>
              <w:top w:w="0" w:type="dxa"/>
              <w:left w:w="0" w:type="dxa"/>
              <w:bottom w:w="0" w:type="dxa"/>
              <w:right w:w="0" w:type="dxa"/>
            </w:tcMar>
          </w:tcPr>
          <w:p w14:paraId="3D49ECD9" w14:textId="77777777" w:rsidR="009103CC" w:rsidRPr="001814D2" w:rsidRDefault="009103CC" w:rsidP="002718DF">
            <w:pPr>
              <w:pStyle w:val="Tabletext"/>
              <w:jc w:val="right"/>
            </w:pPr>
            <w:r w:rsidRPr="001814D2">
              <w:t>-</w:t>
            </w:r>
          </w:p>
        </w:tc>
        <w:tc>
          <w:tcPr>
            <w:tcW w:w="1013" w:type="pct"/>
            <w:tcBorders>
              <w:top w:val="single" w:sz="4" w:space="0" w:color="auto"/>
              <w:bottom w:val="single" w:sz="4" w:space="0" w:color="auto"/>
            </w:tcBorders>
            <w:tcMar>
              <w:top w:w="0" w:type="dxa"/>
              <w:left w:w="0" w:type="dxa"/>
              <w:bottom w:w="0" w:type="dxa"/>
              <w:right w:w="0" w:type="dxa"/>
            </w:tcMar>
          </w:tcPr>
          <w:p w14:paraId="58100371" w14:textId="77777777" w:rsidR="009103CC" w:rsidRPr="001814D2" w:rsidRDefault="009103CC" w:rsidP="002718DF">
            <w:pPr>
              <w:pStyle w:val="Tabletext"/>
              <w:jc w:val="right"/>
            </w:pPr>
            <w:r w:rsidRPr="001814D2">
              <w:t>1,500</w:t>
            </w:r>
          </w:p>
        </w:tc>
        <w:tc>
          <w:tcPr>
            <w:tcW w:w="1014" w:type="pct"/>
            <w:tcBorders>
              <w:top w:val="single" w:sz="4" w:space="0" w:color="auto"/>
              <w:bottom w:val="single" w:sz="4" w:space="0" w:color="auto"/>
            </w:tcBorders>
            <w:tcMar>
              <w:top w:w="0" w:type="dxa"/>
              <w:left w:w="0" w:type="dxa"/>
              <w:bottom w:w="0" w:type="dxa"/>
              <w:right w:w="0" w:type="dxa"/>
            </w:tcMar>
          </w:tcPr>
          <w:p w14:paraId="7960F23E" w14:textId="77777777" w:rsidR="009103CC" w:rsidRPr="001814D2" w:rsidRDefault="009103CC" w:rsidP="002718DF">
            <w:pPr>
              <w:pStyle w:val="Tabletext"/>
              <w:jc w:val="right"/>
            </w:pPr>
            <w:r w:rsidRPr="001814D2">
              <w:t>1,500</w:t>
            </w:r>
          </w:p>
        </w:tc>
      </w:tr>
      <w:tr w:rsidR="009103CC" w:rsidRPr="001814D2" w14:paraId="0F22E2BA"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30AF022E" w14:textId="77777777" w:rsidR="009103CC" w:rsidRPr="001814D2" w:rsidRDefault="009103CC" w:rsidP="002718DF">
            <w:pPr>
              <w:pStyle w:val="Tabletext"/>
            </w:pPr>
            <w:r w:rsidRPr="001814D2">
              <w:t>Total other comprehensive income</w:t>
            </w:r>
          </w:p>
        </w:tc>
        <w:tc>
          <w:tcPr>
            <w:tcW w:w="1013" w:type="pct"/>
            <w:tcBorders>
              <w:top w:val="single" w:sz="4" w:space="0" w:color="auto"/>
              <w:bottom w:val="single" w:sz="4" w:space="0" w:color="auto"/>
            </w:tcBorders>
            <w:tcMar>
              <w:top w:w="0" w:type="dxa"/>
              <w:left w:w="0" w:type="dxa"/>
              <w:bottom w:w="0" w:type="dxa"/>
              <w:right w:w="0" w:type="dxa"/>
            </w:tcMar>
          </w:tcPr>
          <w:p w14:paraId="44F35C9A" w14:textId="77777777" w:rsidR="009103CC" w:rsidRPr="001814D2" w:rsidRDefault="009103CC" w:rsidP="002718DF">
            <w:pPr>
              <w:pStyle w:val="Tabletext"/>
              <w:jc w:val="right"/>
            </w:pPr>
            <w:r w:rsidRPr="001814D2">
              <w:t>-</w:t>
            </w:r>
          </w:p>
        </w:tc>
        <w:tc>
          <w:tcPr>
            <w:tcW w:w="1013" w:type="pct"/>
            <w:tcBorders>
              <w:top w:val="single" w:sz="4" w:space="0" w:color="auto"/>
              <w:bottom w:val="single" w:sz="4" w:space="0" w:color="auto"/>
            </w:tcBorders>
            <w:tcMar>
              <w:top w:w="0" w:type="dxa"/>
              <w:left w:w="0" w:type="dxa"/>
              <w:bottom w:w="0" w:type="dxa"/>
              <w:right w:w="0" w:type="dxa"/>
            </w:tcMar>
          </w:tcPr>
          <w:p w14:paraId="47345B22" w14:textId="77777777" w:rsidR="009103CC" w:rsidRPr="001814D2" w:rsidRDefault="009103CC" w:rsidP="002718DF">
            <w:pPr>
              <w:pStyle w:val="Tabletext"/>
              <w:jc w:val="right"/>
            </w:pPr>
            <w:r w:rsidRPr="001814D2">
              <w:t>1,500</w:t>
            </w:r>
          </w:p>
        </w:tc>
        <w:tc>
          <w:tcPr>
            <w:tcW w:w="1014" w:type="pct"/>
            <w:tcBorders>
              <w:top w:val="single" w:sz="4" w:space="0" w:color="auto"/>
              <w:bottom w:val="single" w:sz="4" w:space="0" w:color="auto"/>
            </w:tcBorders>
            <w:tcMar>
              <w:top w:w="0" w:type="dxa"/>
              <w:left w:w="0" w:type="dxa"/>
              <w:bottom w:w="0" w:type="dxa"/>
              <w:right w:w="0" w:type="dxa"/>
            </w:tcMar>
          </w:tcPr>
          <w:p w14:paraId="3E99035D" w14:textId="77777777" w:rsidR="009103CC" w:rsidRPr="001814D2" w:rsidRDefault="009103CC" w:rsidP="002718DF">
            <w:pPr>
              <w:pStyle w:val="Tabletext"/>
              <w:jc w:val="right"/>
            </w:pPr>
            <w:r w:rsidRPr="001814D2">
              <w:t>1,500</w:t>
            </w:r>
          </w:p>
        </w:tc>
      </w:tr>
      <w:tr w:rsidR="009103CC" w:rsidRPr="001814D2" w14:paraId="358ABA83"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4860A82D" w14:textId="77777777" w:rsidR="009103CC" w:rsidRPr="001814D2" w:rsidRDefault="009103CC" w:rsidP="002718DF">
            <w:pPr>
              <w:pStyle w:val="Tabletext"/>
            </w:pPr>
            <w:r w:rsidRPr="001814D2">
              <w:t>Total comprehensive income for the year</w:t>
            </w:r>
          </w:p>
        </w:tc>
        <w:tc>
          <w:tcPr>
            <w:tcW w:w="1013" w:type="pct"/>
            <w:tcBorders>
              <w:top w:val="single" w:sz="4" w:space="0" w:color="auto"/>
              <w:bottom w:val="single" w:sz="4" w:space="0" w:color="auto"/>
            </w:tcBorders>
            <w:tcMar>
              <w:top w:w="0" w:type="dxa"/>
              <w:left w:w="0" w:type="dxa"/>
              <w:bottom w:w="0" w:type="dxa"/>
              <w:right w:w="0" w:type="dxa"/>
            </w:tcMar>
          </w:tcPr>
          <w:p w14:paraId="3F209F70" w14:textId="77777777" w:rsidR="009103CC" w:rsidRPr="001814D2" w:rsidRDefault="009103CC" w:rsidP="002718DF">
            <w:pPr>
              <w:pStyle w:val="Tabletext"/>
              <w:jc w:val="right"/>
            </w:pPr>
            <w:r w:rsidRPr="001814D2">
              <w:t>154,913</w:t>
            </w:r>
          </w:p>
        </w:tc>
        <w:tc>
          <w:tcPr>
            <w:tcW w:w="1013" w:type="pct"/>
            <w:tcBorders>
              <w:top w:val="single" w:sz="4" w:space="0" w:color="auto"/>
              <w:bottom w:val="single" w:sz="4" w:space="0" w:color="auto"/>
            </w:tcBorders>
            <w:tcMar>
              <w:top w:w="0" w:type="dxa"/>
              <w:left w:w="0" w:type="dxa"/>
              <w:bottom w:w="0" w:type="dxa"/>
              <w:right w:w="0" w:type="dxa"/>
            </w:tcMar>
          </w:tcPr>
          <w:p w14:paraId="61916467" w14:textId="77777777" w:rsidR="009103CC" w:rsidRPr="001814D2" w:rsidRDefault="009103CC" w:rsidP="002718DF">
            <w:pPr>
              <w:pStyle w:val="Tabletext"/>
              <w:jc w:val="right"/>
            </w:pPr>
            <w:r w:rsidRPr="001814D2">
              <w:t>1,500</w:t>
            </w:r>
          </w:p>
        </w:tc>
        <w:tc>
          <w:tcPr>
            <w:tcW w:w="1014" w:type="pct"/>
            <w:tcBorders>
              <w:top w:val="single" w:sz="4" w:space="0" w:color="auto"/>
              <w:bottom w:val="single" w:sz="4" w:space="0" w:color="auto"/>
            </w:tcBorders>
            <w:tcMar>
              <w:top w:w="0" w:type="dxa"/>
              <w:left w:w="0" w:type="dxa"/>
              <w:bottom w:w="0" w:type="dxa"/>
              <w:right w:w="0" w:type="dxa"/>
            </w:tcMar>
          </w:tcPr>
          <w:p w14:paraId="21C59FA8" w14:textId="77777777" w:rsidR="009103CC" w:rsidRPr="001814D2" w:rsidRDefault="009103CC" w:rsidP="002718DF">
            <w:pPr>
              <w:pStyle w:val="Tabletext"/>
              <w:jc w:val="right"/>
            </w:pPr>
            <w:r w:rsidRPr="001814D2">
              <w:t>156,413</w:t>
            </w:r>
          </w:p>
        </w:tc>
      </w:tr>
      <w:tr w:rsidR="009103CC" w:rsidRPr="001814D2" w14:paraId="35C71422" w14:textId="77777777" w:rsidTr="002718DF">
        <w:trPr>
          <w:cantSplit/>
          <w:trHeight w:hRule="exact" w:val="332"/>
        </w:trPr>
        <w:tc>
          <w:tcPr>
            <w:tcW w:w="1960" w:type="pct"/>
            <w:tcBorders>
              <w:top w:val="single" w:sz="4" w:space="0" w:color="auto"/>
              <w:bottom w:val="single" w:sz="4" w:space="0" w:color="auto"/>
            </w:tcBorders>
            <w:tcMar>
              <w:top w:w="0" w:type="dxa"/>
              <w:left w:w="0" w:type="dxa"/>
              <w:bottom w:w="0" w:type="dxa"/>
              <w:right w:w="0" w:type="dxa"/>
            </w:tcMar>
            <w:vAlign w:val="center"/>
          </w:tcPr>
          <w:p w14:paraId="2621FC32" w14:textId="77777777" w:rsidR="009103CC" w:rsidRPr="001814D2" w:rsidRDefault="009103CC" w:rsidP="002718DF">
            <w:pPr>
              <w:pStyle w:val="Tabletext"/>
            </w:pPr>
            <w:r w:rsidRPr="001814D2">
              <w:t>Balance at 30 June 2021</w:t>
            </w:r>
          </w:p>
        </w:tc>
        <w:tc>
          <w:tcPr>
            <w:tcW w:w="1013" w:type="pct"/>
            <w:tcBorders>
              <w:top w:val="single" w:sz="4" w:space="0" w:color="auto"/>
              <w:bottom w:val="single" w:sz="4" w:space="0" w:color="auto"/>
            </w:tcBorders>
            <w:tcMar>
              <w:top w:w="0" w:type="dxa"/>
              <w:left w:w="0" w:type="dxa"/>
              <w:bottom w:w="0" w:type="dxa"/>
              <w:right w:w="0" w:type="dxa"/>
            </w:tcMar>
          </w:tcPr>
          <w:p w14:paraId="00D4E462" w14:textId="77777777" w:rsidR="009103CC" w:rsidRPr="001814D2" w:rsidRDefault="009103CC" w:rsidP="002718DF">
            <w:pPr>
              <w:pStyle w:val="Tabletext"/>
              <w:jc w:val="right"/>
            </w:pPr>
            <w:r w:rsidRPr="001814D2">
              <w:t>1,203,258</w:t>
            </w:r>
          </w:p>
        </w:tc>
        <w:tc>
          <w:tcPr>
            <w:tcW w:w="1013" w:type="pct"/>
            <w:tcBorders>
              <w:top w:val="single" w:sz="4" w:space="0" w:color="auto"/>
              <w:bottom w:val="single" w:sz="4" w:space="0" w:color="auto"/>
            </w:tcBorders>
            <w:tcMar>
              <w:top w:w="0" w:type="dxa"/>
              <w:left w:w="0" w:type="dxa"/>
              <w:bottom w:w="0" w:type="dxa"/>
              <w:right w:w="0" w:type="dxa"/>
            </w:tcMar>
          </w:tcPr>
          <w:p w14:paraId="024A2B65" w14:textId="77777777" w:rsidR="009103CC" w:rsidRPr="001814D2" w:rsidRDefault="009103CC" w:rsidP="002718DF">
            <w:pPr>
              <w:pStyle w:val="Tabletext"/>
              <w:jc w:val="right"/>
            </w:pPr>
            <w:r w:rsidRPr="001814D2">
              <w:t>1,180,307</w:t>
            </w:r>
          </w:p>
        </w:tc>
        <w:tc>
          <w:tcPr>
            <w:tcW w:w="1014" w:type="pct"/>
            <w:tcBorders>
              <w:top w:val="single" w:sz="4" w:space="0" w:color="auto"/>
              <w:bottom w:val="single" w:sz="4" w:space="0" w:color="auto"/>
            </w:tcBorders>
            <w:tcMar>
              <w:top w:w="0" w:type="dxa"/>
              <w:left w:w="0" w:type="dxa"/>
              <w:bottom w:w="0" w:type="dxa"/>
              <w:right w:w="0" w:type="dxa"/>
            </w:tcMar>
          </w:tcPr>
          <w:p w14:paraId="726F601C" w14:textId="77777777" w:rsidR="009103CC" w:rsidRPr="001814D2" w:rsidRDefault="009103CC" w:rsidP="002718DF">
            <w:pPr>
              <w:pStyle w:val="Tabletext"/>
              <w:jc w:val="right"/>
            </w:pPr>
            <w:r w:rsidRPr="001814D2">
              <w:t>2,383,565</w:t>
            </w:r>
          </w:p>
        </w:tc>
      </w:tr>
    </w:tbl>
    <w:p w14:paraId="315C348B" w14:textId="77777777" w:rsidR="009103CC" w:rsidRPr="00845C08" w:rsidRDefault="009103CC" w:rsidP="009103CC">
      <w:pPr>
        <w:pStyle w:val="Tabletext"/>
      </w:pPr>
      <w:r w:rsidRPr="00845C08">
        <w:t>The statement of changes in funds is to be read in conjunction with the attached notes</w:t>
      </w:r>
    </w:p>
    <w:p w14:paraId="39588A52" w14:textId="77777777" w:rsidR="009103CC" w:rsidRPr="00933FC4" w:rsidRDefault="009103CC" w:rsidP="009103CC">
      <w:pPr>
        <w:pStyle w:val="ARbody"/>
      </w:pPr>
      <w:r w:rsidRPr="00933FC4">
        <w:br w:type="page"/>
      </w:r>
    </w:p>
    <w:p w14:paraId="14BF2CC1" w14:textId="77777777" w:rsidR="009103CC" w:rsidRPr="001814D2" w:rsidRDefault="009103CC" w:rsidP="009103CC">
      <w:pPr>
        <w:pStyle w:val="ARheading3"/>
      </w:pPr>
      <w:r w:rsidRPr="001814D2">
        <w:t xml:space="preserve">Statement of cash flows </w:t>
      </w:r>
      <w:r>
        <w:br/>
      </w:r>
      <w:r w:rsidRPr="001814D2">
        <w:t>For the year ended 30 June 2021</w:t>
      </w:r>
    </w:p>
    <w:tbl>
      <w:tblPr>
        <w:tblW w:w="5000" w:type="pct"/>
        <w:tblCellMar>
          <w:left w:w="0" w:type="dxa"/>
          <w:right w:w="0" w:type="dxa"/>
        </w:tblCellMar>
        <w:tblLook w:val="0000" w:firstRow="0" w:lastRow="0" w:firstColumn="0" w:lastColumn="0" w:noHBand="0" w:noVBand="0"/>
        <w:tblCaption w:val="Statement of cash flows for the year ended 30 June 2021"/>
        <w:tblDescription w:val="This table provides figures for 2020 and 2021 for both the consolidated entity and parent entity, and includes the 2021 annual budget. It includes cash flows from operating activities and from investing activities, among other items."/>
      </w:tblPr>
      <w:tblGrid>
        <w:gridCol w:w="2562"/>
        <w:gridCol w:w="684"/>
        <w:gridCol w:w="1032"/>
        <w:gridCol w:w="1032"/>
        <w:gridCol w:w="1696"/>
        <w:gridCol w:w="1032"/>
        <w:gridCol w:w="1032"/>
      </w:tblGrid>
      <w:tr w:rsidR="009103CC" w:rsidRPr="0084002D" w14:paraId="5960E21E" w14:textId="77777777" w:rsidTr="002718DF">
        <w:trPr>
          <w:cantSplit/>
          <w:trHeight w:hRule="exact" w:val="332"/>
          <w:tblHeader/>
        </w:trPr>
        <w:tc>
          <w:tcPr>
            <w:tcW w:w="1412" w:type="pct"/>
            <w:tcBorders>
              <w:bottom w:val="single" w:sz="4" w:space="0" w:color="auto"/>
            </w:tcBorders>
            <w:tcMar>
              <w:top w:w="0" w:type="dxa"/>
              <w:left w:w="0" w:type="dxa"/>
              <w:bottom w:w="0" w:type="dxa"/>
              <w:right w:w="0" w:type="dxa"/>
            </w:tcMar>
            <w:vAlign w:val="center"/>
          </w:tcPr>
          <w:p w14:paraId="0524AE1A" w14:textId="77777777" w:rsidR="009103CC" w:rsidRPr="0084002D" w:rsidRDefault="009103CC" w:rsidP="002718DF">
            <w:pPr>
              <w:pStyle w:val="Tabletext"/>
              <w:jc w:val="center"/>
              <w:rPr>
                <w:b/>
                <w:bCs/>
              </w:rPr>
            </w:pPr>
          </w:p>
        </w:tc>
        <w:tc>
          <w:tcPr>
            <w:tcW w:w="377" w:type="pct"/>
            <w:tcBorders>
              <w:bottom w:val="single" w:sz="4" w:space="0" w:color="auto"/>
            </w:tcBorders>
            <w:tcMar>
              <w:top w:w="0" w:type="dxa"/>
              <w:left w:w="0" w:type="dxa"/>
              <w:bottom w:w="0" w:type="dxa"/>
              <w:right w:w="0" w:type="dxa"/>
            </w:tcMar>
            <w:vAlign w:val="center"/>
          </w:tcPr>
          <w:p w14:paraId="6B37C195" w14:textId="77777777" w:rsidR="009103CC" w:rsidRPr="0084002D" w:rsidRDefault="009103CC" w:rsidP="002718DF">
            <w:pPr>
              <w:pStyle w:val="Tabletext"/>
              <w:jc w:val="center"/>
              <w:rPr>
                <w:b/>
                <w:bCs/>
              </w:rPr>
            </w:pPr>
          </w:p>
        </w:tc>
        <w:tc>
          <w:tcPr>
            <w:tcW w:w="2073" w:type="pct"/>
            <w:gridSpan w:val="3"/>
            <w:tcBorders>
              <w:bottom w:val="single" w:sz="4" w:space="0" w:color="auto"/>
            </w:tcBorders>
            <w:tcMar>
              <w:top w:w="0" w:type="dxa"/>
              <w:left w:w="0" w:type="dxa"/>
              <w:bottom w:w="0" w:type="dxa"/>
              <w:right w:w="0" w:type="dxa"/>
            </w:tcMar>
            <w:vAlign w:val="center"/>
          </w:tcPr>
          <w:p w14:paraId="550A5C6D" w14:textId="77777777" w:rsidR="009103CC" w:rsidRPr="0084002D" w:rsidRDefault="009103CC" w:rsidP="002718DF">
            <w:pPr>
              <w:pStyle w:val="Tabletext"/>
              <w:jc w:val="center"/>
              <w:rPr>
                <w:rFonts w:cs="Preston"/>
                <w:b/>
                <w:bCs/>
                <w:szCs w:val="18"/>
              </w:rPr>
            </w:pPr>
            <w:r w:rsidRPr="0084002D">
              <w:rPr>
                <w:rFonts w:cs="Preston"/>
                <w:b/>
                <w:bCs/>
                <w:szCs w:val="18"/>
              </w:rPr>
              <w:t>Consolidated entity</w:t>
            </w:r>
          </w:p>
        </w:tc>
        <w:tc>
          <w:tcPr>
            <w:tcW w:w="1138" w:type="pct"/>
            <w:gridSpan w:val="2"/>
            <w:tcBorders>
              <w:bottom w:val="single" w:sz="4" w:space="0" w:color="auto"/>
            </w:tcBorders>
            <w:tcMar>
              <w:top w:w="0" w:type="dxa"/>
              <w:left w:w="0" w:type="dxa"/>
              <w:bottom w:w="0" w:type="dxa"/>
              <w:right w:w="0" w:type="dxa"/>
            </w:tcMar>
            <w:vAlign w:val="center"/>
          </w:tcPr>
          <w:p w14:paraId="09889FA3" w14:textId="77777777" w:rsidR="009103CC" w:rsidRPr="0084002D" w:rsidRDefault="009103CC" w:rsidP="002718DF">
            <w:pPr>
              <w:pStyle w:val="Tabletext"/>
              <w:jc w:val="center"/>
              <w:rPr>
                <w:rFonts w:cs="Preston"/>
                <w:b/>
                <w:bCs/>
                <w:szCs w:val="18"/>
              </w:rPr>
            </w:pPr>
            <w:r w:rsidRPr="0084002D">
              <w:rPr>
                <w:rFonts w:cs="Preston"/>
                <w:b/>
                <w:bCs/>
                <w:szCs w:val="18"/>
              </w:rPr>
              <w:t>Parent entity</w:t>
            </w:r>
          </w:p>
        </w:tc>
      </w:tr>
      <w:tr w:rsidR="009103CC" w:rsidRPr="0084002D" w14:paraId="7A6FBEE6" w14:textId="77777777" w:rsidTr="002718DF">
        <w:trPr>
          <w:cantSplit/>
          <w:trHeight w:hRule="exact" w:val="553"/>
          <w:tblHeader/>
        </w:trPr>
        <w:tc>
          <w:tcPr>
            <w:tcW w:w="1412" w:type="pct"/>
            <w:tcBorders>
              <w:top w:val="single" w:sz="4" w:space="0" w:color="auto"/>
              <w:bottom w:val="single" w:sz="4" w:space="0" w:color="auto"/>
            </w:tcBorders>
            <w:tcMar>
              <w:top w:w="0" w:type="dxa"/>
              <w:left w:w="0" w:type="dxa"/>
              <w:bottom w:w="0" w:type="dxa"/>
              <w:right w:w="0" w:type="dxa"/>
            </w:tcMar>
            <w:vAlign w:val="center"/>
          </w:tcPr>
          <w:p w14:paraId="74CF71B0" w14:textId="77777777" w:rsidR="009103CC" w:rsidRPr="0084002D" w:rsidRDefault="009103CC" w:rsidP="002718DF">
            <w:pPr>
              <w:pStyle w:val="Tabletext"/>
              <w:rPr>
                <w:b/>
                <w:bCs/>
              </w:rPr>
            </w:pPr>
          </w:p>
          <w:p w14:paraId="55495024" w14:textId="77777777" w:rsidR="009103CC" w:rsidRPr="0084002D" w:rsidRDefault="009103CC" w:rsidP="002718DF">
            <w:pPr>
              <w:pStyle w:val="Tabletext"/>
              <w:rPr>
                <w:b/>
                <w:bCs/>
              </w:rPr>
            </w:pPr>
          </w:p>
        </w:tc>
        <w:tc>
          <w:tcPr>
            <w:tcW w:w="377" w:type="pct"/>
            <w:tcBorders>
              <w:top w:val="single" w:sz="4" w:space="0" w:color="auto"/>
              <w:bottom w:val="single" w:sz="4" w:space="0" w:color="auto"/>
            </w:tcBorders>
            <w:tcMar>
              <w:top w:w="0" w:type="dxa"/>
              <w:left w:w="0" w:type="dxa"/>
              <w:bottom w:w="0" w:type="dxa"/>
              <w:right w:w="0" w:type="dxa"/>
            </w:tcMar>
            <w:vAlign w:val="center"/>
          </w:tcPr>
          <w:p w14:paraId="789461CC" w14:textId="77777777" w:rsidR="009103CC" w:rsidRPr="0084002D" w:rsidRDefault="009103CC" w:rsidP="002718DF">
            <w:pPr>
              <w:pStyle w:val="Tabletext"/>
              <w:rPr>
                <w:b/>
                <w:bCs/>
              </w:rPr>
            </w:pPr>
            <w:r w:rsidRPr="0084002D">
              <w:rPr>
                <w:b/>
                <w:bCs/>
              </w:rPr>
              <w:t>Notes</w:t>
            </w:r>
          </w:p>
          <w:p w14:paraId="6F78BE73" w14:textId="77777777" w:rsidR="009103CC" w:rsidRPr="0084002D" w:rsidRDefault="009103CC" w:rsidP="002718DF">
            <w:pPr>
              <w:pStyle w:val="Tabletext"/>
              <w:rPr>
                <w:b/>
                <w:bCs/>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062F3EFD" w14:textId="77777777" w:rsidR="009103CC" w:rsidRPr="0084002D" w:rsidRDefault="009103CC" w:rsidP="002718DF">
            <w:pPr>
              <w:pStyle w:val="Tabletext"/>
              <w:jc w:val="right"/>
              <w:rPr>
                <w:b/>
                <w:bCs/>
              </w:rPr>
            </w:pPr>
            <w:r w:rsidRPr="0084002D">
              <w:rPr>
                <w:b/>
                <w:bCs/>
              </w:rPr>
              <w:t>2021</w:t>
            </w:r>
          </w:p>
          <w:p w14:paraId="5D90111A" w14:textId="77777777" w:rsidR="009103CC" w:rsidRPr="0084002D" w:rsidRDefault="009103CC" w:rsidP="002718DF">
            <w:pPr>
              <w:pStyle w:val="Tabletext"/>
              <w:jc w:val="right"/>
              <w:rPr>
                <w:b/>
                <w:bCs/>
              </w:rPr>
            </w:pPr>
            <w:r w:rsidRPr="0084002D">
              <w:rPr>
                <w:b/>
                <w:bCs/>
              </w:rPr>
              <w:t>$'000</w:t>
            </w:r>
          </w:p>
        </w:tc>
        <w:tc>
          <w:tcPr>
            <w:tcW w:w="569" w:type="pct"/>
            <w:tcBorders>
              <w:top w:val="single" w:sz="4" w:space="0" w:color="auto"/>
              <w:bottom w:val="single" w:sz="4" w:space="0" w:color="auto"/>
            </w:tcBorders>
            <w:tcMar>
              <w:top w:w="0" w:type="dxa"/>
              <w:left w:w="0" w:type="dxa"/>
              <w:bottom w:w="0" w:type="dxa"/>
              <w:right w:w="0" w:type="dxa"/>
            </w:tcMar>
            <w:vAlign w:val="center"/>
          </w:tcPr>
          <w:p w14:paraId="7AECFE30" w14:textId="77777777" w:rsidR="009103CC" w:rsidRPr="0084002D" w:rsidRDefault="009103CC" w:rsidP="002718DF">
            <w:pPr>
              <w:pStyle w:val="Tabletext"/>
              <w:jc w:val="right"/>
              <w:rPr>
                <w:b/>
                <w:bCs/>
              </w:rPr>
            </w:pPr>
            <w:r w:rsidRPr="0084002D">
              <w:rPr>
                <w:b/>
                <w:bCs/>
              </w:rPr>
              <w:t>2020</w:t>
            </w:r>
          </w:p>
          <w:p w14:paraId="70E07F48" w14:textId="77777777" w:rsidR="009103CC" w:rsidRPr="0084002D" w:rsidRDefault="009103CC" w:rsidP="002718DF">
            <w:pPr>
              <w:pStyle w:val="Tabletext"/>
              <w:jc w:val="right"/>
              <w:rPr>
                <w:b/>
                <w:bCs/>
              </w:rPr>
            </w:pPr>
            <w:r w:rsidRPr="0084002D">
              <w:rPr>
                <w:b/>
                <w:bCs/>
              </w:rPr>
              <w:t>$'000</w:t>
            </w:r>
          </w:p>
        </w:tc>
        <w:tc>
          <w:tcPr>
            <w:tcW w:w="935" w:type="pct"/>
            <w:tcBorders>
              <w:top w:val="single" w:sz="4" w:space="0" w:color="auto"/>
              <w:bottom w:val="single" w:sz="4" w:space="0" w:color="auto"/>
            </w:tcBorders>
            <w:tcMar>
              <w:top w:w="0" w:type="dxa"/>
              <w:left w:w="0" w:type="dxa"/>
              <w:bottom w:w="0" w:type="dxa"/>
              <w:right w:w="0" w:type="dxa"/>
            </w:tcMar>
            <w:vAlign w:val="center"/>
          </w:tcPr>
          <w:p w14:paraId="6F7FD322" w14:textId="77777777" w:rsidR="009103CC" w:rsidRPr="0084002D" w:rsidRDefault="009103CC" w:rsidP="002718DF">
            <w:pPr>
              <w:pStyle w:val="Tabletext"/>
              <w:jc w:val="right"/>
              <w:rPr>
                <w:b/>
                <w:bCs/>
              </w:rPr>
            </w:pPr>
            <w:r w:rsidRPr="0084002D">
              <w:rPr>
                <w:b/>
                <w:bCs/>
              </w:rPr>
              <w:t>Annual budget</w:t>
            </w:r>
          </w:p>
          <w:p w14:paraId="15D3A170" w14:textId="77777777" w:rsidR="009103CC" w:rsidRPr="0084002D" w:rsidRDefault="009103CC" w:rsidP="002718DF">
            <w:pPr>
              <w:pStyle w:val="Tabletext"/>
              <w:jc w:val="right"/>
              <w:rPr>
                <w:b/>
                <w:bCs/>
              </w:rPr>
            </w:pPr>
            <w:r w:rsidRPr="0084002D">
              <w:rPr>
                <w:b/>
                <w:bCs/>
              </w:rPr>
              <w:t>2021 $'000</w:t>
            </w:r>
          </w:p>
        </w:tc>
        <w:tc>
          <w:tcPr>
            <w:tcW w:w="569" w:type="pct"/>
            <w:tcBorders>
              <w:top w:val="single" w:sz="4" w:space="0" w:color="auto"/>
              <w:bottom w:val="single" w:sz="4" w:space="0" w:color="auto"/>
            </w:tcBorders>
            <w:tcMar>
              <w:top w:w="0" w:type="dxa"/>
              <w:left w:w="0" w:type="dxa"/>
              <w:bottom w:w="0" w:type="dxa"/>
              <w:right w:w="0" w:type="dxa"/>
            </w:tcMar>
            <w:vAlign w:val="center"/>
          </w:tcPr>
          <w:p w14:paraId="72E4F052" w14:textId="77777777" w:rsidR="009103CC" w:rsidRPr="0084002D" w:rsidRDefault="009103CC" w:rsidP="002718DF">
            <w:pPr>
              <w:pStyle w:val="Tabletext"/>
              <w:jc w:val="right"/>
              <w:rPr>
                <w:b/>
                <w:bCs/>
              </w:rPr>
            </w:pPr>
            <w:r w:rsidRPr="0084002D">
              <w:rPr>
                <w:b/>
                <w:bCs/>
              </w:rPr>
              <w:t>2021</w:t>
            </w:r>
          </w:p>
          <w:p w14:paraId="53E46130" w14:textId="77777777" w:rsidR="009103CC" w:rsidRPr="0084002D" w:rsidRDefault="009103CC" w:rsidP="002718DF">
            <w:pPr>
              <w:pStyle w:val="Tabletext"/>
              <w:jc w:val="right"/>
              <w:rPr>
                <w:b/>
                <w:bCs/>
              </w:rPr>
            </w:pPr>
            <w:r w:rsidRPr="0084002D">
              <w:rPr>
                <w:b/>
                <w:bCs/>
              </w:rPr>
              <w:t>$'000</w:t>
            </w:r>
          </w:p>
          <w:p w14:paraId="7B7161C0" w14:textId="77777777" w:rsidR="009103CC" w:rsidRPr="0084002D" w:rsidRDefault="009103CC" w:rsidP="002718DF">
            <w:pPr>
              <w:pStyle w:val="Tabletext"/>
              <w:jc w:val="right"/>
              <w:rPr>
                <w:b/>
                <w:bCs/>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47BFF17E" w14:textId="77777777" w:rsidR="009103CC" w:rsidRPr="0084002D" w:rsidRDefault="009103CC" w:rsidP="002718DF">
            <w:pPr>
              <w:pStyle w:val="Tabletext"/>
              <w:jc w:val="right"/>
              <w:rPr>
                <w:b/>
                <w:bCs/>
              </w:rPr>
            </w:pPr>
            <w:r w:rsidRPr="0084002D">
              <w:rPr>
                <w:b/>
                <w:bCs/>
              </w:rPr>
              <w:t>2020</w:t>
            </w:r>
          </w:p>
          <w:p w14:paraId="29A05A99" w14:textId="77777777" w:rsidR="009103CC" w:rsidRPr="0084002D" w:rsidRDefault="009103CC" w:rsidP="002718DF">
            <w:pPr>
              <w:pStyle w:val="Tabletext"/>
              <w:jc w:val="right"/>
              <w:rPr>
                <w:b/>
                <w:bCs/>
              </w:rPr>
            </w:pPr>
            <w:r w:rsidRPr="0084002D">
              <w:rPr>
                <w:b/>
                <w:bCs/>
              </w:rPr>
              <w:t>$'000</w:t>
            </w:r>
          </w:p>
          <w:p w14:paraId="07C061AC" w14:textId="77777777" w:rsidR="009103CC" w:rsidRPr="0084002D" w:rsidRDefault="009103CC" w:rsidP="002718DF">
            <w:pPr>
              <w:pStyle w:val="Tabletext"/>
              <w:jc w:val="right"/>
              <w:rPr>
                <w:b/>
                <w:bCs/>
              </w:rPr>
            </w:pPr>
          </w:p>
        </w:tc>
      </w:tr>
      <w:tr w:rsidR="009103CC" w:rsidRPr="0084002D" w14:paraId="33A733E6" w14:textId="77777777" w:rsidTr="002718DF">
        <w:trPr>
          <w:cantSplit/>
          <w:trHeight w:hRule="exact" w:val="574"/>
        </w:trPr>
        <w:tc>
          <w:tcPr>
            <w:tcW w:w="5000" w:type="pct"/>
            <w:gridSpan w:val="7"/>
            <w:tcBorders>
              <w:top w:val="single" w:sz="4" w:space="0" w:color="auto"/>
              <w:bottom w:val="single" w:sz="4" w:space="0" w:color="auto"/>
            </w:tcBorders>
            <w:tcMar>
              <w:top w:w="0" w:type="dxa"/>
              <w:left w:w="0" w:type="dxa"/>
              <w:bottom w:w="0" w:type="dxa"/>
              <w:right w:w="0" w:type="dxa"/>
            </w:tcMar>
            <w:vAlign w:val="center"/>
          </w:tcPr>
          <w:p w14:paraId="2BFB7F55" w14:textId="77777777" w:rsidR="009103CC" w:rsidRPr="0084002D" w:rsidRDefault="009103CC" w:rsidP="002718DF">
            <w:pPr>
              <w:pStyle w:val="Tabletext"/>
              <w:rPr>
                <w:b/>
                <w:bCs/>
              </w:rPr>
            </w:pPr>
            <w:r w:rsidRPr="0084002D">
              <w:rPr>
                <w:b/>
                <w:bCs/>
              </w:rPr>
              <w:t xml:space="preserve">Cash flows from </w:t>
            </w:r>
          </w:p>
          <w:p w14:paraId="6A50AA6E" w14:textId="77777777" w:rsidR="009103CC" w:rsidRPr="0084002D" w:rsidRDefault="009103CC" w:rsidP="002718DF">
            <w:pPr>
              <w:pStyle w:val="Tabletext"/>
              <w:rPr>
                <w:b/>
                <w:bCs/>
              </w:rPr>
            </w:pPr>
            <w:r w:rsidRPr="0084002D">
              <w:rPr>
                <w:b/>
                <w:bCs/>
              </w:rPr>
              <w:t>operating activities</w:t>
            </w:r>
          </w:p>
        </w:tc>
      </w:tr>
      <w:tr w:rsidR="009103CC" w:rsidRPr="001814D2" w14:paraId="0CB0B2D5" w14:textId="77777777" w:rsidTr="002718DF">
        <w:trPr>
          <w:cantSplit/>
          <w:trHeight w:hRule="exact" w:val="332"/>
        </w:trPr>
        <w:tc>
          <w:tcPr>
            <w:tcW w:w="5000" w:type="pct"/>
            <w:gridSpan w:val="7"/>
            <w:tcBorders>
              <w:top w:val="single" w:sz="4" w:space="0" w:color="auto"/>
              <w:bottom w:val="single" w:sz="4" w:space="0" w:color="auto"/>
            </w:tcBorders>
            <w:tcMar>
              <w:top w:w="0" w:type="dxa"/>
              <w:left w:w="0" w:type="dxa"/>
              <w:bottom w:w="0" w:type="dxa"/>
              <w:right w:w="0" w:type="dxa"/>
            </w:tcMar>
            <w:vAlign w:val="center"/>
          </w:tcPr>
          <w:p w14:paraId="307ED4A6" w14:textId="77777777" w:rsidR="009103CC" w:rsidRPr="001814D2" w:rsidRDefault="009103CC" w:rsidP="002718DF">
            <w:pPr>
              <w:pStyle w:val="Tabletext"/>
            </w:pPr>
            <w:r w:rsidRPr="001814D2">
              <w:t>Payments</w:t>
            </w:r>
          </w:p>
        </w:tc>
      </w:tr>
      <w:tr w:rsidR="009103CC" w:rsidRPr="001814D2" w14:paraId="0AEEF6B4" w14:textId="77777777" w:rsidTr="002718DF">
        <w:trPr>
          <w:cantSplit/>
          <w:trHeight w:hRule="exact" w:val="553"/>
        </w:trPr>
        <w:tc>
          <w:tcPr>
            <w:tcW w:w="1412" w:type="pct"/>
            <w:tcBorders>
              <w:top w:val="single" w:sz="4" w:space="0" w:color="auto"/>
              <w:bottom w:val="single" w:sz="4" w:space="0" w:color="auto"/>
            </w:tcBorders>
            <w:tcMar>
              <w:top w:w="0" w:type="dxa"/>
              <w:left w:w="0" w:type="dxa"/>
              <w:bottom w:w="0" w:type="dxa"/>
              <w:right w:w="0" w:type="dxa"/>
            </w:tcMar>
            <w:vAlign w:val="center"/>
          </w:tcPr>
          <w:p w14:paraId="71C956A4" w14:textId="77777777" w:rsidR="009103CC" w:rsidRPr="001814D2" w:rsidRDefault="009103CC" w:rsidP="002718DF">
            <w:pPr>
              <w:pStyle w:val="Tabletext"/>
            </w:pPr>
            <w:r w:rsidRPr="001814D2">
              <w:t>Employee related and personnel services expenses</w:t>
            </w:r>
          </w:p>
        </w:tc>
        <w:tc>
          <w:tcPr>
            <w:tcW w:w="377" w:type="pct"/>
            <w:tcBorders>
              <w:top w:val="single" w:sz="4" w:space="0" w:color="auto"/>
              <w:bottom w:val="single" w:sz="4" w:space="0" w:color="auto"/>
            </w:tcBorders>
            <w:tcMar>
              <w:top w:w="0" w:type="dxa"/>
              <w:left w:w="0" w:type="dxa"/>
              <w:bottom w:w="0" w:type="dxa"/>
              <w:right w:w="0" w:type="dxa"/>
            </w:tcMar>
            <w:vAlign w:val="center"/>
          </w:tcPr>
          <w:p w14:paraId="540DB36F"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2CA98BDB" w14:textId="77777777" w:rsidR="009103CC" w:rsidRPr="001814D2" w:rsidRDefault="009103CC" w:rsidP="002718DF">
            <w:pPr>
              <w:pStyle w:val="Tabletext"/>
              <w:jc w:val="right"/>
              <w:rPr>
                <w:rFonts w:cs="Preston"/>
                <w:szCs w:val="18"/>
              </w:rPr>
            </w:pPr>
            <w:r w:rsidRPr="001814D2">
              <w:rPr>
                <w:rFonts w:cs="Preston"/>
                <w:szCs w:val="18"/>
              </w:rPr>
              <w:t>(29,496)</w:t>
            </w:r>
          </w:p>
          <w:p w14:paraId="7F6724ED"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3300862B" w14:textId="77777777" w:rsidR="009103CC" w:rsidRPr="001814D2" w:rsidRDefault="009103CC" w:rsidP="002718DF">
            <w:pPr>
              <w:pStyle w:val="Tabletext"/>
              <w:jc w:val="right"/>
              <w:rPr>
                <w:rFonts w:cs="Preston"/>
                <w:szCs w:val="18"/>
              </w:rPr>
            </w:pPr>
            <w:r w:rsidRPr="001814D2">
              <w:rPr>
                <w:rFonts w:cs="Preston"/>
                <w:szCs w:val="18"/>
              </w:rPr>
              <w:t>(27,112)</w:t>
            </w:r>
          </w:p>
          <w:p w14:paraId="3627F304" w14:textId="77777777" w:rsidR="009103CC" w:rsidRPr="001814D2" w:rsidRDefault="009103CC" w:rsidP="002718DF">
            <w:pPr>
              <w:pStyle w:val="Tabletext"/>
              <w:jc w:val="right"/>
              <w:rPr>
                <w:rFonts w:cs="Preston"/>
                <w:szCs w:val="18"/>
              </w:rPr>
            </w:pPr>
          </w:p>
        </w:tc>
        <w:tc>
          <w:tcPr>
            <w:tcW w:w="935" w:type="pct"/>
            <w:tcBorders>
              <w:top w:val="single" w:sz="4" w:space="0" w:color="auto"/>
              <w:bottom w:val="single" w:sz="4" w:space="0" w:color="auto"/>
            </w:tcBorders>
            <w:tcMar>
              <w:top w:w="0" w:type="dxa"/>
              <w:left w:w="0" w:type="dxa"/>
              <w:bottom w:w="0" w:type="dxa"/>
              <w:right w:w="0" w:type="dxa"/>
            </w:tcMar>
            <w:vAlign w:val="center"/>
          </w:tcPr>
          <w:p w14:paraId="35A2C0A9" w14:textId="77777777" w:rsidR="009103CC" w:rsidRPr="001814D2" w:rsidRDefault="009103CC" w:rsidP="002718DF">
            <w:pPr>
              <w:pStyle w:val="Tabletext"/>
              <w:jc w:val="right"/>
              <w:rPr>
                <w:rFonts w:cs="Preston"/>
                <w:szCs w:val="18"/>
              </w:rPr>
            </w:pPr>
            <w:r w:rsidRPr="001814D2">
              <w:rPr>
                <w:rFonts w:cs="Preston"/>
                <w:szCs w:val="18"/>
              </w:rPr>
              <w:t>(26,897)</w:t>
            </w:r>
          </w:p>
          <w:p w14:paraId="3FC5F5ED"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28785978" w14:textId="77777777" w:rsidR="009103CC" w:rsidRPr="001814D2" w:rsidRDefault="009103CC" w:rsidP="002718DF">
            <w:pPr>
              <w:pStyle w:val="Tabletext"/>
              <w:jc w:val="right"/>
              <w:rPr>
                <w:rFonts w:cs="Preston"/>
                <w:szCs w:val="18"/>
              </w:rPr>
            </w:pPr>
            <w:r w:rsidRPr="001814D2">
              <w:rPr>
                <w:rFonts w:cs="Preston"/>
                <w:szCs w:val="18"/>
              </w:rPr>
              <w:t>(32,224)</w:t>
            </w:r>
          </w:p>
          <w:p w14:paraId="2C0D184D"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0D6A154C" w14:textId="77777777" w:rsidR="009103CC" w:rsidRPr="001814D2" w:rsidRDefault="009103CC" w:rsidP="002718DF">
            <w:pPr>
              <w:pStyle w:val="Tabletext"/>
              <w:jc w:val="right"/>
              <w:rPr>
                <w:rFonts w:cs="Preston"/>
                <w:szCs w:val="18"/>
              </w:rPr>
            </w:pPr>
            <w:r w:rsidRPr="001814D2">
              <w:rPr>
                <w:rFonts w:cs="Preston"/>
                <w:szCs w:val="18"/>
              </w:rPr>
              <w:t>(32,084)</w:t>
            </w:r>
          </w:p>
          <w:p w14:paraId="39BFB77D" w14:textId="77777777" w:rsidR="009103CC" w:rsidRPr="001814D2" w:rsidRDefault="009103CC" w:rsidP="002718DF">
            <w:pPr>
              <w:pStyle w:val="Tabletext"/>
              <w:jc w:val="right"/>
              <w:rPr>
                <w:rFonts w:cs="Preston"/>
                <w:szCs w:val="18"/>
              </w:rPr>
            </w:pPr>
          </w:p>
        </w:tc>
      </w:tr>
      <w:tr w:rsidR="009103CC" w:rsidRPr="001814D2" w14:paraId="769BE3B0"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0C7B0507" w14:textId="77777777" w:rsidR="009103CC" w:rsidRPr="001814D2" w:rsidRDefault="009103CC" w:rsidP="002718DF">
            <w:pPr>
              <w:pStyle w:val="Tabletext"/>
            </w:pPr>
            <w:r w:rsidRPr="001814D2">
              <w:t>Operating expenses</w:t>
            </w:r>
          </w:p>
        </w:tc>
        <w:tc>
          <w:tcPr>
            <w:tcW w:w="377" w:type="pct"/>
            <w:tcBorders>
              <w:top w:val="single" w:sz="4" w:space="0" w:color="auto"/>
              <w:bottom w:val="single" w:sz="4" w:space="0" w:color="auto"/>
            </w:tcBorders>
            <w:tcMar>
              <w:top w:w="0" w:type="dxa"/>
              <w:left w:w="0" w:type="dxa"/>
              <w:bottom w:w="0" w:type="dxa"/>
              <w:right w:w="0" w:type="dxa"/>
            </w:tcMar>
            <w:vAlign w:val="center"/>
          </w:tcPr>
          <w:p w14:paraId="667C8268"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51A3B7B5" w14:textId="77777777" w:rsidR="009103CC" w:rsidRPr="001814D2" w:rsidRDefault="009103CC" w:rsidP="002718DF">
            <w:pPr>
              <w:pStyle w:val="Tabletext"/>
              <w:jc w:val="right"/>
              <w:rPr>
                <w:rFonts w:cs="Preston"/>
                <w:szCs w:val="18"/>
              </w:rPr>
            </w:pPr>
            <w:r w:rsidRPr="001814D2">
              <w:rPr>
                <w:rFonts w:cs="Preston"/>
                <w:szCs w:val="18"/>
              </w:rPr>
              <w:t>(18,310)</w:t>
            </w:r>
          </w:p>
        </w:tc>
        <w:tc>
          <w:tcPr>
            <w:tcW w:w="569" w:type="pct"/>
            <w:tcBorders>
              <w:top w:val="single" w:sz="4" w:space="0" w:color="auto"/>
              <w:bottom w:val="single" w:sz="4" w:space="0" w:color="auto"/>
            </w:tcBorders>
            <w:tcMar>
              <w:top w:w="0" w:type="dxa"/>
              <w:left w:w="0" w:type="dxa"/>
              <w:bottom w:w="0" w:type="dxa"/>
              <w:right w:w="0" w:type="dxa"/>
            </w:tcMar>
            <w:vAlign w:val="center"/>
          </w:tcPr>
          <w:p w14:paraId="10CB7220" w14:textId="77777777" w:rsidR="009103CC" w:rsidRPr="001814D2" w:rsidRDefault="009103CC" w:rsidP="002718DF">
            <w:pPr>
              <w:pStyle w:val="Tabletext"/>
              <w:jc w:val="right"/>
              <w:rPr>
                <w:rFonts w:cs="Preston"/>
                <w:szCs w:val="18"/>
              </w:rPr>
            </w:pPr>
            <w:r w:rsidRPr="001814D2">
              <w:rPr>
                <w:rFonts w:cs="Preston"/>
                <w:szCs w:val="18"/>
              </w:rPr>
              <w:t>(22,928)</w:t>
            </w:r>
          </w:p>
        </w:tc>
        <w:tc>
          <w:tcPr>
            <w:tcW w:w="935" w:type="pct"/>
            <w:tcBorders>
              <w:top w:val="single" w:sz="4" w:space="0" w:color="auto"/>
              <w:bottom w:val="single" w:sz="4" w:space="0" w:color="auto"/>
            </w:tcBorders>
            <w:tcMar>
              <w:top w:w="0" w:type="dxa"/>
              <w:left w:w="0" w:type="dxa"/>
              <w:bottom w:w="0" w:type="dxa"/>
              <w:right w:w="0" w:type="dxa"/>
            </w:tcMar>
            <w:vAlign w:val="center"/>
          </w:tcPr>
          <w:p w14:paraId="67E5E128" w14:textId="77777777" w:rsidR="009103CC" w:rsidRPr="001814D2" w:rsidRDefault="009103CC" w:rsidP="002718DF">
            <w:pPr>
              <w:pStyle w:val="Tabletext"/>
              <w:jc w:val="right"/>
              <w:rPr>
                <w:rFonts w:cs="Preston"/>
                <w:szCs w:val="18"/>
              </w:rPr>
            </w:pPr>
            <w:r w:rsidRPr="001814D2">
              <w:rPr>
                <w:rFonts w:cs="Preston"/>
                <w:szCs w:val="18"/>
              </w:rPr>
              <w:t>(20,892)</w:t>
            </w:r>
          </w:p>
        </w:tc>
        <w:tc>
          <w:tcPr>
            <w:tcW w:w="569" w:type="pct"/>
            <w:tcBorders>
              <w:top w:val="single" w:sz="4" w:space="0" w:color="auto"/>
              <w:bottom w:val="single" w:sz="4" w:space="0" w:color="auto"/>
            </w:tcBorders>
            <w:tcMar>
              <w:top w:w="0" w:type="dxa"/>
              <w:left w:w="0" w:type="dxa"/>
              <w:bottom w:w="0" w:type="dxa"/>
              <w:right w:w="0" w:type="dxa"/>
            </w:tcMar>
            <w:vAlign w:val="center"/>
          </w:tcPr>
          <w:p w14:paraId="78FBA9D3" w14:textId="77777777" w:rsidR="009103CC" w:rsidRPr="001814D2" w:rsidRDefault="009103CC" w:rsidP="002718DF">
            <w:pPr>
              <w:pStyle w:val="Tabletext"/>
              <w:jc w:val="right"/>
              <w:rPr>
                <w:rFonts w:cs="Preston"/>
                <w:szCs w:val="18"/>
              </w:rPr>
            </w:pPr>
            <w:r w:rsidRPr="001814D2">
              <w:rPr>
                <w:rFonts w:cs="Preston"/>
                <w:szCs w:val="18"/>
              </w:rPr>
              <w:t>(18,283)</w:t>
            </w:r>
          </w:p>
        </w:tc>
        <w:tc>
          <w:tcPr>
            <w:tcW w:w="569" w:type="pct"/>
            <w:tcBorders>
              <w:top w:val="single" w:sz="4" w:space="0" w:color="auto"/>
              <w:bottom w:val="single" w:sz="4" w:space="0" w:color="auto"/>
            </w:tcBorders>
            <w:tcMar>
              <w:top w:w="0" w:type="dxa"/>
              <w:left w:w="0" w:type="dxa"/>
              <w:bottom w:w="0" w:type="dxa"/>
              <w:right w:w="0" w:type="dxa"/>
            </w:tcMar>
            <w:vAlign w:val="center"/>
          </w:tcPr>
          <w:p w14:paraId="69AEEBE0" w14:textId="77777777" w:rsidR="009103CC" w:rsidRPr="001814D2" w:rsidRDefault="009103CC" w:rsidP="002718DF">
            <w:pPr>
              <w:pStyle w:val="Tabletext"/>
              <w:jc w:val="right"/>
              <w:rPr>
                <w:rFonts w:cs="Preston"/>
                <w:szCs w:val="18"/>
              </w:rPr>
            </w:pPr>
            <w:r w:rsidRPr="001814D2">
              <w:rPr>
                <w:rFonts w:cs="Preston"/>
                <w:szCs w:val="18"/>
              </w:rPr>
              <w:t>(22,627)</w:t>
            </w:r>
          </w:p>
        </w:tc>
      </w:tr>
      <w:tr w:rsidR="009103CC" w:rsidRPr="001814D2" w14:paraId="43995CCA"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557AC5AE" w14:textId="77777777" w:rsidR="009103CC" w:rsidRPr="001814D2" w:rsidRDefault="009103CC" w:rsidP="002718DF">
            <w:pPr>
              <w:pStyle w:val="Tabletext"/>
              <w:rPr>
                <w:rFonts w:cs="Preston"/>
                <w:szCs w:val="18"/>
              </w:rPr>
            </w:pPr>
            <w:r w:rsidRPr="001814D2">
              <w:rPr>
                <w:rFonts w:cs="Preston"/>
                <w:szCs w:val="18"/>
              </w:rPr>
              <w:t>Total payments</w:t>
            </w:r>
          </w:p>
        </w:tc>
        <w:tc>
          <w:tcPr>
            <w:tcW w:w="377" w:type="pct"/>
            <w:tcBorders>
              <w:top w:val="single" w:sz="4" w:space="0" w:color="auto"/>
              <w:bottom w:val="single" w:sz="4" w:space="0" w:color="auto"/>
            </w:tcBorders>
            <w:tcMar>
              <w:top w:w="0" w:type="dxa"/>
              <w:left w:w="0" w:type="dxa"/>
              <w:bottom w:w="0" w:type="dxa"/>
              <w:right w:w="0" w:type="dxa"/>
            </w:tcMar>
            <w:vAlign w:val="center"/>
          </w:tcPr>
          <w:p w14:paraId="61FE9008"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7DE86B5A" w14:textId="77777777" w:rsidR="009103CC" w:rsidRPr="001814D2" w:rsidRDefault="009103CC" w:rsidP="002718DF">
            <w:pPr>
              <w:pStyle w:val="Tabletext"/>
              <w:jc w:val="right"/>
              <w:rPr>
                <w:rFonts w:cs="Preston"/>
                <w:szCs w:val="18"/>
              </w:rPr>
            </w:pPr>
            <w:r w:rsidRPr="001814D2">
              <w:rPr>
                <w:rFonts w:cs="Preston"/>
                <w:szCs w:val="18"/>
              </w:rPr>
              <w:t>(47,806)</w:t>
            </w:r>
          </w:p>
        </w:tc>
        <w:tc>
          <w:tcPr>
            <w:tcW w:w="569" w:type="pct"/>
            <w:tcBorders>
              <w:top w:val="single" w:sz="4" w:space="0" w:color="auto"/>
              <w:bottom w:val="single" w:sz="4" w:space="0" w:color="auto"/>
            </w:tcBorders>
            <w:tcMar>
              <w:top w:w="0" w:type="dxa"/>
              <w:left w:w="0" w:type="dxa"/>
              <w:bottom w:w="0" w:type="dxa"/>
              <w:right w:w="0" w:type="dxa"/>
            </w:tcMar>
            <w:vAlign w:val="center"/>
          </w:tcPr>
          <w:p w14:paraId="586B63D7" w14:textId="77777777" w:rsidR="009103CC" w:rsidRPr="001814D2" w:rsidRDefault="009103CC" w:rsidP="002718DF">
            <w:pPr>
              <w:pStyle w:val="Tabletext"/>
              <w:jc w:val="right"/>
              <w:rPr>
                <w:rFonts w:cs="Preston"/>
                <w:szCs w:val="18"/>
              </w:rPr>
            </w:pPr>
            <w:r w:rsidRPr="001814D2">
              <w:rPr>
                <w:rFonts w:cs="Preston"/>
                <w:szCs w:val="18"/>
              </w:rPr>
              <w:t>(50,040)</w:t>
            </w:r>
          </w:p>
        </w:tc>
        <w:tc>
          <w:tcPr>
            <w:tcW w:w="935" w:type="pct"/>
            <w:tcBorders>
              <w:top w:val="single" w:sz="4" w:space="0" w:color="auto"/>
              <w:bottom w:val="single" w:sz="4" w:space="0" w:color="auto"/>
            </w:tcBorders>
            <w:tcMar>
              <w:top w:w="0" w:type="dxa"/>
              <w:left w:w="0" w:type="dxa"/>
              <w:bottom w:w="0" w:type="dxa"/>
              <w:right w:w="0" w:type="dxa"/>
            </w:tcMar>
            <w:vAlign w:val="center"/>
          </w:tcPr>
          <w:p w14:paraId="2AE20A98" w14:textId="77777777" w:rsidR="009103CC" w:rsidRPr="001814D2" w:rsidRDefault="009103CC" w:rsidP="002718DF">
            <w:pPr>
              <w:pStyle w:val="Tabletext"/>
              <w:jc w:val="right"/>
              <w:rPr>
                <w:rFonts w:cs="Preston"/>
                <w:szCs w:val="18"/>
              </w:rPr>
            </w:pPr>
            <w:r w:rsidRPr="001814D2">
              <w:rPr>
                <w:rFonts w:cs="Preston"/>
                <w:szCs w:val="18"/>
              </w:rPr>
              <w:t>(47,789)</w:t>
            </w:r>
          </w:p>
        </w:tc>
        <w:tc>
          <w:tcPr>
            <w:tcW w:w="569" w:type="pct"/>
            <w:tcBorders>
              <w:top w:val="single" w:sz="4" w:space="0" w:color="auto"/>
              <w:bottom w:val="single" w:sz="4" w:space="0" w:color="auto"/>
            </w:tcBorders>
            <w:tcMar>
              <w:top w:w="0" w:type="dxa"/>
              <w:left w:w="0" w:type="dxa"/>
              <w:bottom w:w="0" w:type="dxa"/>
              <w:right w:w="0" w:type="dxa"/>
            </w:tcMar>
            <w:vAlign w:val="center"/>
          </w:tcPr>
          <w:p w14:paraId="3CBD3ABE" w14:textId="77777777" w:rsidR="009103CC" w:rsidRPr="001814D2" w:rsidRDefault="009103CC" w:rsidP="002718DF">
            <w:pPr>
              <w:pStyle w:val="Tabletext"/>
              <w:jc w:val="right"/>
              <w:rPr>
                <w:rFonts w:cs="Preston"/>
                <w:szCs w:val="18"/>
              </w:rPr>
            </w:pPr>
            <w:r w:rsidRPr="001814D2">
              <w:rPr>
                <w:rFonts w:cs="Preston"/>
                <w:szCs w:val="18"/>
              </w:rPr>
              <w:t>(50,507)</w:t>
            </w:r>
          </w:p>
        </w:tc>
        <w:tc>
          <w:tcPr>
            <w:tcW w:w="569" w:type="pct"/>
            <w:tcBorders>
              <w:top w:val="single" w:sz="4" w:space="0" w:color="auto"/>
              <w:bottom w:val="single" w:sz="4" w:space="0" w:color="auto"/>
            </w:tcBorders>
            <w:tcMar>
              <w:top w:w="0" w:type="dxa"/>
              <w:left w:w="0" w:type="dxa"/>
              <w:bottom w:w="0" w:type="dxa"/>
              <w:right w:w="0" w:type="dxa"/>
            </w:tcMar>
            <w:vAlign w:val="center"/>
          </w:tcPr>
          <w:p w14:paraId="4283567A" w14:textId="77777777" w:rsidR="009103CC" w:rsidRPr="001814D2" w:rsidRDefault="009103CC" w:rsidP="002718DF">
            <w:pPr>
              <w:pStyle w:val="Tabletext"/>
              <w:jc w:val="right"/>
              <w:rPr>
                <w:rFonts w:cs="Preston"/>
                <w:szCs w:val="18"/>
              </w:rPr>
            </w:pPr>
            <w:r w:rsidRPr="001814D2">
              <w:rPr>
                <w:rFonts w:cs="Preston"/>
                <w:szCs w:val="18"/>
              </w:rPr>
              <w:t>(54,711)</w:t>
            </w:r>
          </w:p>
        </w:tc>
      </w:tr>
      <w:tr w:rsidR="009103CC" w:rsidRPr="001814D2" w14:paraId="778F714E" w14:textId="77777777" w:rsidTr="002718DF">
        <w:trPr>
          <w:cantSplit/>
          <w:trHeight w:hRule="exact" w:val="332"/>
        </w:trPr>
        <w:tc>
          <w:tcPr>
            <w:tcW w:w="1412" w:type="pct"/>
            <w:tcBorders>
              <w:top w:val="single" w:sz="4" w:space="0" w:color="auto"/>
            </w:tcBorders>
            <w:tcMar>
              <w:top w:w="0" w:type="dxa"/>
              <w:left w:w="0" w:type="dxa"/>
              <w:bottom w:w="0" w:type="dxa"/>
              <w:right w:w="0" w:type="dxa"/>
            </w:tcMar>
            <w:vAlign w:val="center"/>
          </w:tcPr>
          <w:p w14:paraId="6D897C62" w14:textId="77777777" w:rsidR="009103CC" w:rsidRPr="001814D2" w:rsidRDefault="009103CC" w:rsidP="002718DF">
            <w:pPr>
              <w:pStyle w:val="Tabletext"/>
            </w:pPr>
          </w:p>
        </w:tc>
        <w:tc>
          <w:tcPr>
            <w:tcW w:w="377" w:type="pct"/>
            <w:tcBorders>
              <w:top w:val="single" w:sz="4" w:space="0" w:color="auto"/>
            </w:tcBorders>
            <w:tcMar>
              <w:top w:w="0" w:type="dxa"/>
              <w:left w:w="0" w:type="dxa"/>
              <w:bottom w:w="0" w:type="dxa"/>
              <w:right w:w="0" w:type="dxa"/>
            </w:tcMar>
            <w:vAlign w:val="center"/>
          </w:tcPr>
          <w:p w14:paraId="4E75B4FC"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vAlign w:val="center"/>
          </w:tcPr>
          <w:p w14:paraId="14AD0B48" w14:textId="77777777" w:rsidR="009103CC" w:rsidRPr="001814D2" w:rsidRDefault="009103CC" w:rsidP="002718DF">
            <w:pPr>
              <w:pStyle w:val="Tabletext"/>
              <w:jc w:val="right"/>
            </w:pPr>
          </w:p>
        </w:tc>
        <w:tc>
          <w:tcPr>
            <w:tcW w:w="569" w:type="pct"/>
            <w:tcBorders>
              <w:top w:val="single" w:sz="4" w:space="0" w:color="auto"/>
            </w:tcBorders>
            <w:tcMar>
              <w:top w:w="0" w:type="dxa"/>
              <w:left w:w="0" w:type="dxa"/>
              <w:bottom w:w="0" w:type="dxa"/>
              <w:right w:w="0" w:type="dxa"/>
            </w:tcMar>
            <w:vAlign w:val="center"/>
          </w:tcPr>
          <w:p w14:paraId="4D967391" w14:textId="77777777" w:rsidR="009103CC" w:rsidRPr="001814D2" w:rsidRDefault="009103CC" w:rsidP="002718DF">
            <w:pPr>
              <w:pStyle w:val="Tabletext"/>
              <w:jc w:val="right"/>
            </w:pPr>
          </w:p>
        </w:tc>
        <w:tc>
          <w:tcPr>
            <w:tcW w:w="935" w:type="pct"/>
            <w:tcBorders>
              <w:top w:val="single" w:sz="4" w:space="0" w:color="auto"/>
            </w:tcBorders>
            <w:tcMar>
              <w:top w:w="0" w:type="dxa"/>
              <w:left w:w="0" w:type="dxa"/>
              <w:bottom w:w="0" w:type="dxa"/>
              <w:right w:w="0" w:type="dxa"/>
            </w:tcMar>
            <w:vAlign w:val="center"/>
          </w:tcPr>
          <w:p w14:paraId="1FDC542D" w14:textId="77777777" w:rsidR="009103CC" w:rsidRPr="001814D2" w:rsidRDefault="009103CC" w:rsidP="002718DF">
            <w:pPr>
              <w:pStyle w:val="Tabletext"/>
              <w:jc w:val="right"/>
            </w:pPr>
          </w:p>
        </w:tc>
        <w:tc>
          <w:tcPr>
            <w:tcW w:w="569" w:type="pct"/>
            <w:tcBorders>
              <w:top w:val="single" w:sz="4" w:space="0" w:color="auto"/>
            </w:tcBorders>
            <w:tcMar>
              <w:top w:w="0" w:type="dxa"/>
              <w:left w:w="0" w:type="dxa"/>
              <w:bottom w:w="0" w:type="dxa"/>
              <w:right w:w="0" w:type="dxa"/>
            </w:tcMar>
            <w:vAlign w:val="center"/>
          </w:tcPr>
          <w:p w14:paraId="6295F54C" w14:textId="77777777" w:rsidR="009103CC" w:rsidRPr="001814D2" w:rsidRDefault="009103CC" w:rsidP="002718DF">
            <w:pPr>
              <w:pStyle w:val="Tabletext"/>
              <w:jc w:val="right"/>
            </w:pPr>
          </w:p>
        </w:tc>
        <w:tc>
          <w:tcPr>
            <w:tcW w:w="569" w:type="pct"/>
            <w:tcBorders>
              <w:top w:val="single" w:sz="4" w:space="0" w:color="auto"/>
            </w:tcBorders>
            <w:tcMar>
              <w:top w:w="0" w:type="dxa"/>
              <w:left w:w="0" w:type="dxa"/>
              <w:bottom w:w="0" w:type="dxa"/>
              <w:right w:w="0" w:type="dxa"/>
            </w:tcMar>
            <w:vAlign w:val="center"/>
          </w:tcPr>
          <w:p w14:paraId="2DF0523B" w14:textId="77777777" w:rsidR="009103CC" w:rsidRPr="001814D2" w:rsidRDefault="009103CC" w:rsidP="002718DF">
            <w:pPr>
              <w:pStyle w:val="Tabletext"/>
              <w:jc w:val="right"/>
            </w:pPr>
          </w:p>
        </w:tc>
      </w:tr>
      <w:tr w:rsidR="009103CC" w:rsidRPr="001814D2" w14:paraId="5ABE08B1" w14:textId="77777777" w:rsidTr="002718DF">
        <w:trPr>
          <w:cantSplit/>
          <w:trHeight w:hRule="exact" w:val="332"/>
        </w:trPr>
        <w:tc>
          <w:tcPr>
            <w:tcW w:w="1412" w:type="pct"/>
            <w:tcBorders>
              <w:bottom w:val="single" w:sz="4" w:space="0" w:color="auto"/>
            </w:tcBorders>
            <w:tcMar>
              <w:top w:w="0" w:type="dxa"/>
              <w:left w:w="0" w:type="dxa"/>
              <w:bottom w:w="0" w:type="dxa"/>
              <w:right w:w="0" w:type="dxa"/>
            </w:tcMar>
            <w:vAlign w:val="center"/>
          </w:tcPr>
          <w:p w14:paraId="54FAAF4D" w14:textId="77777777" w:rsidR="009103CC" w:rsidRPr="001814D2" w:rsidRDefault="009103CC" w:rsidP="002718DF">
            <w:pPr>
              <w:pStyle w:val="Tabletext"/>
              <w:rPr>
                <w:rFonts w:cs="Preston"/>
                <w:szCs w:val="18"/>
              </w:rPr>
            </w:pPr>
            <w:r w:rsidRPr="001814D2">
              <w:rPr>
                <w:rFonts w:cs="Preston"/>
                <w:szCs w:val="18"/>
              </w:rPr>
              <w:t>Receipts</w:t>
            </w:r>
          </w:p>
        </w:tc>
        <w:tc>
          <w:tcPr>
            <w:tcW w:w="377" w:type="pct"/>
            <w:tcBorders>
              <w:bottom w:val="single" w:sz="4" w:space="0" w:color="auto"/>
            </w:tcBorders>
            <w:tcMar>
              <w:top w:w="0" w:type="dxa"/>
              <w:left w:w="0" w:type="dxa"/>
              <w:bottom w:w="0" w:type="dxa"/>
              <w:right w:w="0" w:type="dxa"/>
            </w:tcMar>
            <w:vAlign w:val="center"/>
          </w:tcPr>
          <w:p w14:paraId="30240174" w14:textId="77777777" w:rsidR="009103CC" w:rsidRPr="001814D2" w:rsidRDefault="009103CC" w:rsidP="002718DF">
            <w:pPr>
              <w:pStyle w:val="Tabletext"/>
            </w:pPr>
          </w:p>
        </w:tc>
        <w:tc>
          <w:tcPr>
            <w:tcW w:w="569" w:type="pct"/>
            <w:tcBorders>
              <w:bottom w:val="single" w:sz="4" w:space="0" w:color="auto"/>
            </w:tcBorders>
            <w:tcMar>
              <w:top w:w="0" w:type="dxa"/>
              <w:left w:w="0" w:type="dxa"/>
              <w:bottom w:w="0" w:type="dxa"/>
              <w:right w:w="0" w:type="dxa"/>
            </w:tcMar>
            <w:vAlign w:val="center"/>
          </w:tcPr>
          <w:p w14:paraId="705888DE"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0F87A2AA" w14:textId="77777777" w:rsidR="009103CC" w:rsidRPr="001814D2" w:rsidRDefault="009103CC" w:rsidP="002718DF">
            <w:pPr>
              <w:pStyle w:val="Tabletext"/>
              <w:jc w:val="right"/>
            </w:pPr>
          </w:p>
        </w:tc>
        <w:tc>
          <w:tcPr>
            <w:tcW w:w="935" w:type="pct"/>
            <w:tcBorders>
              <w:bottom w:val="single" w:sz="4" w:space="0" w:color="auto"/>
            </w:tcBorders>
            <w:tcMar>
              <w:top w:w="0" w:type="dxa"/>
              <w:left w:w="0" w:type="dxa"/>
              <w:bottom w:w="0" w:type="dxa"/>
              <w:right w:w="0" w:type="dxa"/>
            </w:tcMar>
            <w:vAlign w:val="center"/>
          </w:tcPr>
          <w:p w14:paraId="61780A87"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5538D4C7" w14:textId="77777777" w:rsidR="009103CC" w:rsidRPr="001814D2" w:rsidRDefault="009103CC" w:rsidP="002718DF">
            <w:pPr>
              <w:pStyle w:val="Tabletext"/>
              <w:jc w:val="right"/>
            </w:pPr>
          </w:p>
        </w:tc>
        <w:tc>
          <w:tcPr>
            <w:tcW w:w="569" w:type="pct"/>
            <w:tcBorders>
              <w:bottom w:val="single" w:sz="4" w:space="0" w:color="auto"/>
            </w:tcBorders>
            <w:tcMar>
              <w:top w:w="0" w:type="dxa"/>
              <w:left w:w="0" w:type="dxa"/>
              <w:bottom w:w="0" w:type="dxa"/>
              <w:right w:w="0" w:type="dxa"/>
            </w:tcMar>
            <w:vAlign w:val="center"/>
          </w:tcPr>
          <w:p w14:paraId="0047BA2D" w14:textId="77777777" w:rsidR="009103CC" w:rsidRPr="001814D2" w:rsidRDefault="009103CC" w:rsidP="002718DF">
            <w:pPr>
              <w:pStyle w:val="Tabletext"/>
              <w:jc w:val="right"/>
            </w:pPr>
          </w:p>
        </w:tc>
      </w:tr>
      <w:tr w:rsidR="009103CC" w:rsidRPr="001814D2" w14:paraId="334C6A61"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47605EEB" w14:textId="77777777" w:rsidR="009103CC" w:rsidRPr="001814D2" w:rsidRDefault="009103CC" w:rsidP="002718DF">
            <w:pPr>
              <w:pStyle w:val="Tabletext"/>
            </w:pPr>
            <w:r w:rsidRPr="001814D2">
              <w:t>Sale of goods and services</w:t>
            </w:r>
          </w:p>
        </w:tc>
        <w:tc>
          <w:tcPr>
            <w:tcW w:w="377" w:type="pct"/>
            <w:tcBorders>
              <w:top w:val="single" w:sz="4" w:space="0" w:color="auto"/>
              <w:bottom w:val="single" w:sz="4" w:space="0" w:color="auto"/>
            </w:tcBorders>
            <w:tcMar>
              <w:top w:w="0" w:type="dxa"/>
              <w:left w:w="0" w:type="dxa"/>
              <w:bottom w:w="0" w:type="dxa"/>
              <w:right w:w="0" w:type="dxa"/>
            </w:tcMar>
            <w:vAlign w:val="center"/>
          </w:tcPr>
          <w:p w14:paraId="572645D2"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72516B11" w14:textId="77777777" w:rsidR="009103CC" w:rsidRPr="001814D2" w:rsidRDefault="009103CC" w:rsidP="002718DF">
            <w:pPr>
              <w:pStyle w:val="Tabletext"/>
              <w:jc w:val="right"/>
              <w:rPr>
                <w:rFonts w:cs="Preston"/>
                <w:szCs w:val="18"/>
              </w:rPr>
            </w:pPr>
            <w:r w:rsidRPr="001814D2">
              <w:rPr>
                <w:rFonts w:cs="Preston"/>
                <w:szCs w:val="18"/>
              </w:rPr>
              <w:t>7,777</w:t>
            </w:r>
          </w:p>
        </w:tc>
        <w:tc>
          <w:tcPr>
            <w:tcW w:w="569" w:type="pct"/>
            <w:tcBorders>
              <w:top w:val="single" w:sz="4" w:space="0" w:color="auto"/>
              <w:bottom w:val="single" w:sz="4" w:space="0" w:color="auto"/>
            </w:tcBorders>
            <w:tcMar>
              <w:top w:w="0" w:type="dxa"/>
              <w:left w:w="0" w:type="dxa"/>
              <w:bottom w:w="0" w:type="dxa"/>
              <w:right w:w="0" w:type="dxa"/>
            </w:tcMar>
            <w:vAlign w:val="center"/>
          </w:tcPr>
          <w:p w14:paraId="38856CF4" w14:textId="77777777" w:rsidR="009103CC" w:rsidRPr="001814D2" w:rsidRDefault="009103CC" w:rsidP="002718DF">
            <w:pPr>
              <w:pStyle w:val="Tabletext"/>
              <w:jc w:val="right"/>
              <w:rPr>
                <w:rFonts w:cs="Preston"/>
                <w:szCs w:val="18"/>
              </w:rPr>
            </w:pPr>
            <w:r w:rsidRPr="001814D2">
              <w:rPr>
                <w:rFonts w:cs="Preston"/>
                <w:szCs w:val="18"/>
              </w:rPr>
              <w:t>10,929</w:t>
            </w:r>
          </w:p>
        </w:tc>
        <w:tc>
          <w:tcPr>
            <w:tcW w:w="935" w:type="pct"/>
            <w:tcBorders>
              <w:top w:val="single" w:sz="4" w:space="0" w:color="auto"/>
              <w:bottom w:val="single" w:sz="4" w:space="0" w:color="auto"/>
            </w:tcBorders>
            <w:tcMar>
              <w:top w:w="0" w:type="dxa"/>
              <w:left w:w="0" w:type="dxa"/>
              <w:bottom w:w="0" w:type="dxa"/>
              <w:right w:w="0" w:type="dxa"/>
            </w:tcMar>
            <w:vAlign w:val="center"/>
          </w:tcPr>
          <w:p w14:paraId="71B19731" w14:textId="77777777" w:rsidR="009103CC" w:rsidRPr="001814D2" w:rsidRDefault="009103CC" w:rsidP="002718DF">
            <w:pPr>
              <w:pStyle w:val="Tabletext"/>
              <w:jc w:val="right"/>
              <w:rPr>
                <w:rFonts w:cs="Preston"/>
                <w:szCs w:val="18"/>
              </w:rPr>
            </w:pPr>
            <w:r w:rsidRPr="001814D2">
              <w:rPr>
                <w:rFonts w:cs="Preston"/>
                <w:szCs w:val="18"/>
              </w:rPr>
              <w:t>15,645</w:t>
            </w:r>
          </w:p>
        </w:tc>
        <w:tc>
          <w:tcPr>
            <w:tcW w:w="569" w:type="pct"/>
            <w:tcBorders>
              <w:top w:val="single" w:sz="4" w:space="0" w:color="auto"/>
              <w:bottom w:val="single" w:sz="4" w:space="0" w:color="auto"/>
            </w:tcBorders>
            <w:tcMar>
              <w:top w:w="0" w:type="dxa"/>
              <w:left w:w="0" w:type="dxa"/>
              <w:bottom w:w="0" w:type="dxa"/>
              <w:right w:w="0" w:type="dxa"/>
            </w:tcMar>
            <w:vAlign w:val="center"/>
          </w:tcPr>
          <w:p w14:paraId="450228BD" w14:textId="77777777" w:rsidR="009103CC" w:rsidRPr="001814D2" w:rsidRDefault="009103CC" w:rsidP="002718DF">
            <w:pPr>
              <w:pStyle w:val="Tabletext"/>
              <w:jc w:val="right"/>
              <w:rPr>
                <w:rFonts w:cs="Preston"/>
                <w:szCs w:val="18"/>
              </w:rPr>
            </w:pPr>
            <w:r w:rsidRPr="001814D2">
              <w:rPr>
                <w:rFonts w:cs="Preston"/>
                <w:szCs w:val="18"/>
              </w:rPr>
              <w:t>7,777</w:t>
            </w:r>
          </w:p>
        </w:tc>
        <w:tc>
          <w:tcPr>
            <w:tcW w:w="569" w:type="pct"/>
            <w:tcBorders>
              <w:top w:val="single" w:sz="4" w:space="0" w:color="auto"/>
              <w:bottom w:val="single" w:sz="4" w:space="0" w:color="auto"/>
            </w:tcBorders>
            <w:tcMar>
              <w:top w:w="0" w:type="dxa"/>
              <w:left w:w="0" w:type="dxa"/>
              <w:bottom w:w="0" w:type="dxa"/>
              <w:right w:w="0" w:type="dxa"/>
            </w:tcMar>
            <w:vAlign w:val="center"/>
          </w:tcPr>
          <w:p w14:paraId="7EE1B0E6" w14:textId="77777777" w:rsidR="009103CC" w:rsidRPr="001814D2" w:rsidRDefault="009103CC" w:rsidP="002718DF">
            <w:pPr>
              <w:pStyle w:val="Tabletext"/>
              <w:jc w:val="right"/>
              <w:rPr>
                <w:rFonts w:cs="Preston"/>
                <w:szCs w:val="18"/>
              </w:rPr>
            </w:pPr>
            <w:r w:rsidRPr="001814D2">
              <w:rPr>
                <w:rFonts w:cs="Preston"/>
                <w:szCs w:val="18"/>
              </w:rPr>
              <w:t>10,920</w:t>
            </w:r>
          </w:p>
        </w:tc>
      </w:tr>
      <w:tr w:rsidR="009103CC" w:rsidRPr="001814D2" w14:paraId="23E87A34" w14:textId="77777777" w:rsidTr="002718DF">
        <w:trPr>
          <w:cantSplit/>
          <w:trHeight w:hRule="exact" w:val="717"/>
        </w:trPr>
        <w:tc>
          <w:tcPr>
            <w:tcW w:w="1412" w:type="pct"/>
            <w:tcBorders>
              <w:top w:val="single" w:sz="4" w:space="0" w:color="auto"/>
              <w:bottom w:val="single" w:sz="4" w:space="0" w:color="auto"/>
            </w:tcBorders>
            <w:tcMar>
              <w:top w:w="0" w:type="dxa"/>
              <w:left w:w="0" w:type="dxa"/>
              <w:bottom w:w="0" w:type="dxa"/>
              <w:right w:w="0" w:type="dxa"/>
            </w:tcMar>
            <w:vAlign w:val="center"/>
          </w:tcPr>
          <w:p w14:paraId="1599EAC6" w14:textId="77777777" w:rsidR="009103CC" w:rsidRPr="001814D2" w:rsidRDefault="009103CC" w:rsidP="002718DF">
            <w:pPr>
              <w:pStyle w:val="Tabletext"/>
            </w:pPr>
            <w:r w:rsidRPr="001814D2">
              <w:t>Deemed appropriations received by head cluster agency</w:t>
            </w:r>
          </w:p>
        </w:tc>
        <w:tc>
          <w:tcPr>
            <w:tcW w:w="377" w:type="pct"/>
            <w:tcBorders>
              <w:top w:val="single" w:sz="4" w:space="0" w:color="auto"/>
              <w:bottom w:val="single" w:sz="4" w:space="0" w:color="auto"/>
            </w:tcBorders>
            <w:tcMar>
              <w:top w:w="0" w:type="dxa"/>
              <w:left w:w="0" w:type="dxa"/>
              <w:bottom w:w="0" w:type="dxa"/>
              <w:right w:w="0" w:type="dxa"/>
            </w:tcMar>
            <w:vAlign w:val="center"/>
          </w:tcPr>
          <w:p w14:paraId="4CD0781C"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749C9D44" w14:textId="77777777" w:rsidR="009103CC" w:rsidRPr="001814D2" w:rsidRDefault="009103CC" w:rsidP="002718DF">
            <w:pPr>
              <w:pStyle w:val="Tabletext"/>
              <w:jc w:val="right"/>
              <w:rPr>
                <w:rFonts w:cs="Preston"/>
                <w:szCs w:val="18"/>
              </w:rPr>
            </w:pPr>
            <w:r w:rsidRPr="001814D2">
              <w:rPr>
                <w:rFonts w:cs="Preston"/>
                <w:szCs w:val="18"/>
              </w:rPr>
              <w:t>33,019</w:t>
            </w:r>
          </w:p>
        </w:tc>
        <w:tc>
          <w:tcPr>
            <w:tcW w:w="569" w:type="pct"/>
            <w:tcBorders>
              <w:top w:val="single" w:sz="4" w:space="0" w:color="auto"/>
              <w:bottom w:val="single" w:sz="4" w:space="0" w:color="auto"/>
            </w:tcBorders>
            <w:tcMar>
              <w:top w:w="0" w:type="dxa"/>
              <w:left w:w="0" w:type="dxa"/>
              <w:bottom w:w="0" w:type="dxa"/>
              <w:right w:w="0" w:type="dxa"/>
            </w:tcMar>
            <w:vAlign w:val="center"/>
          </w:tcPr>
          <w:p w14:paraId="374A2467" w14:textId="77777777" w:rsidR="009103CC" w:rsidRPr="001814D2" w:rsidRDefault="009103CC" w:rsidP="002718DF">
            <w:pPr>
              <w:pStyle w:val="Tabletext"/>
              <w:jc w:val="right"/>
              <w:rPr>
                <w:rFonts w:cs="Preston"/>
                <w:szCs w:val="18"/>
              </w:rPr>
            </w:pPr>
            <w:r w:rsidRPr="001814D2">
              <w:rPr>
                <w:rFonts w:cs="Preston"/>
                <w:szCs w:val="18"/>
              </w:rPr>
              <w:t>29,358</w:t>
            </w:r>
          </w:p>
        </w:tc>
        <w:tc>
          <w:tcPr>
            <w:tcW w:w="935" w:type="pct"/>
            <w:tcBorders>
              <w:top w:val="single" w:sz="4" w:space="0" w:color="auto"/>
              <w:bottom w:val="single" w:sz="4" w:space="0" w:color="auto"/>
            </w:tcBorders>
            <w:tcMar>
              <w:top w:w="0" w:type="dxa"/>
              <w:left w:w="0" w:type="dxa"/>
              <w:bottom w:w="0" w:type="dxa"/>
              <w:right w:w="0" w:type="dxa"/>
            </w:tcMar>
            <w:vAlign w:val="center"/>
          </w:tcPr>
          <w:p w14:paraId="32635012" w14:textId="77777777" w:rsidR="009103CC" w:rsidRPr="001814D2" w:rsidRDefault="009103CC" w:rsidP="002718DF">
            <w:pPr>
              <w:pStyle w:val="Tabletext"/>
              <w:jc w:val="right"/>
              <w:rPr>
                <w:rFonts w:cs="Preston"/>
                <w:szCs w:val="18"/>
              </w:rPr>
            </w:pPr>
            <w:r w:rsidRPr="001814D2">
              <w:rPr>
                <w:rFonts w:cs="Preston"/>
                <w:szCs w:val="18"/>
              </w:rPr>
              <w:t>32,209</w:t>
            </w:r>
          </w:p>
        </w:tc>
        <w:tc>
          <w:tcPr>
            <w:tcW w:w="569" w:type="pct"/>
            <w:tcBorders>
              <w:top w:val="single" w:sz="4" w:space="0" w:color="auto"/>
              <w:bottom w:val="single" w:sz="4" w:space="0" w:color="auto"/>
            </w:tcBorders>
            <w:tcMar>
              <w:top w:w="0" w:type="dxa"/>
              <w:left w:w="0" w:type="dxa"/>
              <w:bottom w:w="0" w:type="dxa"/>
              <w:right w:w="0" w:type="dxa"/>
            </w:tcMar>
            <w:vAlign w:val="center"/>
          </w:tcPr>
          <w:p w14:paraId="27039569" w14:textId="77777777" w:rsidR="009103CC" w:rsidRPr="001814D2" w:rsidRDefault="009103CC" w:rsidP="002718DF">
            <w:pPr>
              <w:pStyle w:val="Tabletext"/>
              <w:jc w:val="right"/>
              <w:rPr>
                <w:rFonts w:cs="Preston"/>
                <w:szCs w:val="18"/>
              </w:rPr>
            </w:pPr>
            <w:r w:rsidRPr="001814D2">
              <w:rPr>
                <w:rFonts w:cs="Preston"/>
                <w:szCs w:val="18"/>
              </w:rPr>
              <w:t>33,019</w:t>
            </w:r>
          </w:p>
        </w:tc>
        <w:tc>
          <w:tcPr>
            <w:tcW w:w="569" w:type="pct"/>
            <w:tcBorders>
              <w:top w:val="single" w:sz="4" w:space="0" w:color="auto"/>
              <w:bottom w:val="single" w:sz="4" w:space="0" w:color="auto"/>
            </w:tcBorders>
            <w:tcMar>
              <w:top w:w="0" w:type="dxa"/>
              <w:left w:w="0" w:type="dxa"/>
              <w:bottom w:w="0" w:type="dxa"/>
              <w:right w:w="0" w:type="dxa"/>
            </w:tcMar>
            <w:vAlign w:val="center"/>
          </w:tcPr>
          <w:p w14:paraId="4F87B2F0" w14:textId="77777777" w:rsidR="009103CC" w:rsidRPr="001814D2" w:rsidRDefault="009103CC" w:rsidP="002718DF">
            <w:pPr>
              <w:pStyle w:val="Tabletext"/>
              <w:jc w:val="right"/>
              <w:rPr>
                <w:rFonts w:cs="Preston"/>
                <w:szCs w:val="18"/>
              </w:rPr>
            </w:pPr>
            <w:r w:rsidRPr="001814D2">
              <w:rPr>
                <w:rFonts w:cs="Preston"/>
                <w:szCs w:val="18"/>
              </w:rPr>
              <w:t>29,358</w:t>
            </w:r>
          </w:p>
        </w:tc>
      </w:tr>
      <w:tr w:rsidR="009103CC" w:rsidRPr="001814D2" w14:paraId="3D7F2C0D"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28A4EEA4" w14:textId="77777777" w:rsidR="009103CC" w:rsidRPr="001814D2" w:rsidRDefault="009103CC" w:rsidP="002718DF">
            <w:pPr>
              <w:pStyle w:val="Tabletext"/>
            </w:pPr>
            <w:r w:rsidRPr="001814D2">
              <w:t>Donations, grant and gifts</w:t>
            </w:r>
          </w:p>
        </w:tc>
        <w:tc>
          <w:tcPr>
            <w:tcW w:w="377" w:type="pct"/>
            <w:tcBorders>
              <w:top w:val="single" w:sz="4" w:space="0" w:color="auto"/>
              <w:bottom w:val="single" w:sz="4" w:space="0" w:color="auto"/>
            </w:tcBorders>
            <w:tcMar>
              <w:top w:w="0" w:type="dxa"/>
              <w:left w:w="0" w:type="dxa"/>
              <w:bottom w:w="0" w:type="dxa"/>
              <w:right w:w="0" w:type="dxa"/>
            </w:tcMar>
            <w:vAlign w:val="center"/>
          </w:tcPr>
          <w:p w14:paraId="5A63C392"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4052A882" w14:textId="77777777" w:rsidR="009103CC" w:rsidRPr="001814D2" w:rsidRDefault="009103CC" w:rsidP="002718DF">
            <w:pPr>
              <w:pStyle w:val="Tabletext"/>
              <w:jc w:val="right"/>
              <w:rPr>
                <w:rFonts w:cs="Preston"/>
                <w:szCs w:val="18"/>
              </w:rPr>
            </w:pPr>
            <w:r w:rsidRPr="001814D2">
              <w:rPr>
                <w:rFonts w:cs="Preston"/>
                <w:szCs w:val="18"/>
              </w:rPr>
              <w:t>145,707</w:t>
            </w:r>
          </w:p>
        </w:tc>
        <w:tc>
          <w:tcPr>
            <w:tcW w:w="569" w:type="pct"/>
            <w:tcBorders>
              <w:top w:val="single" w:sz="4" w:space="0" w:color="auto"/>
              <w:bottom w:val="single" w:sz="4" w:space="0" w:color="auto"/>
            </w:tcBorders>
            <w:tcMar>
              <w:top w:w="0" w:type="dxa"/>
              <w:left w:w="0" w:type="dxa"/>
              <w:bottom w:w="0" w:type="dxa"/>
              <w:right w:w="0" w:type="dxa"/>
            </w:tcMar>
            <w:vAlign w:val="center"/>
          </w:tcPr>
          <w:p w14:paraId="3E174F5B" w14:textId="77777777" w:rsidR="009103CC" w:rsidRPr="001814D2" w:rsidRDefault="009103CC" w:rsidP="002718DF">
            <w:pPr>
              <w:pStyle w:val="Tabletext"/>
              <w:jc w:val="right"/>
              <w:rPr>
                <w:rFonts w:cs="Preston"/>
                <w:szCs w:val="18"/>
              </w:rPr>
            </w:pPr>
            <w:r w:rsidRPr="001814D2">
              <w:rPr>
                <w:rFonts w:cs="Preston"/>
                <w:szCs w:val="18"/>
              </w:rPr>
              <w:t>88,392</w:t>
            </w:r>
          </w:p>
        </w:tc>
        <w:tc>
          <w:tcPr>
            <w:tcW w:w="935" w:type="pct"/>
            <w:tcBorders>
              <w:top w:val="single" w:sz="4" w:space="0" w:color="auto"/>
              <w:bottom w:val="single" w:sz="4" w:space="0" w:color="auto"/>
            </w:tcBorders>
            <w:tcMar>
              <w:top w:w="0" w:type="dxa"/>
              <w:left w:w="0" w:type="dxa"/>
              <w:bottom w:w="0" w:type="dxa"/>
              <w:right w:w="0" w:type="dxa"/>
            </w:tcMar>
            <w:vAlign w:val="center"/>
          </w:tcPr>
          <w:p w14:paraId="1F4C1E84" w14:textId="77777777" w:rsidR="009103CC" w:rsidRPr="001814D2" w:rsidRDefault="009103CC" w:rsidP="002718DF">
            <w:pPr>
              <w:pStyle w:val="Tabletext"/>
              <w:jc w:val="right"/>
              <w:rPr>
                <w:rFonts w:cs="Preston"/>
                <w:szCs w:val="18"/>
              </w:rPr>
            </w:pPr>
            <w:r w:rsidRPr="001814D2">
              <w:rPr>
                <w:rFonts w:cs="Preston"/>
                <w:szCs w:val="18"/>
              </w:rPr>
              <w:t>143,475</w:t>
            </w:r>
          </w:p>
        </w:tc>
        <w:tc>
          <w:tcPr>
            <w:tcW w:w="569" w:type="pct"/>
            <w:tcBorders>
              <w:top w:val="single" w:sz="4" w:space="0" w:color="auto"/>
              <w:bottom w:val="single" w:sz="4" w:space="0" w:color="auto"/>
            </w:tcBorders>
            <w:tcMar>
              <w:top w:w="0" w:type="dxa"/>
              <w:left w:w="0" w:type="dxa"/>
              <w:bottom w:w="0" w:type="dxa"/>
              <w:right w:w="0" w:type="dxa"/>
            </w:tcMar>
            <w:vAlign w:val="center"/>
          </w:tcPr>
          <w:p w14:paraId="463B7A3B" w14:textId="77777777" w:rsidR="009103CC" w:rsidRPr="001814D2" w:rsidRDefault="009103CC" w:rsidP="002718DF">
            <w:pPr>
              <w:pStyle w:val="Tabletext"/>
              <w:jc w:val="right"/>
              <w:rPr>
                <w:rFonts w:cs="Preston"/>
                <w:szCs w:val="18"/>
              </w:rPr>
            </w:pPr>
            <w:r w:rsidRPr="001814D2">
              <w:rPr>
                <w:rFonts w:cs="Preston"/>
                <w:szCs w:val="18"/>
              </w:rPr>
              <w:t>148,289</w:t>
            </w:r>
          </w:p>
        </w:tc>
        <w:tc>
          <w:tcPr>
            <w:tcW w:w="569" w:type="pct"/>
            <w:tcBorders>
              <w:top w:val="single" w:sz="4" w:space="0" w:color="auto"/>
              <w:bottom w:val="single" w:sz="4" w:space="0" w:color="auto"/>
            </w:tcBorders>
            <w:tcMar>
              <w:top w:w="0" w:type="dxa"/>
              <w:left w:w="0" w:type="dxa"/>
              <w:bottom w:w="0" w:type="dxa"/>
              <w:right w:w="0" w:type="dxa"/>
            </w:tcMar>
            <w:vAlign w:val="center"/>
          </w:tcPr>
          <w:p w14:paraId="72CCFFD3" w14:textId="77777777" w:rsidR="009103CC" w:rsidRPr="001814D2" w:rsidRDefault="009103CC" w:rsidP="002718DF">
            <w:pPr>
              <w:pStyle w:val="Tabletext"/>
              <w:jc w:val="right"/>
              <w:rPr>
                <w:rFonts w:cs="Preston"/>
                <w:szCs w:val="18"/>
              </w:rPr>
            </w:pPr>
            <w:r w:rsidRPr="001814D2">
              <w:rPr>
                <w:rFonts w:cs="Preston"/>
                <w:szCs w:val="18"/>
              </w:rPr>
              <w:t>93,242</w:t>
            </w:r>
          </w:p>
        </w:tc>
      </w:tr>
      <w:tr w:rsidR="009103CC" w:rsidRPr="001814D2" w14:paraId="332DBFFD" w14:textId="77777777" w:rsidTr="002718DF">
        <w:trPr>
          <w:cantSplit/>
          <w:trHeight w:hRule="exact" w:val="506"/>
        </w:trPr>
        <w:tc>
          <w:tcPr>
            <w:tcW w:w="1412" w:type="pct"/>
            <w:tcBorders>
              <w:top w:val="single" w:sz="4" w:space="0" w:color="auto"/>
              <w:bottom w:val="single" w:sz="4" w:space="0" w:color="auto"/>
            </w:tcBorders>
            <w:tcMar>
              <w:top w:w="0" w:type="dxa"/>
              <w:left w:w="0" w:type="dxa"/>
              <w:bottom w:w="0" w:type="dxa"/>
              <w:right w:w="0" w:type="dxa"/>
            </w:tcMar>
            <w:vAlign w:val="center"/>
          </w:tcPr>
          <w:p w14:paraId="52C9C5DD" w14:textId="77777777" w:rsidR="009103CC" w:rsidRPr="001814D2" w:rsidRDefault="009103CC" w:rsidP="002718DF">
            <w:pPr>
              <w:pStyle w:val="Tabletext"/>
            </w:pPr>
            <w:r w:rsidRPr="001814D2">
              <w:t>Distributions and interest received</w:t>
            </w:r>
          </w:p>
        </w:tc>
        <w:tc>
          <w:tcPr>
            <w:tcW w:w="377" w:type="pct"/>
            <w:tcBorders>
              <w:top w:val="single" w:sz="4" w:space="0" w:color="auto"/>
              <w:bottom w:val="single" w:sz="4" w:space="0" w:color="auto"/>
            </w:tcBorders>
            <w:tcMar>
              <w:top w:w="0" w:type="dxa"/>
              <w:left w:w="0" w:type="dxa"/>
              <w:bottom w:w="0" w:type="dxa"/>
              <w:right w:w="0" w:type="dxa"/>
            </w:tcMar>
            <w:vAlign w:val="center"/>
          </w:tcPr>
          <w:p w14:paraId="21B892A4"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40DE71DF" w14:textId="77777777" w:rsidR="009103CC" w:rsidRPr="001814D2" w:rsidRDefault="009103CC" w:rsidP="002718DF">
            <w:pPr>
              <w:pStyle w:val="Tabletext"/>
              <w:jc w:val="right"/>
              <w:rPr>
                <w:rFonts w:cs="Preston"/>
                <w:szCs w:val="18"/>
              </w:rPr>
            </w:pPr>
            <w:r w:rsidRPr="001814D2">
              <w:rPr>
                <w:rFonts w:cs="Preston"/>
                <w:szCs w:val="18"/>
              </w:rPr>
              <w:t>12</w:t>
            </w:r>
          </w:p>
        </w:tc>
        <w:tc>
          <w:tcPr>
            <w:tcW w:w="569" w:type="pct"/>
            <w:tcBorders>
              <w:top w:val="single" w:sz="4" w:space="0" w:color="auto"/>
              <w:bottom w:val="single" w:sz="4" w:space="0" w:color="auto"/>
            </w:tcBorders>
            <w:tcMar>
              <w:top w:w="0" w:type="dxa"/>
              <w:left w:w="0" w:type="dxa"/>
              <w:bottom w:w="0" w:type="dxa"/>
              <w:right w:w="0" w:type="dxa"/>
            </w:tcMar>
            <w:vAlign w:val="center"/>
          </w:tcPr>
          <w:p w14:paraId="30C35F1D" w14:textId="77777777" w:rsidR="009103CC" w:rsidRPr="001814D2" w:rsidRDefault="009103CC" w:rsidP="002718DF">
            <w:pPr>
              <w:pStyle w:val="Tabletext"/>
              <w:jc w:val="right"/>
              <w:rPr>
                <w:rFonts w:cs="Preston"/>
                <w:szCs w:val="18"/>
              </w:rPr>
            </w:pPr>
            <w:r w:rsidRPr="001814D2">
              <w:rPr>
                <w:rFonts w:cs="Preston"/>
                <w:szCs w:val="18"/>
              </w:rPr>
              <w:t>865</w:t>
            </w:r>
          </w:p>
        </w:tc>
        <w:tc>
          <w:tcPr>
            <w:tcW w:w="935" w:type="pct"/>
            <w:tcBorders>
              <w:top w:val="single" w:sz="4" w:space="0" w:color="auto"/>
              <w:bottom w:val="single" w:sz="4" w:space="0" w:color="auto"/>
            </w:tcBorders>
            <w:tcMar>
              <w:top w:w="0" w:type="dxa"/>
              <w:left w:w="0" w:type="dxa"/>
              <w:bottom w:w="0" w:type="dxa"/>
              <w:right w:w="0" w:type="dxa"/>
            </w:tcMar>
            <w:vAlign w:val="center"/>
          </w:tcPr>
          <w:p w14:paraId="5224B2FA" w14:textId="77777777" w:rsidR="009103CC" w:rsidRPr="001814D2" w:rsidRDefault="009103CC" w:rsidP="002718DF">
            <w:pPr>
              <w:pStyle w:val="Tabletext"/>
              <w:jc w:val="right"/>
              <w:rPr>
                <w:rFonts w:cs="Preston"/>
                <w:szCs w:val="18"/>
              </w:rPr>
            </w:pPr>
            <w:r w:rsidRPr="001814D2">
              <w:rPr>
                <w:rFonts w:cs="Preston"/>
                <w:szCs w:val="18"/>
              </w:rPr>
              <w:t>(712)</w:t>
            </w:r>
          </w:p>
        </w:tc>
        <w:tc>
          <w:tcPr>
            <w:tcW w:w="569" w:type="pct"/>
            <w:tcBorders>
              <w:top w:val="single" w:sz="4" w:space="0" w:color="auto"/>
              <w:bottom w:val="single" w:sz="4" w:space="0" w:color="auto"/>
            </w:tcBorders>
            <w:tcMar>
              <w:top w:w="0" w:type="dxa"/>
              <w:left w:w="0" w:type="dxa"/>
              <w:bottom w:w="0" w:type="dxa"/>
              <w:right w:w="0" w:type="dxa"/>
            </w:tcMar>
            <w:vAlign w:val="center"/>
          </w:tcPr>
          <w:p w14:paraId="64F2F9AF" w14:textId="77777777" w:rsidR="009103CC" w:rsidRPr="001814D2" w:rsidRDefault="009103CC" w:rsidP="002718DF">
            <w:pPr>
              <w:pStyle w:val="Tabletext"/>
              <w:jc w:val="right"/>
              <w:rPr>
                <w:rFonts w:cs="Preston"/>
                <w:szCs w:val="18"/>
              </w:rPr>
            </w:pPr>
            <w:r w:rsidRPr="001814D2">
              <w:rPr>
                <w:rFonts w:cs="Preston"/>
                <w:szCs w:val="18"/>
              </w:rPr>
              <w:t>12</w:t>
            </w:r>
          </w:p>
        </w:tc>
        <w:tc>
          <w:tcPr>
            <w:tcW w:w="569" w:type="pct"/>
            <w:tcBorders>
              <w:top w:val="single" w:sz="4" w:space="0" w:color="auto"/>
              <w:bottom w:val="single" w:sz="4" w:space="0" w:color="auto"/>
            </w:tcBorders>
            <w:tcMar>
              <w:top w:w="0" w:type="dxa"/>
              <w:left w:w="0" w:type="dxa"/>
              <w:bottom w:w="0" w:type="dxa"/>
              <w:right w:w="0" w:type="dxa"/>
            </w:tcMar>
            <w:vAlign w:val="center"/>
          </w:tcPr>
          <w:p w14:paraId="586198BF" w14:textId="77777777" w:rsidR="009103CC" w:rsidRPr="001814D2" w:rsidRDefault="009103CC" w:rsidP="002718DF">
            <w:pPr>
              <w:pStyle w:val="Tabletext"/>
              <w:jc w:val="right"/>
              <w:rPr>
                <w:rFonts w:cs="Preston"/>
                <w:szCs w:val="18"/>
              </w:rPr>
            </w:pPr>
            <w:r w:rsidRPr="001814D2">
              <w:rPr>
                <w:rFonts w:cs="Preston"/>
                <w:szCs w:val="18"/>
              </w:rPr>
              <w:t>848</w:t>
            </w:r>
          </w:p>
        </w:tc>
      </w:tr>
      <w:tr w:rsidR="009103CC" w:rsidRPr="001814D2" w14:paraId="25645D42"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7D2B1643" w14:textId="77777777" w:rsidR="009103CC" w:rsidRPr="001814D2" w:rsidRDefault="009103CC" w:rsidP="002718DF">
            <w:pPr>
              <w:pStyle w:val="Tabletext"/>
            </w:pPr>
            <w:r w:rsidRPr="001814D2">
              <w:t>Other</w:t>
            </w:r>
          </w:p>
        </w:tc>
        <w:tc>
          <w:tcPr>
            <w:tcW w:w="377" w:type="pct"/>
            <w:tcBorders>
              <w:top w:val="single" w:sz="4" w:space="0" w:color="auto"/>
              <w:bottom w:val="single" w:sz="4" w:space="0" w:color="auto"/>
            </w:tcBorders>
            <w:tcMar>
              <w:top w:w="0" w:type="dxa"/>
              <w:left w:w="0" w:type="dxa"/>
              <w:bottom w:w="0" w:type="dxa"/>
              <w:right w:w="0" w:type="dxa"/>
            </w:tcMar>
            <w:vAlign w:val="center"/>
          </w:tcPr>
          <w:p w14:paraId="790201DF"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5D0EB9D4" w14:textId="77777777" w:rsidR="009103CC" w:rsidRPr="001814D2" w:rsidRDefault="009103CC" w:rsidP="002718DF">
            <w:pPr>
              <w:pStyle w:val="Tabletext"/>
              <w:jc w:val="right"/>
              <w:rPr>
                <w:rFonts w:cs="Preston"/>
                <w:szCs w:val="18"/>
              </w:rPr>
            </w:pPr>
            <w:r w:rsidRPr="001814D2">
              <w:rPr>
                <w:rFonts w:cs="Preston"/>
                <w:szCs w:val="18"/>
              </w:rPr>
              <w:t>3,951</w:t>
            </w:r>
          </w:p>
        </w:tc>
        <w:tc>
          <w:tcPr>
            <w:tcW w:w="569" w:type="pct"/>
            <w:tcBorders>
              <w:top w:val="single" w:sz="4" w:space="0" w:color="auto"/>
              <w:bottom w:val="single" w:sz="4" w:space="0" w:color="auto"/>
            </w:tcBorders>
            <w:tcMar>
              <w:top w:w="0" w:type="dxa"/>
              <w:left w:w="0" w:type="dxa"/>
              <w:bottom w:w="0" w:type="dxa"/>
              <w:right w:w="0" w:type="dxa"/>
            </w:tcMar>
            <w:vAlign w:val="center"/>
          </w:tcPr>
          <w:p w14:paraId="18FBD08F" w14:textId="77777777" w:rsidR="009103CC" w:rsidRPr="001814D2" w:rsidRDefault="009103CC" w:rsidP="002718DF">
            <w:pPr>
              <w:pStyle w:val="Tabletext"/>
              <w:jc w:val="right"/>
              <w:rPr>
                <w:rFonts w:cs="Preston"/>
                <w:szCs w:val="18"/>
              </w:rPr>
            </w:pPr>
            <w:r w:rsidRPr="001814D2">
              <w:rPr>
                <w:rFonts w:cs="Preston"/>
                <w:szCs w:val="18"/>
              </w:rPr>
              <w:t>68</w:t>
            </w:r>
          </w:p>
        </w:tc>
        <w:tc>
          <w:tcPr>
            <w:tcW w:w="935" w:type="pct"/>
            <w:tcBorders>
              <w:top w:val="single" w:sz="4" w:space="0" w:color="auto"/>
              <w:bottom w:val="single" w:sz="4" w:space="0" w:color="auto"/>
            </w:tcBorders>
            <w:tcMar>
              <w:top w:w="0" w:type="dxa"/>
              <w:left w:w="0" w:type="dxa"/>
              <w:bottom w:w="0" w:type="dxa"/>
              <w:right w:w="0" w:type="dxa"/>
            </w:tcMar>
            <w:vAlign w:val="center"/>
          </w:tcPr>
          <w:p w14:paraId="0F7CCFED" w14:textId="77777777" w:rsidR="009103CC" w:rsidRPr="001814D2" w:rsidRDefault="009103CC" w:rsidP="002718DF">
            <w:pPr>
              <w:pStyle w:val="Tabletext"/>
              <w:jc w:val="right"/>
              <w:rPr>
                <w:rFonts w:cs="Preston"/>
                <w:szCs w:val="18"/>
              </w:rPr>
            </w:pPr>
            <w:r w:rsidRPr="001814D2">
              <w:rPr>
                <w:rFonts w:cs="Preston"/>
                <w:szCs w:val="18"/>
              </w:rPr>
              <w:t>15</w:t>
            </w:r>
          </w:p>
        </w:tc>
        <w:tc>
          <w:tcPr>
            <w:tcW w:w="569" w:type="pct"/>
            <w:tcBorders>
              <w:top w:val="single" w:sz="4" w:space="0" w:color="auto"/>
              <w:bottom w:val="single" w:sz="4" w:space="0" w:color="auto"/>
            </w:tcBorders>
            <w:tcMar>
              <w:top w:w="0" w:type="dxa"/>
              <w:left w:w="0" w:type="dxa"/>
              <w:bottom w:w="0" w:type="dxa"/>
              <w:right w:w="0" w:type="dxa"/>
            </w:tcMar>
            <w:vAlign w:val="center"/>
          </w:tcPr>
          <w:p w14:paraId="42415FA2" w14:textId="77777777" w:rsidR="009103CC" w:rsidRPr="001814D2" w:rsidRDefault="009103CC" w:rsidP="002718DF">
            <w:pPr>
              <w:pStyle w:val="Tabletext"/>
              <w:jc w:val="right"/>
              <w:rPr>
                <w:rFonts w:cs="Preston"/>
                <w:szCs w:val="18"/>
              </w:rPr>
            </w:pPr>
            <w:r w:rsidRPr="001814D2">
              <w:rPr>
                <w:rFonts w:cs="Preston"/>
                <w:szCs w:val="18"/>
              </w:rPr>
              <w:t>3,951</w:t>
            </w:r>
          </w:p>
        </w:tc>
        <w:tc>
          <w:tcPr>
            <w:tcW w:w="569" w:type="pct"/>
            <w:tcBorders>
              <w:top w:val="single" w:sz="4" w:space="0" w:color="auto"/>
              <w:bottom w:val="single" w:sz="4" w:space="0" w:color="auto"/>
            </w:tcBorders>
            <w:tcMar>
              <w:top w:w="0" w:type="dxa"/>
              <w:left w:w="0" w:type="dxa"/>
              <w:bottom w:w="0" w:type="dxa"/>
              <w:right w:w="0" w:type="dxa"/>
            </w:tcMar>
            <w:vAlign w:val="center"/>
          </w:tcPr>
          <w:p w14:paraId="60FEADF4" w14:textId="77777777" w:rsidR="009103CC" w:rsidRPr="001814D2" w:rsidRDefault="009103CC" w:rsidP="002718DF">
            <w:pPr>
              <w:pStyle w:val="Tabletext"/>
              <w:jc w:val="right"/>
              <w:rPr>
                <w:rFonts w:cs="Preston"/>
                <w:szCs w:val="18"/>
              </w:rPr>
            </w:pPr>
            <w:r w:rsidRPr="001814D2">
              <w:rPr>
                <w:rFonts w:cs="Preston"/>
                <w:szCs w:val="18"/>
              </w:rPr>
              <w:t>68</w:t>
            </w:r>
          </w:p>
        </w:tc>
      </w:tr>
      <w:tr w:rsidR="009103CC" w:rsidRPr="001814D2" w14:paraId="22A3A71B"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165A6ADF" w14:textId="77777777" w:rsidR="009103CC" w:rsidRPr="001814D2" w:rsidRDefault="009103CC" w:rsidP="002718DF">
            <w:pPr>
              <w:pStyle w:val="Tabletext"/>
              <w:rPr>
                <w:rFonts w:cs="Preston"/>
                <w:szCs w:val="18"/>
              </w:rPr>
            </w:pPr>
            <w:r w:rsidRPr="001814D2">
              <w:rPr>
                <w:rFonts w:cs="Preston"/>
                <w:szCs w:val="18"/>
              </w:rPr>
              <w:t>Total receipts</w:t>
            </w:r>
          </w:p>
        </w:tc>
        <w:tc>
          <w:tcPr>
            <w:tcW w:w="377" w:type="pct"/>
            <w:tcBorders>
              <w:top w:val="single" w:sz="4" w:space="0" w:color="auto"/>
              <w:bottom w:val="single" w:sz="4" w:space="0" w:color="auto"/>
            </w:tcBorders>
            <w:tcMar>
              <w:top w:w="0" w:type="dxa"/>
              <w:left w:w="0" w:type="dxa"/>
              <w:bottom w:w="0" w:type="dxa"/>
              <w:right w:w="0" w:type="dxa"/>
            </w:tcMar>
            <w:vAlign w:val="center"/>
          </w:tcPr>
          <w:p w14:paraId="25C2A1D7"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36C76AC1" w14:textId="77777777" w:rsidR="009103CC" w:rsidRPr="001814D2" w:rsidRDefault="009103CC" w:rsidP="002718DF">
            <w:pPr>
              <w:pStyle w:val="Tabletext"/>
              <w:jc w:val="right"/>
              <w:rPr>
                <w:rFonts w:cs="Preston"/>
                <w:szCs w:val="18"/>
              </w:rPr>
            </w:pPr>
            <w:r w:rsidRPr="001814D2">
              <w:rPr>
                <w:rFonts w:cs="Preston"/>
                <w:szCs w:val="18"/>
              </w:rPr>
              <w:t>190,466</w:t>
            </w:r>
          </w:p>
        </w:tc>
        <w:tc>
          <w:tcPr>
            <w:tcW w:w="569" w:type="pct"/>
            <w:tcBorders>
              <w:top w:val="single" w:sz="4" w:space="0" w:color="auto"/>
              <w:bottom w:val="single" w:sz="4" w:space="0" w:color="auto"/>
            </w:tcBorders>
            <w:tcMar>
              <w:top w:w="0" w:type="dxa"/>
              <w:left w:w="0" w:type="dxa"/>
              <w:bottom w:w="0" w:type="dxa"/>
              <w:right w:w="0" w:type="dxa"/>
            </w:tcMar>
            <w:vAlign w:val="center"/>
          </w:tcPr>
          <w:p w14:paraId="1B574A0E" w14:textId="77777777" w:rsidR="009103CC" w:rsidRPr="001814D2" w:rsidRDefault="009103CC" w:rsidP="002718DF">
            <w:pPr>
              <w:pStyle w:val="Tabletext"/>
              <w:jc w:val="right"/>
              <w:rPr>
                <w:rFonts w:cs="Preston"/>
                <w:szCs w:val="18"/>
              </w:rPr>
            </w:pPr>
            <w:r w:rsidRPr="001814D2">
              <w:rPr>
                <w:rFonts w:cs="Preston"/>
                <w:szCs w:val="18"/>
              </w:rPr>
              <w:t>129,612</w:t>
            </w:r>
          </w:p>
        </w:tc>
        <w:tc>
          <w:tcPr>
            <w:tcW w:w="935" w:type="pct"/>
            <w:tcBorders>
              <w:top w:val="single" w:sz="4" w:space="0" w:color="auto"/>
              <w:bottom w:val="single" w:sz="4" w:space="0" w:color="auto"/>
            </w:tcBorders>
            <w:tcMar>
              <w:top w:w="0" w:type="dxa"/>
              <w:left w:w="0" w:type="dxa"/>
              <w:bottom w:w="0" w:type="dxa"/>
              <w:right w:w="0" w:type="dxa"/>
            </w:tcMar>
            <w:vAlign w:val="center"/>
          </w:tcPr>
          <w:p w14:paraId="7EC0A9B0" w14:textId="77777777" w:rsidR="009103CC" w:rsidRPr="001814D2" w:rsidRDefault="009103CC" w:rsidP="002718DF">
            <w:pPr>
              <w:pStyle w:val="Tabletext"/>
              <w:jc w:val="right"/>
              <w:rPr>
                <w:rFonts w:cs="Preston"/>
                <w:szCs w:val="18"/>
              </w:rPr>
            </w:pPr>
            <w:r w:rsidRPr="001814D2">
              <w:rPr>
                <w:rFonts w:cs="Preston"/>
                <w:szCs w:val="18"/>
              </w:rPr>
              <w:t>190,632</w:t>
            </w:r>
          </w:p>
        </w:tc>
        <w:tc>
          <w:tcPr>
            <w:tcW w:w="569" w:type="pct"/>
            <w:tcBorders>
              <w:top w:val="single" w:sz="4" w:space="0" w:color="auto"/>
              <w:bottom w:val="single" w:sz="4" w:space="0" w:color="auto"/>
            </w:tcBorders>
            <w:tcMar>
              <w:top w:w="0" w:type="dxa"/>
              <w:left w:w="0" w:type="dxa"/>
              <w:bottom w:w="0" w:type="dxa"/>
              <w:right w:w="0" w:type="dxa"/>
            </w:tcMar>
            <w:vAlign w:val="center"/>
          </w:tcPr>
          <w:p w14:paraId="403AC464" w14:textId="77777777" w:rsidR="009103CC" w:rsidRPr="001814D2" w:rsidRDefault="009103CC" w:rsidP="002718DF">
            <w:pPr>
              <w:pStyle w:val="Tabletext"/>
              <w:jc w:val="right"/>
              <w:rPr>
                <w:rFonts w:cs="Preston"/>
                <w:szCs w:val="18"/>
              </w:rPr>
            </w:pPr>
            <w:r w:rsidRPr="001814D2">
              <w:rPr>
                <w:rFonts w:cs="Preston"/>
                <w:szCs w:val="18"/>
              </w:rPr>
              <w:t>193,048</w:t>
            </w:r>
          </w:p>
        </w:tc>
        <w:tc>
          <w:tcPr>
            <w:tcW w:w="569" w:type="pct"/>
            <w:tcBorders>
              <w:top w:val="single" w:sz="4" w:space="0" w:color="auto"/>
              <w:bottom w:val="single" w:sz="4" w:space="0" w:color="auto"/>
            </w:tcBorders>
            <w:tcMar>
              <w:top w:w="0" w:type="dxa"/>
              <w:left w:w="0" w:type="dxa"/>
              <w:bottom w:w="0" w:type="dxa"/>
              <w:right w:w="0" w:type="dxa"/>
            </w:tcMar>
            <w:vAlign w:val="center"/>
          </w:tcPr>
          <w:p w14:paraId="298D091F" w14:textId="77777777" w:rsidR="009103CC" w:rsidRPr="001814D2" w:rsidRDefault="009103CC" w:rsidP="002718DF">
            <w:pPr>
              <w:pStyle w:val="Tabletext"/>
              <w:jc w:val="right"/>
              <w:rPr>
                <w:rFonts w:cs="Preston"/>
                <w:szCs w:val="18"/>
              </w:rPr>
            </w:pPr>
            <w:r w:rsidRPr="001814D2">
              <w:rPr>
                <w:rFonts w:cs="Preston"/>
                <w:szCs w:val="18"/>
              </w:rPr>
              <w:t>134,436</w:t>
            </w:r>
          </w:p>
        </w:tc>
      </w:tr>
      <w:tr w:rsidR="009103CC" w:rsidRPr="001814D2" w14:paraId="73E63654"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7B4E7D2A" w14:textId="77777777" w:rsidR="009103CC" w:rsidRPr="001814D2" w:rsidRDefault="009103CC" w:rsidP="002718DF">
            <w:pPr>
              <w:pStyle w:val="Tabletext"/>
            </w:pPr>
          </w:p>
        </w:tc>
        <w:tc>
          <w:tcPr>
            <w:tcW w:w="377" w:type="pct"/>
            <w:tcBorders>
              <w:top w:val="single" w:sz="4" w:space="0" w:color="auto"/>
              <w:bottom w:val="single" w:sz="4" w:space="0" w:color="auto"/>
            </w:tcBorders>
            <w:tcMar>
              <w:top w:w="0" w:type="dxa"/>
              <w:left w:w="0" w:type="dxa"/>
              <w:bottom w:w="0" w:type="dxa"/>
              <w:right w:w="0" w:type="dxa"/>
            </w:tcMar>
            <w:vAlign w:val="center"/>
          </w:tcPr>
          <w:p w14:paraId="0D24A39B"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51A521C9"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470E09DD" w14:textId="77777777" w:rsidR="009103CC" w:rsidRPr="001814D2" w:rsidRDefault="009103CC" w:rsidP="002718DF">
            <w:pPr>
              <w:pStyle w:val="Tabletext"/>
              <w:jc w:val="right"/>
            </w:pPr>
          </w:p>
        </w:tc>
        <w:tc>
          <w:tcPr>
            <w:tcW w:w="935" w:type="pct"/>
            <w:tcBorders>
              <w:top w:val="single" w:sz="4" w:space="0" w:color="auto"/>
              <w:bottom w:val="single" w:sz="4" w:space="0" w:color="auto"/>
            </w:tcBorders>
            <w:tcMar>
              <w:top w:w="0" w:type="dxa"/>
              <w:left w:w="0" w:type="dxa"/>
              <w:bottom w:w="0" w:type="dxa"/>
              <w:right w:w="0" w:type="dxa"/>
            </w:tcMar>
            <w:vAlign w:val="center"/>
          </w:tcPr>
          <w:p w14:paraId="009D4811"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2CE2736B"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06728F0A" w14:textId="77777777" w:rsidR="009103CC" w:rsidRPr="001814D2" w:rsidRDefault="009103CC" w:rsidP="002718DF">
            <w:pPr>
              <w:pStyle w:val="Tabletext"/>
              <w:jc w:val="right"/>
            </w:pPr>
          </w:p>
        </w:tc>
      </w:tr>
      <w:tr w:rsidR="009103CC" w:rsidRPr="001814D2" w14:paraId="67B9EBCA" w14:textId="77777777" w:rsidTr="002718DF">
        <w:trPr>
          <w:cantSplit/>
          <w:trHeight w:hRule="exact" w:val="553"/>
        </w:trPr>
        <w:tc>
          <w:tcPr>
            <w:tcW w:w="1412" w:type="pct"/>
            <w:tcBorders>
              <w:top w:val="single" w:sz="4" w:space="0" w:color="auto"/>
              <w:bottom w:val="single" w:sz="4" w:space="0" w:color="auto"/>
            </w:tcBorders>
            <w:tcMar>
              <w:top w:w="0" w:type="dxa"/>
              <w:left w:w="0" w:type="dxa"/>
              <w:bottom w:w="0" w:type="dxa"/>
              <w:right w:w="0" w:type="dxa"/>
            </w:tcMar>
            <w:vAlign w:val="center"/>
          </w:tcPr>
          <w:p w14:paraId="61BF25D8" w14:textId="77777777" w:rsidR="009103CC" w:rsidRPr="001814D2" w:rsidRDefault="009103CC" w:rsidP="002718DF">
            <w:pPr>
              <w:pStyle w:val="Tabletext"/>
              <w:rPr>
                <w:rFonts w:cs="Preston"/>
                <w:szCs w:val="18"/>
              </w:rPr>
            </w:pPr>
            <w:r w:rsidRPr="001814D2">
              <w:rPr>
                <w:rFonts w:cs="Preston"/>
                <w:szCs w:val="18"/>
              </w:rPr>
              <w:t>Net cash flows from operating activities</w:t>
            </w:r>
          </w:p>
        </w:tc>
        <w:tc>
          <w:tcPr>
            <w:tcW w:w="377" w:type="pct"/>
            <w:tcBorders>
              <w:top w:val="single" w:sz="4" w:space="0" w:color="auto"/>
              <w:bottom w:val="single" w:sz="4" w:space="0" w:color="auto"/>
            </w:tcBorders>
            <w:tcMar>
              <w:top w:w="0" w:type="dxa"/>
              <w:left w:w="0" w:type="dxa"/>
              <w:bottom w:w="0" w:type="dxa"/>
              <w:right w:w="0" w:type="dxa"/>
            </w:tcMar>
            <w:vAlign w:val="center"/>
          </w:tcPr>
          <w:p w14:paraId="7D1BB24C" w14:textId="77777777" w:rsidR="009103CC" w:rsidRPr="001814D2" w:rsidRDefault="009103CC" w:rsidP="002718DF">
            <w:pPr>
              <w:pStyle w:val="Tabletext"/>
              <w:rPr>
                <w:rFonts w:cs="Preston"/>
                <w:szCs w:val="18"/>
              </w:rPr>
            </w:pPr>
            <w:r w:rsidRPr="001814D2">
              <w:rPr>
                <w:rFonts w:cs="Preston"/>
                <w:szCs w:val="18"/>
              </w:rPr>
              <w:t>13</w:t>
            </w:r>
          </w:p>
          <w:p w14:paraId="2A93FDDB" w14:textId="77777777" w:rsidR="009103CC" w:rsidRPr="001814D2" w:rsidRDefault="009103CC" w:rsidP="002718DF">
            <w:pPr>
              <w:pStyle w:val="Tabletex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0A7E71EF" w14:textId="77777777" w:rsidR="009103CC" w:rsidRPr="001814D2" w:rsidRDefault="009103CC" w:rsidP="002718DF">
            <w:pPr>
              <w:pStyle w:val="Tabletext"/>
              <w:jc w:val="right"/>
              <w:rPr>
                <w:rFonts w:cs="Preston"/>
                <w:szCs w:val="18"/>
              </w:rPr>
            </w:pPr>
            <w:r w:rsidRPr="001814D2">
              <w:rPr>
                <w:rFonts w:cs="Preston"/>
                <w:szCs w:val="18"/>
              </w:rPr>
              <w:t>142,660</w:t>
            </w:r>
          </w:p>
          <w:p w14:paraId="2FE59A38"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165A1942" w14:textId="77777777" w:rsidR="009103CC" w:rsidRPr="001814D2" w:rsidRDefault="009103CC" w:rsidP="002718DF">
            <w:pPr>
              <w:pStyle w:val="Tabletext"/>
              <w:jc w:val="right"/>
              <w:rPr>
                <w:rFonts w:cs="Preston"/>
                <w:szCs w:val="18"/>
              </w:rPr>
            </w:pPr>
            <w:r w:rsidRPr="001814D2">
              <w:rPr>
                <w:rFonts w:cs="Preston"/>
                <w:szCs w:val="18"/>
              </w:rPr>
              <w:t>79,572</w:t>
            </w:r>
          </w:p>
          <w:p w14:paraId="1987B453" w14:textId="77777777" w:rsidR="009103CC" w:rsidRPr="001814D2" w:rsidRDefault="009103CC" w:rsidP="002718DF">
            <w:pPr>
              <w:pStyle w:val="Tabletext"/>
              <w:jc w:val="right"/>
              <w:rPr>
                <w:rFonts w:cs="Preston"/>
                <w:szCs w:val="18"/>
              </w:rPr>
            </w:pPr>
          </w:p>
        </w:tc>
        <w:tc>
          <w:tcPr>
            <w:tcW w:w="935" w:type="pct"/>
            <w:tcBorders>
              <w:top w:val="single" w:sz="4" w:space="0" w:color="auto"/>
              <w:bottom w:val="single" w:sz="4" w:space="0" w:color="auto"/>
            </w:tcBorders>
            <w:tcMar>
              <w:top w:w="0" w:type="dxa"/>
              <w:left w:w="0" w:type="dxa"/>
              <w:bottom w:w="0" w:type="dxa"/>
              <w:right w:w="0" w:type="dxa"/>
            </w:tcMar>
            <w:vAlign w:val="center"/>
          </w:tcPr>
          <w:p w14:paraId="061D823D" w14:textId="77777777" w:rsidR="009103CC" w:rsidRPr="001814D2" w:rsidRDefault="009103CC" w:rsidP="002718DF">
            <w:pPr>
              <w:pStyle w:val="Tabletext"/>
              <w:jc w:val="right"/>
              <w:rPr>
                <w:rFonts w:cs="Preston"/>
                <w:szCs w:val="18"/>
              </w:rPr>
            </w:pPr>
            <w:r w:rsidRPr="001814D2">
              <w:rPr>
                <w:rFonts w:cs="Preston"/>
                <w:szCs w:val="18"/>
              </w:rPr>
              <w:t>142,843</w:t>
            </w:r>
          </w:p>
          <w:p w14:paraId="351A0679"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42771F28" w14:textId="77777777" w:rsidR="009103CC" w:rsidRPr="001814D2" w:rsidRDefault="009103CC" w:rsidP="002718DF">
            <w:pPr>
              <w:pStyle w:val="Tabletext"/>
              <w:jc w:val="right"/>
              <w:rPr>
                <w:rFonts w:cs="Preston"/>
                <w:szCs w:val="18"/>
              </w:rPr>
            </w:pPr>
            <w:r w:rsidRPr="001814D2">
              <w:rPr>
                <w:rFonts w:cs="Preston"/>
                <w:szCs w:val="18"/>
              </w:rPr>
              <w:t>142,541</w:t>
            </w:r>
          </w:p>
          <w:p w14:paraId="6EF31B25"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7F653D91" w14:textId="77777777" w:rsidR="009103CC" w:rsidRPr="001814D2" w:rsidRDefault="009103CC" w:rsidP="002718DF">
            <w:pPr>
              <w:pStyle w:val="Tabletext"/>
              <w:jc w:val="right"/>
              <w:rPr>
                <w:rFonts w:cs="Preston"/>
                <w:szCs w:val="18"/>
              </w:rPr>
            </w:pPr>
            <w:r w:rsidRPr="001814D2">
              <w:rPr>
                <w:rFonts w:cs="Preston"/>
                <w:szCs w:val="18"/>
              </w:rPr>
              <w:t>79,725</w:t>
            </w:r>
          </w:p>
          <w:p w14:paraId="69F7EFDD" w14:textId="77777777" w:rsidR="009103CC" w:rsidRPr="001814D2" w:rsidRDefault="009103CC" w:rsidP="002718DF">
            <w:pPr>
              <w:pStyle w:val="Tabletext"/>
              <w:jc w:val="right"/>
              <w:rPr>
                <w:rFonts w:cs="Preston"/>
                <w:szCs w:val="18"/>
              </w:rPr>
            </w:pPr>
          </w:p>
        </w:tc>
      </w:tr>
      <w:tr w:rsidR="009103CC" w:rsidRPr="001814D2" w14:paraId="699DE366" w14:textId="77777777" w:rsidTr="002718DF">
        <w:trPr>
          <w:cantSplit/>
          <w:trHeight w:hRule="exact" w:val="332"/>
        </w:trPr>
        <w:tc>
          <w:tcPr>
            <w:tcW w:w="1412" w:type="pct"/>
            <w:tcBorders>
              <w:top w:val="single" w:sz="4" w:space="0" w:color="auto"/>
            </w:tcBorders>
            <w:tcMar>
              <w:top w:w="0" w:type="dxa"/>
              <w:left w:w="0" w:type="dxa"/>
              <w:bottom w:w="0" w:type="dxa"/>
              <w:right w:w="0" w:type="dxa"/>
            </w:tcMar>
            <w:vAlign w:val="center"/>
          </w:tcPr>
          <w:p w14:paraId="6297A3E9" w14:textId="77777777" w:rsidR="009103CC" w:rsidRPr="001814D2" w:rsidRDefault="009103CC" w:rsidP="002718DF">
            <w:pPr>
              <w:pStyle w:val="Tabletext"/>
            </w:pPr>
          </w:p>
        </w:tc>
        <w:tc>
          <w:tcPr>
            <w:tcW w:w="377" w:type="pct"/>
            <w:tcBorders>
              <w:top w:val="single" w:sz="4" w:space="0" w:color="auto"/>
            </w:tcBorders>
            <w:tcMar>
              <w:top w:w="0" w:type="dxa"/>
              <w:left w:w="0" w:type="dxa"/>
              <w:bottom w:w="0" w:type="dxa"/>
              <w:right w:w="0" w:type="dxa"/>
            </w:tcMar>
            <w:vAlign w:val="center"/>
          </w:tcPr>
          <w:p w14:paraId="6E780153" w14:textId="77777777" w:rsidR="009103CC" w:rsidRPr="001814D2" w:rsidRDefault="009103CC" w:rsidP="002718DF">
            <w:pPr>
              <w:pStyle w:val="Tabletext"/>
            </w:pPr>
          </w:p>
        </w:tc>
        <w:tc>
          <w:tcPr>
            <w:tcW w:w="569" w:type="pct"/>
            <w:tcBorders>
              <w:top w:val="single" w:sz="4" w:space="0" w:color="auto"/>
            </w:tcBorders>
            <w:tcMar>
              <w:top w:w="0" w:type="dxa"/>
              <w:left w:w="0" w:type="dxa"/>
              <w:bottom w:w="0" w:type="dxa"/>
              <w:right w:w="0" w:type="dxa"/>
            </w:tcMar>
            <w:vAlign w:val="center"/>
          </w:tcPr>
          <w:p w14:paraId="0CD7CBA2" w14:textId="77777777" w:rsidR="009103CC" w:rsidRPr="001814D2" w:rsidRDefault="009103CC" w:rsidP="002718DF">
            <w:pPr>
              <w:pStyle w:val="Tabletext"/>
              <w:jc w:val="right"/>
            </w:pPr>
          </w:p>
        </w:tc>
        <w:tc>
          <w:tcPr>
            <w:tcW w:w="569" w:type="pct"/>
            <w:tcBorders>
              <w:top w:val="single" w:sz="4" w:space="0" w:color="auto"/>
            </w:tcBorders>
            <w:tcMar>
              <w:top w:w="0" w:type="dxa"/>
              <w:left w:w="0" w:type="dxa"/>
              <w:bottom w:w="0" w:type="dxa"/>
              <w:right w:w="0" w:type="dxa"/>
            </w:tcMar>
            <w:vAlign w:val="center"/>
          </w:tcPr>
          <w:p w14:paraId="4DABD0B4" w14:textId="77777777" w:rsidR="009103CC" w:rsidRPr="001814D2" w:rsidRDefault="009103CC" w:rsidP="002718DF">
            <w:pPr>
              <w:pStyle w:val="Tabletext"/>
              <w:jc w:val="right"/>
            </w:pPr>
          </w:p>
        </w:tc>
        <w:tc>
          <w:tcPr>
            <w:tcW w:w="935" w:type="pct"/>
            <w:tcBorders>
              <w:top w:val="single" w:sz="4" w:space="0" w:color="auto"/>
            </w:tcBorders>
            <w:tcMar>
              <w:top w:w="0" w:type="dxa"/>
              <w:left w:w="0" w:type="dxa"/>
              <w:bottom w:w="0" w:type="dxa"/>
              <w:right w:w="0" w:type="dxa"/>
            </w:tcMar>
            <w:vAlign w:val="center"/>
          </w:tcPr>
          <w:p w14:paraId="537274D6" w14:textId="77777777" w:rsidR="009103CC" w:rsidRPr="001814D2" w:rsidRDefault="009103CC" w:rsidP="002718DF">
            <w:pPr>
              <w:pStyle w:val="Tabletext"/>
              <w:jc w:val="right"/>
            </w:pPr>
          </w:p>
        </w:tc>
        <w:tc>
          <w:tcPr>
            <w:tcW w:w="569" w:type="pct"/>
            <w:tcBorders>
              <w:top w:val="single" w:sz="4" w:space="0" w:color="auto"/>
            </w:tcBorders>
            <w:tcMar>
              <w:top w:w="0" w:type="dxa"/>
              <w:left w:w="0" w:type="dxa"/>
              <w:bottom w:w="0" w:type="dxa"/>
              <w:right w:w="0" w:type="dxa"/>
            </w:tcMar>
            <w:vAlign w:val="center"/>
          </w:tcPr>
          <w:p w14:paraId="68F921B6" w14:textId="77777777" w:rsidR="009103CC" w:rsidRPr="001814D2" w:rsidRDefault="009103CC" w:rsidP="002718DF">
            <w:pPr>
              <w:pStyle w:val="Tabletext"/>
              <w:jc w:val="right"/>
            </w:pPr>
          </w:p>
        </w:tc>
        <w:tc>
          <w:tcPr>
            <w:tcW w:w="569" w:type="pct"/>
            <w:tcBorders>
              <w:top w:val="single" w:sz="4" w:space="0" w:color="auto"/>
            </w:tcBorders>
            <w:tcMar>
              <w:top w:w="0" w:type="dxa"/>
              <w:left w:w="0" w:type="dxa"/>
              <w:bottom w:w="0" w:type="dxa"/>
              <w:right w:w="0" w:type="dxa"/>
            </w:tcMar>
            <w:vAlign w:val="center"/>
          </w:tcPr>
          <w:p w14:paraId="388F3981" w14:textId="77777777" w:rsidR="009103CC" w:rsidRPr="001814D2" w:rsidRDefault="009103CC" w:rsidP="002718DF">
            <w:pPr>
              <w:pStyle w:val="Tabletext"/>
              <w:jc w:val="right"/>
            </w:pPr>
          </w:p>
        </w:tc>
      </w:tr>
      <w:tr w:rsidR="009103CC" w:rsidRPr="0084002D" w14:paraId="0964B973" w14:textId="77777777" w:rsidTr="002718DF">
        <w:trPr>
          <w:cantSplit/>
          <w:trHeight w:hRule="exact" w:val="530"/>
        </w:trPr>
        <w:tc>
          <w:tcPr>
            <w:tcW w:w="1412" w:type="pct"/>
            <w:tcBorders>
              <w:bottom w:val="single" w:sz="4" w:space="0" w:color="auto"/>
            </w:tcBorders>
            <w:tcMar>
              <w:top w:w="0" w:type="dxa"/>
              <w:left w:w="0" w:type="dxa"/>
              <w:bottom w:w="0" w:type="dxa"/>
              <w:right w:w="0" w:type="dxa"/>
            </w:tcMar>
            <w:vAlign w:val="center"/>
          </w:tcPr>
          <w:p w14:paraId="6929C294" w14:textId="77777777" w:rsidR="009103CC" w:rsidRPr="0084002D" w:rsidRDefault="009103CC" w:rsidP="002718DF">
            <w:pPr>
              <w:pStyle w:val="Tabletext"/>
              <w:rPr>
                <w:rFonts w:cs="Preston"/>
                <w:b/>
                <w:bCs/>
                <w:szCs w:val="18"/>
              </w:rPr>
            </w:pPr>
            <w:r w:rsidRPr="0084002D">
              <w:rPr>
                <w:rFonts w:cs="Preston"/>
                <w:b/>
                <w:bCs/>
                <w:szCs w:val="18"/>
              </w:rPr>
              <w:t>Cash flows from investing activities</w:t>
            </w:r>
          </w:p>
        </w:tc>
        <w:tc>
          <w:tcPr>
            <w:tcW w:w="377" w:type="pct"/>
            <w:tcBorders>
              <w:bottom w:val="single" w:sz="4" w:space="0" w:color="auto"/>
            </w:tcBorders>
            <w:tcMar>
              <w:top w:w="0" w:type="dxa"/>
              <w:left w:w="0" w:type="dxa"/>
              <w:bottom w:w="0" w:type="dxa"/>
              <w:right w:w="0" w:type="dxa"/>
            </w:tcMar>
            <w:vAlign w:val="center"/>
          </w:tcPr>
          <w:p w14:paraId="021A91A5" w14:textId="77777777" w:rsidR="009103CC" w:rsidRPr="0084002D" w:rsidRDefault="009103CC" w:rsidP="002718DF">
            <w:pPr>
              <w:pStyle w:val="Tabletext"/>
              <w:rPr>
                <w:b/>
                <w:bCs/>
              </w:rPr>
            </w:pPr>
          </w:p>
        </w:tc>
        <w:tc>
          <w:tcPr>
            <w:tcW w:w="569" w:type="pct"/>
            <w:tcBorders>
              <w:bottom w:val="single" w:sz="4" w:space="0" w:color="auto"/>
            </w:tcBorders>
            <w:tcMar>
              <w:top w:w="0" w:type="dxa"/>
              <w:left w:w="0" w:type="dxa"/>
              <w:bottom w:w="0" w:type="dxa"/>
              <w:right w:w="0" w:type="dxa"/>
            </w:tcMar>
            <w:vAlign w:val="center"/>
          </w:tcPr>
          <w:p w14:paraId="50520D4E" w14:textId="77777777" w:rsidR="009103CC" w:rsidRPr="0084002D" w:rsidRDefault="009103CC" w:rsidP="002718DF">
            <w:pPr>
              <w:pStyle w:val="Tabletext"/>
              <w:jc w:val="right"/>
              <w:rPr>
                <w:b/>
                <w:bCs/>
              </w:rPr>
            </w:pPr>
          </w:p>
        </w:tc>
        <w:tc>
          <w:tcPr>
            <w:tcW w:w="569" w:type="pct"/>
            <w:tcBorders>
              <w:bottom w:val="single" w:sz="4" w:space="0" w:color="auto"/>
            </w:tcBorders>
            <w:tcMar>
              <w:top w:w="0" w:type="dxa"/>
              <w:left w:w="0" w:type="dxa"/>
              <w:bottom w:w="0" w:type="dxa"/>
              <w:right w:w="0" w:type="dxa"/>
            </w:tcMar>
            <w:vAlign w:val="center"/>
          </w:tcPr>
          <w:p w14:paraId="76D5432D" w14:textId="77777777" w:rsidR="009103CC" w:rsidRPr="0084002D" w:rsidRDefault="009103CC" w:rsidP="002718DF">
            <w:pPr>
              <w:pStyle w:val="Tabletext"/>
              <w:jc w:val="right"/>
              <w:rPr>
                <w:b/>
                <w:bCs/>
              </w:rPr>
            </w:pPr>
          </w:p>
        </w:tc>
        <w:tc>
          <w:tcPr>
            <w:tcW w:w="935" w:type="pct"/>
            <w:tcBorders>
              <w:bottom w:val="single" w:sz="4" w:space="0" w:color="auto"/>
            </w:tcBorders>
            <w:tcMar>
              <w:top w:w="0" w:type="dxa"/>
              <w:left w:w="0" w:type="dxa"/>
              <w:bottom w:w="0" w:type="dxa"/>
              <w:right w:w="0" w:type="dxa"/>
            </w:tcMar>
            <w:vAlign w:val="center"/>
          </w:tcPr>
          <w:p w14:paraId="6E7EFE05" w14:textId="77777777" w:rsidR="009103CC" w:rsidRPr="0084002D" w:rsidRDefault="009103CC" w:rsidP="002718DF">
            <w:pPr>
              <w:pStyle w:val="Tabletext"/>
              <w:jc w:val="right"/>
              <w:rPr>
                <w:b/>
                <w:bCs/>
              </w:rPr>
            </w:pPr>
          </w:p>
        </w:tc>
        <w:tc>
          <w:tcPr>
            <w:tcW w:w="569" w:type="pct"/>
            <w:tcBorders>
              <w:bottom w:val="single" w:sz="4" w:space="0" w:color="auto"/>
            </w:tcBorders>
            <w:tcMar>
              <w:top w:w="0" w:type="dxa"/>
              <w:left w:w="0" w:type="dxa"/>
              <w:bottom w:w="0" w:type="dxa"/>
              <w:right w:w="0" w:type="dxa"/>
            </w:tcMar>
            <w:vAlign w:val="center"/>
          </w:tcPr>
          <w:p w14:paraId="18E3FC95" w14:textId="77777777" w:rsidR="009103CC" w:rsidRPr="0084002D" w:rsidRDefault="009103CC" w:rsidP="002718DF">
            <w:pPr>
              <w:pStyle w:val="Tabletext"/>
              <w:jc w:val="right"/>
              <w:rPr>
                <w:b/>
                <w:bCs/>
              </w:rPr>
            </w:pPr>
          </w:p>
        </w:tc>
        <w:tc>
          <w:tcPr>
            <w:tcW w:w="569" w:type="pct"/>
            <w:tcBorders>
              <w:bottom w:val="single" w:sz="4" w:space="0" w:color="auto"/>
            </w:tcBorders>
            <w:tcMar>
              <w:top w:w="0" w:type="dxa"/>
              <w:left w:w="0" w:type="dxa"/>
              <w:bottom w:w="0" w:type="dxa"/>
              <w:right w:w="0" w:type="dxa"/>
            </w:tcMar>
            <w:vAlign w:val="center"/>
          </w:tcPr>
          <w:p w14:paraId="7D5D8FDB" w14:textId="77777777" w:rsidR="009103CC" w:rsidRPr="0084002D" w:rsidRDefault="009103CC" w:rsidP="002718DF">
            <w:pPr>
              <w:pStyle w:val="Tabletext"/>
              <w:jc w:val="right"/>
              <w:rPr>
                <w:b/>
                <w:bCs/>
              </w:rPr>
            </w:pPr>
          </w:p>
        </w:tc>
      </w:tr>
      <w:tr w:rsidR="009103CC" w:rsidRPr="001814D2" w14:paraId="65C19BFE" w14:textId="77777777" w:rsidTr="002718DF">
        <w:trPr>
          <w:cantSplit/>
          <w:trHeight w:hRule="exact" w:val="553"/>
        </w:trPr>
        <w:tc>
          <w:tcPr>
            <w:tcW w:w="1412" w:type="pct"/>
            <w:tcBorders>
              <w:top w:val="single" w:sz="4" w:space="0" w:color="auto"/>
              <w:bottom w:val="single" w:sz="4" w:space="0" w:color="auto"/>
            </w:tcBorders>
            <w:tcMar>
              <w:top w:w="0" w:type="dxa"/>
              <w:left w:w="0" w:type="dxa"/>
              <w:bottom w:w="0" w:type="dxa"/>
              <w:right w:w="0" w:type="dxa"/>
            </w:tcMar>
            <w:vAlign w:val="center"/>
          </w:tcPr>
          <w:p w14:paraId="782B3209" w14:textId="77777777" w:rsidR="009103CC" w:rsidRPr="001814D2" w:rsidRDefault="009103CC" w:rsidP="002718DF">
            <w:pPr>
              <w:pStyle w:val="Tabletext"/>
            </w:pPr>
            <w:r w:rsidRPr="001814D2">
              <w:t xml:space="preserve">Purchases of property, plant </w:t>
            </w:r>
            <w:r w:rsidRPr="001814D2">
              <w:br/>
              <w:t>and equipment</w:t>
            </w:r>
          </w:p>
        </w:tc>
        <w:tc>
          <w:tcPr>
            <w:tcW w:w="377" w:type="pct"/>
            <w:tcBorders>
              <w:top w:val="single" w:sz="4" w:space="0" w:color="auto"/>
              <w:bottom w:val="single" w:sz="4" w:space="0" w:color="auto"/>
            </w:tcBorders>
            <w:tcMar>
              <w:top w:w="0" w:type="dxa"/>
              <w:left w:w="0" w:type="dxa"/>
              <w:bottom w:w="0" w:type="dxa"/>
              <w:right w:w="0" w:type="dxa"/>
            </w:tcMar>
            <w:vAlign w:val="center"/>
          </w:tcPr>
          <w:p w14:paraId="2C2B8B7E"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1D931CF1" w14:textId="77777777" w:rsidR="009103CC" w:rsidRPr="001814D2" w:rsidRDefault="009103CC" w:rsidP="002718DF">
            <w:pPr>
              <w:pStyle w:val="Tabletext"/>
              <w:jc w:val="right"/>
              <w:rPr>
                <w:rFonts w:cs="Preston"/>
                <w:szCs w:val="18"/>
              </w:rPr>
            </w:pPr>
            <w:r w:rsidRPr="001814D2">
              <w:rPr>
                <w:rFonts w:cs="Preston"/>
                <w:szCs w:val="18"/>
              </w:rPr>
              <w:t>(115,118)</w:t>
            </w:r>
          </w:p>
          <w:p w14:paraId="2FCA1DEC"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77EAAE70" w14:textId="77777777" w:rsidR="009103CC" w:rsidRPr="001814D2" w:rsidRDefault="009103CC" w:rsidP="002718DF">
            <w:pPr>
              <w:pStyle w:val="Tabletext"/>
              <w:jc w:val="right"/>
              <w:rPr>
                <w:rFonts w:cs="Preston"/>
                <w:szCs w:val="18"/>
              </w:rPr>
            </w:pPr>
            <w:r w:rsidRPr="001814D2">
              <w:rPr>
                <w:rFonts w:cs="Preston"/>
                <w:szCs w:val="18"/>
              </w:rPr>
              <w:t>(47,213)</w:t>
            </w:r>
          </w:p>
          <w:p w14:paraId="0132F860" w14:textId="77777777" w:rsidR="009103CC" w:rsidRPr="001814D2" w:rsidRDefault="009103CC" w:rsidP="002718DF">
            <w:pPr>
              <w:pStyle w:val="Tabletext"/>
              <w:jc w:val="right"/>
              <w:rPr>
                <w:rFonts w:cs="Preston"/>
                <w:szCs w:val="18"/>
              </w:rPr>
            </w:pPr>
          </w:p>
        </w:tc>
        <w:tc>
          <w:tcPr>
            <w:tcW w:w="935" w:type="pct"/>
            <w:tcBorders>
              <w:top w:val="single" w:sz="4" w:space="0" w:color="auto"/>
              <w:bottom w:val="single" w:sz="4" w:space="0" w:color="auto"/>
            </w:tcBorders>
            <w:tcMar>
              <w:top w:w="0" w:type="dxa"/>
              <w:left w:w="0" w:type="dxa"/>
              <w:bottom w:w="0" w:type="dxa"/>
              <w:right w:w="0" w:type="dxa"/>
            </w:tcMar>
            <w:vAlign w:val="center"/>
          </w:tcPr>
          <w:p w14:paraId="1B6F2DC1" w14:textId="77777777" w:rsidR="009103CC" w:rsidRPr="001814D2" w:rsidRDefault="009103CC" w:rsidP="002718DF">
            <w:pPr>
              <w:pStyle w:val="Tabletext"/>
              <w:jc w:val="right"/>
              <w:rPr>
                <w:rFonts w:cs="Preston"/>
                <w:szCs w:val="18"/>
              </w:rPr>
            </w:pPr>
            <w:r w:rsidRPr="001814D2">
              <w:rPr>
                <w:rFonts w:cs="Preston"/>
                <w:szCs w:val="18"/>
              </w:rPr>
              <w:t>(114,172)</w:t>
            </w:r>
          </w:p>
          <w:p w14:paraId="133B0568"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5A4B1FEA" w14:textId="77777777" w:rsidR="009103CC" w:rsidRPr="001814D2" w:rsidRDefault="009103CC" w:rsidP="002718DF">
            <w:pPr>
              <w:pStyle w:val="Tabletext"/>
              <w:jc w:val="right"/>
              <w:rPr>
                <w:rFonts w:cs="Preston"/>
                <w:szCs w:val="18"/>
              </w:rPr>
            </w:pPr>
            <w:r w:rsidRPr="001814D2">
              <w:rPr>
                <w:rFonts w:cs="Preston"/>
                <w:szCs w:val="18"/>
              </w:rPr>
              <w:t>(115,024)</w:t>
            </w:r>
          </w:p>
          <w:p w14:paraId="0F142DE3"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14311F68" w14:textId="77777777" w:rsidR="009103CC" w:rsidRPr="001814D2" w:rsidRDefault="009103CC" w:rsidP="002718DF">
            <w:pPr>
              <w:pStyle w:val="Tabletext"/>
              <w:jc w:val="right"/>
              <w:rPr>
                <w:rFonts w:cs="Preston"/>
                <w:szCs w:val="18"/>
              </w:rPr>
            </w:pPr>
            <w:r w:rsidRPr="001814D2">
              <w:rPr>
                <w:rFonts w:cs="Preston"/>
                <w:szCs w:val="18"/>
              </w:rPr>
              <w:t>(47,296)</w:t>
            </w:r>
          </w:p>
          <w:p w14:paraId="3B8E8643" w14:textId="77777777" w:rsidR="009103CC" w:rsidRPr="001814D2" w:rsidRDefault="009103CC" w:rsidP="002718DF">
            <w:pPr>
              <w:pStyle w:val="Tabletext"/>
              <w:jc w:val="right"/>
              <w:rPr>
                <w:rFonts w:cs="Preston"/>
                <w:szCs w:val="18"/>
              </w:rPr>
            </w:pPr>
          </w:p>
        </w:tc>
      </w:tr>
      <w:tr w:rsidR="009103CC" w:rsidRPr="001814D2" w14:paraId="1BA61AF2" w14:textId="77777777" w:rsidTr="002718DF">
        <w:trPr>
          <w:cantSplit/>
          <w:trHeight w:hRule="exact" w:val="496"/>
        </w:trPr>
        <w:tc>
          <w:tcPr>
            <w:tcW w:w="1412" w:type="pct"/>
            <w:tcBorders>
              <w:top w:val="single" w:sz="4" w:space="0" w:color="auto"/>
              <w:bottom w:val="single" w:sz="4" w:space="0" w:color="auto"/>
            </w:tcBorders>
            <w:tcMar>
              <w:top w:w="0" w:type="dxa"/>
              <w:left w:w="0" w:type="dxa"/>
              <w:bottom w:w="0" w:type="dxa"/>
              <w:right w:w="0" w:type="dxa"/>
            </w:tcMar>
            <w:vAlign w:val="center"/>
          </w:tcPr>
          <w:p w14:paraId="4F8A4F71" w14:textId="77777777" w:rsidR="009103CC" w:rsidRPr="001814D2" w:rsidRDefault="009103CC" w:rsidP="002718DF">
            <w:pPr>
              <w:pStyle w:val="Tabletext"/>
            </w:pPr>
            <w:r w:rsidRPr="001814D2">
              <w:t>Proceeds from sale of Investments</w:t>
            </w:r>
          </w:p>
        </w:tc>
        <w:tc>
          <w:tcPr>
            <w:tcW w:w="377" w:type="pct"/>
            <w:tcBorders>
              <w:top w:val="single" w:sz="4" w:space="0" w:color="auto"/>
              <w:bottom w:val="single" w:sz="4" w:space="0" w:color="auto"/>
            </w:tcBorders>
            <w:tcMar>
              <w:top w:w="0" w:type="dxa"/>
              <w:left w:w="0" w:type="dxa"/>
              <w:bottom w:w="0" w:type="dxa"/>
              <w:right w:w="0" w:type="dxa"/>
            </w:tcMar>
            <w:vAlign w:val="center"/>
          </w:tcPr>
          <w:p w14:paraId="081678AC"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6120110F" w14:textId="77777777" w:rsidR="009103CC" w:rsidRPr="001814D2" w:rsidRDefault="009103CC" w:rsidP="002718DF">
            <w:pPr>
              <w:pStyle w:val="Tabletext"/>
              <w:jc w:val="right"/>
              <w:rPr>
                <w:rFonts w:cs="Preston"/>
                <w:szCs w:val="18"/>
              </w:rPr>
            </w:pPr>
            <w:r w:rsidRPr="001814D2">
              <w:rPr>
                <w:rFonts w:cs="Preston"/>
                <w:szCs w:val="18"/>
              </w:rPr>
              <w:t>4,000</w:t>
            </w:r>
          </w:p>
        </w:tc>
        <w:tc>
          <w:tcPr>
            <w:tcW w:w="569" w:type="pct"/>
            <w:tcBorders>
              <w:top w:val="single" w:sz="4" w:space="0" w:color="auto"/>
              <w:bottom w:val="single" w:sz="4" w:space="0" w:color="auto"/>
            </w:tcBorders>
            <w:tcMar>
              <w:top w:w="0" w:type="dxa"/>
              <w:left w:w="0" w:type="dxa"/>
              <w:bottom w:w="0" w:type="dxa"/>
              <w:right w:w="0" w:type="dxa"/>
            </w:tcMar>
            <w:vAlign w:val="center"/>
          </w:tcPr>
          <w:p w14:paraId="263B5D98" w14:textId="77777777" w:rsidR="009103CC" w:rsidRPr="001814D2" w:rsidRDefault="009103CC" w:rsidP="002718DF">
            <w:pPr>
              <w:pStyle w:val="Tabletext"/>
              <w:jc w:val="right"/>
              <w:rPr>
                <w:rFonts w:cs="Preston"/>
                <w:szCs w:val="18"/>
              </w:rPr>
            </w:pPr>
            <w:r w:rsidRPr="001814D2">
              <w:rPr>
                <w:rFonts w:cs="Preston"/>
                <w:szCs w:val="18"/>
              </w:rPr>
              <w:t>-</w:t>
            </w:r>
          </w:p>
        </w:tc>
        <w:tc>
          <w:tcPr>
            <w:tcW w:w="935" w:type="pct"/>
            <w:tcBorders>
              <w:top w:val="single" w:sz="4" w:space="0" w:color="auto"/>
              <w:bottom w:val="single" w:sz="4" w:space="0" w:color="auto"/>
            </w:tcBorders>
            <w:tcMar>
              <w:top w:w="0" w:type="dxa"/>
              <w:left w:w="0" w:type="dxa"/>
              <w:bottom w:w="0" w:type="dxa"/>
              <w:right w:w="0" w:type="dxa"/>
            </w:tcMar>
            <w:vAlign w:val="center"/>
          </w:tcPr>
          <w:p w14:paraId="4E824E55" w14:textId="77777777" w:rsidR="009103CC" w:rsidRPr="001814D2" w:rsidRDefault="009103CC" w:rsidP="002718DF">
            <w:pPr>
              <w:pStyle w:val="Tabletext"/>
              <w:jc w:val="right"/>
              <w:rPr>
                <w:rFonts w:cs="Preston"/>
                <w:szCs w:val="18"/>
              </w:rPr>
            </w:pPr>
            <w:r w:rsidRPr="001814D2">
              <w:rPr>
                <w:rFonts w:cs="Preston"/>
                <w:szCs w:val="18"/>
              </w:rPr>
              <w:t>-</w:t>
            </w:r>
          </w:p>
        </w:tc>
        <w:tc>
          <w:tcPr>
            <w:tcW w:w="569" w:type="pct"/>
            <w:tcBorders>
              <w:top w:val="single" w:sz="4" w:space="0" w:color="auto"/>
              <w:bottom w:val="single" w:sz="4" w:space="0" w:color="auto"/>
            </w:tcBorders>
            <w:tcMar>
              <w:top w:w="0" w:type="dxa"/>
              <w:left w:w="0" w:type="dxa"/>
              <w:bottom w:w="0" w:type="dxa"/>
              <w:right w:w="0" w:type="dxa"/>
            </w:tcMar>
            <w:vAlign w:val="center"/>
          </w:tcPr>
          <w:p w14:paraId="780402F8" w14:textId="77777777" w:rsidR="009103CC" w:rsidRPr="001814D2" w:rsidRDefault="009103CC" w:rsidP="002718DF">
            <w:pPr>
              <w:pStyle w:val="Tabletext"/>
              <w:jc w:val="right"/>
              <w:rPr>
                <w:rFonts w:cs="Preston"/>
                <w:szCs w:val="18"/>
              </w:rPr>
            </w:pPr>
            <w:r w:rsidRPr="001814D2">
              <w:rPr>
                <w:rFonts w:cs="Preston"/>
                <w:szCs w:val="18"/>
              </w:rPr>
              <w:t>4,000</w:t>
            </w:r>
          </w:p>
        </w:tc>
        <w:tc>
          <w:tcPr>
            <w:tcW w:w="569" w:type="pct"/>
            <w:tcBorders>
              <w:top w:val="single" w:sz="4" w:space="0" w:color="auto"/>
              <w:bottom w:val="single" w:sz="4" w:space="0" w:color="auto"/>
            </w:tcBorders>
            <w:tcMar>
              <w:top w:w="0" w:type="dxa"/>
              <w:left w:w="0" w:type="dxa"/>
              <w:bottom w:w="0" w:type="dxa"/>
              <w:right w:w="0" w:type="dxa"/>
            </w:tcMar>
            <w:vAlign w:val="center"/>
          </w:tcPr>
          <w:p w14:paraId="4CF2DA1B"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7AC83AA6"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4E648749" w14:textId="77777777" w:rsidR="009103CC" w:rsidRPr="001814D2" w:rsidRDefault="009103CC" w:rsidP="002718DF">
            <w:pPr>
              <w:pStyle w:val="Tabletext"/>
            </w:pPr>
            <w:r w:rsidRPr="001814D2">
              <w:t>Purchases of investments</w:t>
            </w:r>
          </w:p>
        </w:tc>
        <w:tc>
          <w:tcPr>
            <w:tcW w:w="377" w:type="pct"/>
            <w:tcBorders>
              <w:top w:val="single" w:sz="4" w:space="0" w:color="auto"/>
              <w:bottom w:val="single" w:sz="4" w:space="0" w:color="auto"/>
            </w:tcBorders>
            <w:tcMar>
              <w:top w:w="0" w:type="dxa"/>
              <w:left w:w="0" w:type="dxa"/>
              <w:bottom w:w="0" w:type="dxa"/>
              <w:right w:w="0" w:type="dxa"/>
            </w:tcMar>
            <w:vAlign w:val="center"/>
          </w:tcPr>
          <w:p w14:paraId="01A6DF67"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79D52AC3" w14:textId="77777777" w:rsidR="009103CC" w:rsidRPr="001814D2" w:rsidRDefault="009103CC" w:rsidP="002718DF">
            <w:pPr>
              <w:pStyle w:val="Tabletext"/>
              <w:jc w:val="right"/>
              <w:rPr>
                <w:rFonts w:cs="Preston"/>
                <w:szCs w:val="18"/>
              </w:rPr>
            </w:pPr>
            <w:r w:rsidRPr="001814D2">
              <w:rPr>
                <w:rFonts w:cs="Preston"/>
                <w:szCs w:val="18"/>
              </w:rPr>
              <w:t>(31,943)</w:t>
            </w:r>
          </w:p>
        </w:tc>
        <w:tc>
          <w:tcPr>
            <w:tcW w:w="569" w:type="pct"/>
            <w:tcBorders>
              <w:top w:val="single" w:sz="4" w:space="0" w:color="auto"/>
              <w:bottom w:val="single" w:sz="4" w:space="0" w:color="auto"/>
            </w:tcBorders>
            <w:tcMar>
              <w:top w:w="0" w:type="dxa"/>
              <w:left w:w="0" w:type="dxa"/>
              <w:bottom w:w="0" w:type="dxa"/>
              <w:right w:w="0" w:type="dxa"/>
            </w:tcMar>
            <w:vAlign w:val="center"/>
          </w:tcPr>
          <w:p w14:paraId="01D66B76" w14:textId="77777777" w:rsidR="009103CC" w:rsidRPr="001814D2" w:rsidRDefault="009103CC" w:rsidP="002718DF">
            <w:pPr>
              <w:pStyle w:val="Tabletext"/>
              <w:jc w:val="right"/>
              <w:rPr>
                <w:rFonts w:cs="Preston"/>
                <w:szCs w:val="18"/>
              </w:rPr>
            </w:pPr>
            <w:r w:rsidRPr="001814D2">
              <w:rPr>
                <w:rFonts w:cs="Preston"/>
                <w:szCs w:val="18"/>
              </w:rPr>
              <w:t>(55,872)</w:t>
            </w:r>
          </w:p>
        </w:tc>
        <w:tc>
          <w:tcPr>
            <w:tcW w:w="935" w:type="pct"/>
            <w:tcBorders>
              <w:top w:val="single" w:sz="4" w:space="0" w:color="auto"/>
              <w:bottom w:val="single" w:sz="4" w:space="0" w:color="auto"/>
            </w:tcBorders>
            <w:tcMar>
              <w:top w:w="0" w:type="dxa"/>
              <w:left w:w="0" w:type="dxa"/>
              <w:bottom w:w="0" w:type="dxa"/>
              <w:right w:w="0" w:type="dxa"/>
            </w:tcMar>
            <w:vAlign w:val="center"/>
          </w:tcPr>
          <w:p w14:paraId="19E54D2F" w14:textId="77777777" w:rsidR="009103CC" w:rsidRPr="001814D2" w:rsidRDefault="009103CC" w:rsidP="002718DF">
            <w:pPr>
              <w:pStyle w:val="Tabletext"/>
              <w:jc w:val="right"/>
              <w:rPr>
                <w:rFonts w:cs="Preston"/>
                <w:szCs w:val="18"/>
              </w:rPr>
            </w:pPr>
            <w:r w:rsidRPr="001814D2">
              <w:rPr>
                <w:rFonts w:cs="Preston"/>
                <w:szCs w:val="18"/>
              </w:rPr>
              <w:t>(27,005)</w:t>
            </w:r>
          </w:p>
        </w:tc>
        <w:tc>
          <w:tcPr>
            <w:tcW w:w="569" w:type="pct"/>
            <w:tcBorders>
              <w:top w:val="single" w:sz="4" w:space="0" w:color="auto"/>
              <w:bottom w:val="single" w:sz="4" w:space="0" w:color="auto"/>
            </w:tcBorders>
            <w:tcMar>
              <w:top w:w="0" w:type="dxa"/>
              <w:left w:w="0" w:type="dxa"/>
              <w:bottom w:w="0" w:type="dxa"/>
              <w:right w:w="0" w:type="dxa"/>
            </w:tcMar>
            <w:vAlign w:val="center"/>
          </w:tcPr>
          <w:p w14:paraId="0CCECA37" w14:textId="77777777" w:rsidR="009103CC" w:rsidRPr="001814D2" w:rsidRDefault="009103CC" w:rsidP="002718DF">
            <w:pPr>
              <w:pStyle w:val="Tabletext"/>
              <w:jc w:val="right"/>
              <w:rPr>
                <w:rFonts w:cs="Preston"/>
                <w:szCs w:val="18"/>
              </w:rPr>
            </w:pPr>
            <w:r w:rsidRPr="001814D2">
              <w:rPr>
                <w:rFonts w:cs="Preston"/>
                <w:szCs w:val="18"/>
              </w:rPr>
              <w:t>(31,940)</w:t>
            </w:r>
          </w:p>
        </w:tc>
        <w:tc>
          <w:tcPr>
            <w:tcW w:w="569" w:type="pct"/>
            <w:tcBorders>
              <w:top w:val="single" w:sz="4" w:space="0" w:color="auto"/>
              <w:bottom w:val="single" w:sz="4" w:space="0" w:color="auto"/>
            </w:tcBorders>
            <w:tcMar>
              <w:top w:w="0" w:type="dxa"/>
              <w:left w:w="0" w:type="dxa"/>
              <w:bottom w:w="0" w:type="dxa"/>
              <w:right w:w="0" w:type="dxa"/>
            </w:tcMar>
            <w:vAlign w:val="center"/>
          </w:tcPr>
          <w:p w14:paraId="743044B1" w14:textId="77777777" w:rsidR="009103CC" w:rsidRPr="001814D2" w:rsidRDefault="009103CC" w:rsidP="002718DF">
            <w:pPr>
              <w:pStyle w:val="Tabletext"/>
              <w:jc w:val="right"/>
              <w:rPr>
                <w:rFonts w:cs="Preston"/>
                <w:szCs w:val="18"/>
              </w:rPr>
            </w:pPr>
            <w:r w:rsidRPr="001814D2">
              <w:rPr>
                <w:rFonts w:cs="Preston"/>
                <w:szCs w:val="18"/>
              </w:rPr>
              <w:t>(55,874)</w:t>
            </w:r>
          </w:p>
        </w:tc>
      </w:tr>
      <w:tr w:rsidR="009103CC" w:rsidRPr="001814D2" w14:paraId="4C71E322"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6E7EF859" w14:textId="77777777" w:rsidR="009103CC" w:rsidRPr="001814D2" w:rsidRDefault="009103CC" w:rsidP="002718DF">
            <w:pPr>
              <w:pStyle w:val="Tabletext"/>
            </w:pPr>
          </w:p>
        </w:tc>
        <w:tc>
          <w:tcPr>
            <w:tcW w:w="377" w:type="pct"/>
            <w:tcBorders>
              <w:top w:val="single" w:sz="4" w:space="0" w:color="auto"/>
              <w:bottom w:val="single" w:sz="4" w:space="0" w:color="auto"/>
            </w:tcBorders>
            <w:tcMar>
              <w:top w:w="0" w:type="dxa"/>
              <w:left w:w="0" w:type="dxa"/>
              <w:bottom w:w="0" w:type="dxa"/>
              <w:right w:w="0" w:type="dxa"/>
            </w:tcMar>
            <w:vAlign w:val="center"/>
          </w:tcPr>
          <w:p w14:paraId="180A6CE4"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6300125C"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14CD41B8" w14:textId="77777777" w:rsidR="009103CC" w:rsidRPr="001814D2" w:rsidRDefault="009103CC" w:rsidP="002718DF">
            <w:pPr>
              <w:pStyle w:val="Tabletext"/>
              <w:jc w:val="right"/>
            </w:pPr>
          </w:p>
        </w:tc>
        <w:tc>
          <w:tcPr>
            <w:tcW w:w="935" w:type="pct"/>
            <w:tcBorders>
              <w:top w:val="single" w:sz="4" w:space="0" w:color="auto"/>
              <w:bottom w:val="single" w:sz="4" w:space="0" w:color="auto"/>
            </w:tcBorders>
            <w:tcMar>
              <w:top w:w="0" w:type="dxa"/>
              <w:left w:w="0" w:type="dxa"/>
              <w:bottom w:w="0" w:type="dxa"/>
              <w:right w:w="0" w:type="dxa"/>
            </w:tcMar>
            <w:vAlign w:val="center"/>
          </w:tcPr>
          <w:p w14:paraId="215EF1B5"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526B79A1"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0025FD45" w14:textId="77777777" w:rsidR="009103CC" w:rsidRPr="001814D2" w:rsidRDefault="009103CC" w:rsidP="002718DF">
            <w:pPr>
              <w:pStyle w:val="Tabletext"/>
              <w:jc w:val="right"/>
            </w:pPr>
          </w:p>
        </w:tc>
      </w:tr>
      <w:tr w:rsidR="009103CC" w:rsidRPr="001814D2" w14:paraId="1F9CBEC7" w14:textId="77777777" w:rsidTr="002718DF">
        <w:trPr>
          <w:cantSplit/>
          <w:trHeight w:hRule="exact" w:val="553"/>
        </w:trPr>
        <w:tc>
          <w:tcPr>
            <w:tcW w:w="1412" w:type="pct"/>
            <w:tcBorders>
              <w:top w:val="single" w:sz="4" w:space="0" w:color="auto"/>
              <w:bottom w:val="single" w:sz="4" w:space="0" w:color="auto"/>
            </w:tcBorders>
            <w:tcMar>
              <w:top w:w="0" w:type="dxa"/>
              <w:left w:w="0" w:type="dxa"/>
              <w:bottom w:w="0" w:type="dxa"/>
              <w:right w:w="0" w:type="dxa"/>
            </w:tcMar>
            <w:vAlign w:val="center"/>
          </w:tcPr>
          <w:p w14:paraId="4823697E" w14:textId="77777777" w:rsidR="009103CC" w:rsidRPr="001814D2" w:rsidRDefault="009103CC" w:rsidP="002718DF">
            <w:pPr>
              <w:pStyle w:val="Tabletext"/>
              <w:rPr>
                <w:rFonts w:cs="Preston"/>
                <w:szCs w:val="18"/>
              </w:rPr>
            </w:pPr>
            <w:r w:rsidRPr="001814D2">
              <w:rPr>
                <w:rFonts w:cs="Preston"/>
                <w:szCs w:val="18"/>
              </w:rPr>
              <w:t xml:space="preserve">Net cash flows from </w:t>
            </w:r>
            <w:r w:rsidRPr="001814D2">
              <w:rPr>
                <w:rFonts w:cs="Preston"/>
                <w:szCs w:val="18"/>
              </w:rPr>
              <w:br/>
              <w:t>investing activities</w:t>
            </w:r>
          </w:p>
        </w:tc>
        <w:tc>
          <w:tcPr>
            <w:tcW w:w="377" w:type="pct"/>
            <w:tcBorders>
              <w:top w:val="single" w:sz="4" w:space="0" w:color="auto"/>
              <w:bottom w:val="single" w:sz="4" w:space="0" w:color="auto"/>
            </w:tcBorders>
            <w:tcMar>
              <w:top w:w="0" w:type="dxa"/>
              <w:left w:w="0" w:type="dxa"/>
              <w:bottom w:w="0" w:type="dxa"/>
              <w:right w:w="0" w:type="dxa"/>
            </w:tcMar>
            <w:vAlign w:val="center"/>
          </w:tcPr>
          <w:p w14:paraId="1192DC58"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4A1BE014" w14:textId="77777777" w:rsidR="009103CC" w:rsidRPr="001814D2" w:rsidRDefault="009103CC" w:rsidP="002718DF">
            <w:pPr>
              <w:pStyle w:val="Tabletext"/>
              <w:jc w:val="right"/>
              <w:rPr>
                <w:rFonts w:cs="Preston"/>
                <w:szCs w:val="18"/>
              </w:rPr>
            </w:pPr>
            <w:r w:rsidRPr="001814D2">
              <w:rPr>
                <w:rFonts w:cs="Preston"/>
                <w:szCs w:val="18"/>
              </w:rPr>
              <w:t>(143,061)</w:t>
            </w:r>
          </w:p>
        </w:tc>
        <w:tc>
          <w:tcPr>
            <w:tcW w:w="569" w:type="pct"/>
            <w:tcBorders>
              <w:top w:val="single" w:sz="4" w:space="0" w:color="auto"/>
              <w:bottom w:val="single" w:sz="4" w:space="0" w:color="auto"/>
            </w:tcBorders>
            <w:tcMar>
              <w:top w:w="0" w:type="dxa"/>
              <w:left w:w="0" w:type="dxa"/>
              <w:bottom w:w="0" w:type="dxa"/>
              <w:right w:w="0" w:type="dxa"/>
            </w:tcMar>
            <w:vAlign w:val="center"/>
          </w:tcPr>
          <w:p w14:paraId="2A703D61" w14:textId="77777777" w:rsidR="009103CC" w:rsidRPr="001814D2" w:rsidRDefault="009103CC" w:rsidP="002718DF">
            <w:pPr>
              <w:pStyle w:val="Tabletext"/>
              <w:jc w:val="right"/>
              <w:rPr>
                <w:rFonts w:cs="Preston"/>
                <w:szCs w:val="18"/>
              </w:rPr>
            </w:pPr>
            <w:r w:rsidRPr="001814D2">
              <w:rPr>
                <w:rFonts w:cs="Preston"/>
                <w:szCs w:val="18"/>
              </w:rPr>
              <w:t>(103,085)</w:t>
            </w:r>
          </w:p>
        </w:tc>
        <w:tc>
          <w:tcPr>
            <w:tcW w:w="935" w:type="pct"/>
            <w:tcBorders>
              <w:top w:val="single" w:sz="4" w:space="0" w:color="auto"/>
              <w:bottom w:val="single" w:sz="4" w:space="0" w:color="auto"/>
            </w:tcBorders>
            <w:tcMar>
              <w:top w:w="0" w:type="dxa"/>
              <w:left w:w="0" w:type="dxa"/>
              <w:bottom w:w="0" w:type="dxa"/>
              <w:right w:w="0" w:type="dxa"/>
            </w:tcMar>
            <w:vAlign w:val="center"/>
          </w:tcPr>
          <w:p w14:paraId="2EEF6B1C" w14:textId="77777777" w:rsidR="009103CC" w:rsidRPr="001814D2" w:rsidRDefault="009103CC" w:rsidP="002718DF">
            <w:pPr>
              <w:pStyle w:val="Tabletext"/>
              <w:jc w:val="right"/>
              <w:rPr>
                <w:rFonts w:cs="Preston"/>
                <w:szCs w:val="18"/>
              </w:rPr>
            </w:pPr>
            <w:r w:rsidRPr="001814D2">
              <w:rPr>
                <w:rFonts w:cs="Preston"/>
                <w:szCs w:val="18"/>
              </w:rPr>
              <w:t>(141,177)</w:t>
            </w:r>
          </w:p>
        </w:tc>
        <w:tc>
          <w:tcPr>
            <w:tcW w:w="569" w:type="pct"/>
            <w:tcBorders>
              <w:top w:val="single" w:sz="4" w:space="0" w:color="auto"/>
              <w:bottom w:val="single" w:sz="4" w:space="0" w:color="auto"/>
            </w:tcBorders>
            <w:tcMar>
              <w:top w:w="0" w:type="dxa"/>
              <w:left w:w="0" w:type="dxa"/>
              <w:bottom w:w="0" w:type="dxa"/>
              <w:right w:w="0" w:type="dxa"/>
            </w:tcMar>
            <w:vAlign w:val="center"/>
          </w:tcPr>
          <w:p w14:paraId="31ECE5D8" w14:textId="77777777" w:rsidR="009103CC" w:rsidRPr="001814D2" w:rsidRDefault="009103CC" w:rsidP="002718DF">
            <w:pPr>
              <w:pStyle w:val="Tabletext"/>
              <w:jc w:val="right"/>
              <w:rPr>
                <w:rFonts w:cs="Preston"/>
                <w:szCs w:val="18"/>
              </w:rPr>
            </w:pPr>
            <w:r w:rsidRPr="001814D2">
              <w:rPr>
                <w:rFonts w:cs="Preston"/>
                <w:szCs w:val="18"/>
              </w:rPr>
              <w:t>(142,964)</w:t>
            </w:r>
          </w:p>
        </w:tc>
        <w:tc>
          <w:tcPr>
            <w:tcW w:w="569" w:type="pct"/>
            <w:tcBorders>
              <w:top w:val="single" w:sz="4" w:space="0" w:color="auto"/>
              <w:bottom w:val="single" w:sz="4" w:space="0" w:color="auto"/>
            </w:tcBorders>
            <w:tcMar>
              <w:top w:w="0" w:type="dxa"/>
              <w:left w:w="0" w:type="dxa"/>
              <w:bottom w:w="0" w:type="dxa"/>
              <w:right w:w="0" w:type="dxa"/>
            </w:tcMar>
            <w:vAlign w:val="center"/>
          </w:tcPr>
          <w:p w14:paraId="683A4CAF" w14:textId="77777777" w:rsidR="009103CC" w:rsidRPr="001814D2" w:rsidRDefault="009103CC" w:rsidP="002718DF">
            <w:pPr>
              <w:pStyle w:val="Tabletext"/>
              <w:jc w:val="right"/>
              <w:rPr>
                <w:rFonts w:cs="Preston"/>
                <w:szCs w:val="18"/>
              </w:rPr>
            </w:pPr>
            <w:r w:rsidRPr="001814D2">
              <w:rPr>
                <w:rFonts w:cs="Preston"/>
                <w:szCs w:val="18"/>
              </w:rPr>
              <w:t>(103,170)</w:t>
            </w:r>
          </w:p>
        </w:tc>
      </w:tr>
      <w:tr w:rsidR="009103CC" w:rsidRPr="001814D2" w14:paraId="57D48AA4"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5B4F8CAB" w14:textId="77777777" w:rsidR="009103CC" w:rsidRPr="001814D2" w:rsidRDefault="009103CC" w:rsidP="002718DF">
            <w:pPr>
              <w:pStyle w:val="Tabletext"/>
            </w:pPr>
          </w:p>
        </w:tc>
        <w:tc>
          <w:tcPr>
            <w:tcW w:w="377" w:type="pct"/>
            <w:tcBorders>
              <w:top w:val="single" w:sz="4" w:space="0" w:color="auto"/>
              <w:bottom w:val="single" w:sz="4" w:space="0" w:color="auto"/>
            </w:tcBorders>
            <w:tcMar>
              <w:top w:w="0" w:type="dxa"/>
              <w:left w:w="0" w:type="dxa"/>
              <w:bottom w:w="0" w:type="dxa"/>
              <w:right w:w="0" w:type="dxa"/>
            </w:tcMar>
            <w:vAlign w:val="center"/>
          </w:tcPr>
          <w:p w14:paraId="15D454B0"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0DC1B23E"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5ADFA0E1" w14:textId="77777777" w:rsidR="009103CC" w:rsidRPr="001814D2" w:rsidRDefault="009103CC" w:rsidP="002718DF">
            <w:pPr>
              <w:pStyle w:val="Tabletext"/>
              <w:jc w:val="right"/>
            </w:pPr>
          </w:p>
        </w:tc>
        <w:tc>
          <w:tcPr>
            <w:tcW w:w="935" w:type="pct"/>
            <w:tcBorders>
              <w:top w:val="single" w:sz="4" w:space="0" w:color="auto"/>
              <w:bottom w:val="single" w:sz="4" w:space="0" w:color="auto"/>
            </w:tcBorders>
            <w:tcMar>
              <w:top w:w="0" w:type="dxa"/>
              <w:left w:w="0" w:type="dxa"/>
              <w:bottom w:w="0" w:type="dxa"/>
              <w:right w:w="0" w:type="dxa"/>
            </w:tcMar>
            <w:vAlign w:val="center"/>
          </w:tcPr>
          <w:p w14:paraId="502BC5F5"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3A562943"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1679C057" w14:textId="77777777" w:rsidR="009103CC" w:rsidRPr="001814D2" w:rsidRDefault="009103CC" w:rsidP="002718DF">
            <w:pPr>
              <w:pStyle w:val="Tabletext"/>
              <w:jc w:val="right"/>
            </w:pPr>
          </w:p>
        </w:tc>
      </w:tr>
      <w:tr w:rsidR="009103CC" w:rsidRPr="001814D2" w14:paraId="33C1DC5E" w14:textId="77777777" w:rsidTr="002718DF">
        <w:trPr>
          <w:cantSplit/>
          <w:trHeight w:hRule="exact" w:val="553"/>
        </w:trPr>
        <w:tc>
          <w:tcPr>
            <w:tcW w:w="1412" w:type="pct"/>
            <w:tcBorders>
              <w:top w:val="single" w:sz="4" w:space="0" w:color="auto"/>
              <w:bottom w:val="single" w:sz="4" w:space="0" w:color="auto"/>
            </w:tcBorders>
            <w:tcMar>
              <w:top w:w="0" w:type="dxa"/>
              <w:left w:w="0" w:type="dxa"/>
              <w:bottom w:w="0" w:type="dxa"/>
              <w:right w:w="0" w:type="dxa"/>
            </w:tcMar>
            <w:vAlign w:val="center"/>
          </w:tcPr>
          <w:p w14:paraId="0FD7A8E5" w14:textId="77777777" w:rsidR="009103CC" w:rsidRPr="001814D2" w:rsidRDefault="009103CC" w:rsidP="002718DF">
            <w:pPr>
              <w:pStyle w:val="Tabletext"/>
              <w:rPr>
                <w:rFonts w:cs="Preston"/>
                <w:szCs w:val="18"/>
              </w:rPr>
            </w:pPr>
            <w:r w:rsidRPr="001814D2">
              <w:rPr>
                <w:rFonts w:cs="Preston"/>
                <w:szCs w:val="18"/>
              </w:rPr>
              <w:t xml:space="preserve">Net increase/(decrease) </w:t>
            </w:r>
            <w:r w:rsidRPr="001814D2">
              <w:rPr>
                <w:rFonts w:cs="Preston"/>
                <w:szCs w:val="18"/>
              </w:rPr>
              <w:br/>
              <w:t>in cash and cash equivalents</w:t>
            </w:r>
          </w:p>
        </w:tc>
        <w:tc>
          <w:tcPr>
            <w:tcW w:w="377" w:type="pct"/>
            <w:tcBorders>
              <w:top w:val="single" w:sz="4" w:space="0" w:color="auto"/>
              <w:bottom w:val="single" w:sz="4" w:space="0" w:color="auto"/>
            </w:tcBorders>
            <w:tcMar>
              <w:top w:w="0" w:type="dxa"/>
              <w:left w:w="0" w:type="dxa"/>
              <w:bottom w:w="0" w:type="dxa"/>
              <w:right w:w="0" w:type="dxa"/>
            </w:tcMar>
            <w:vAlign w:val="center"/>
          </w:tcPr>
          <w:p w14:paraId="5F772192"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784FC9B5" w14:textId="77777777" w:rsidR="009103CC" w:rsidRPr="001814D2" w:rsidRDefault="009103CC" w:rsidP="002718DF">
            <w:pPr>
              <w:pStyle w:val="Tabletext"/>
              <w:jc w:val="right"/>
              <w:rPr>
                <w:rFonts w:cs="Preston"/>
                <w:szCs w:val="18"/>
              </w:rPr>
            </w:pPr>
            <w:r w:rsidRPr="001814D2">
              <w:rPr>
                <w:rFonts w:cs="Preston"/>
                <w:szCs w:val="18"/>
              </w:rPr>
              <w:t>(401)</w:t>
            </w:r>
          </w:p>
          <w:p w14:paraId="27FA25A2"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42827B83" w14:textId="77777777" w:rsidR="009103CC" w:rsidRPr="001814D2" w:rsidRDefault="009103CC" w:rsidP="002718DF">
            <w:pPr>
              <w:pStyle w:val="Tabletext"/>
              <w:jc w:val="right"/>
              <w:rPr>
                <w:rFonts w:cs="Preston"/>
                <w:szCs w:val="18"/>
              </w:rPr>
            </w:pPr>
            <w:r w:rsidRPr="001814D2">
              <w:rPr>
                <w:rFonts w:cs="Preston"/>
                <w:szCs w:val="18"/>
              </w:rPr>
              <w:t>(23,513)</w:t>
            </w:r>
          </w:p>
          <w:p w14:paraId="22C92B41" w14:textId="77777777" w:rsidR="009103CC" w:rsidRPr="001814D2" w:rsidRDefault="009103CC" w:rsidP="002718DF">
            <w:pPr>
              <w:pStyle w:val="Tabletext"/>
              <w:jc w:val="right"/>
              <w:rPr>
                <w:rFonts w:cs="Preston"/>
                <w:szCs w:val="18"/>
              </w:rPr>
            </w:pPr>
          </w:p>
        </w:tc>
        <w:tc>
          <w:tcPr>
            <w:tcW w:w="935" w:type="pct"/>
            <w:tcBorders>
              <w:top w:val="single" w:sz="4" w:space="0" w:color="auto"/>
              <w:bottom w:val="single" w:sz="4" w:space="0" w:color="auto"/>
            </w:tcBorders>
            <w:tcMar>
              <w:top w:w="0" w:type="dxa"/>
              <w:left w:w="0" w:type="dxa"/>
              <w:bottom w:w="0" w:type="dxa"/>
              <w:right w:w="0" w:type="dxa"/>
            </w:tcMar>
            <w:vAlign w:val="center"/>
          </w:tcPr>
          <w:p w14:paraId="1A8D2E36" w14:textId="77777777" w:rsidR="009103CC" w:rsidRPr="001814D2" w:rsidRDefault="009103CC" w:rsidP="002718DF">
            <w:pPr>
              <w:pStyle w:val="Tabletext"/>
              <w:jc w:val="right"/>
              <w:rPr>
                <w:rFonts w:cs="Preston"/>
                <w:szCs w:val="18"/>
              </w:rPr>
            </w:pPr>
            <w:r w:rsidRPr="001814D2">
              <w:rPr>
                <w:rFonts w:cs="Preston"/>
                <w:szCs w:val="18"/>
              </w:rPr>
              <w:t>1,666</w:t>
            </w:r>
          </w:p>
          <w:p w14:paraId="3532A00A"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723271FA" w14:textId="77777777" w:rsidR="009103CC" w:rsidRPr="001814D2" w:rsidRDefault="009103CC" w:rsidP="002718DF">
            <w:pPr>
              <w:pStyle w:val="Tabletext"/>
              <w:jc w:val="right"/>
              <w:rPr>
                <w:rFonts w:cs="Preston"/>
                <w:szCs w:val="18"/>
              </w:rPr>
            </w:pPr>
            <w:r w:rsidRPr="001814D2">
              <w:rPr>
                <w:rFonts w:cs="Preston"/>
                <w:szCs w:val="18"/>
              </w:rPr>
              <w:t>(423)</w:t>
            </w:r>
          </w:p>
          <w:p w14:paraId="144B7591" w14:textId="77777777" w:rsidR="009103CC" w:rsidRPr="001814D2" w:rsidRDefault="009103CC" w:rsidP="002718DF">
            <w:pPr>
              <w:pStyle w:val="Tabletext"/>
              <w:jc w:val="right"/>
              <w:rPr>
                <w:rFonts w:cs="Preston"/>
                <w:szCs w:val="18"/>
              </w:rPr>
            </w:pPr>
          </w:p>
        </w:tc>
        <w:tc>
          <w:tcPr>
            <w:tcW w:w="569" w:type="pct"/>
            <w:tcBorders>
              <w:top w:val="single" w:sz="4" w:space="0" w:color="auto"/>
              <w:bottom w:val="single" w:sz="4" w:space="0" w:color="auto"/>
            </w:tcBorders>
            <w:tcMar>
              <w:top w:w="0" w:type="dxa"/>
              <w:left w:w="0" w:type="dxa"/>
              <w:bottom w:w="0" w:type="dxa"/>
              <w:right w:w="0" w:type="dxa"/>
            </w:tcMar>
            <w:vAlign w:val="center"/>
          </w:tcPr>
          <w:p w14:paraId="2DE9E4F6" w14:textId="77777777" w:rsidR="009103CC" w:rsidRPr="001814D2" w:rsidRDefault="009103CC" w:rsidP="002718DF">
            <w:pPr>
              <w:pStyle w:val="Tabletext"/>
              <w:jc w:val="right"/>
              <w:rPr>
                <w:rFonts w:cs="Preston"/>
                <w:szCs w:val="18"/>
              </w:rPr>
            </w:pPr>
            <w:r w:rsidRPr="001814D2">
              <w:rPr>
                <w:rFonts w:cs="Preston"/>
                <w:szCs w:val="18"/>
              </w:rPr>
              <w:t>(23,445)</w:t>
            </w:r>
          </w:p>
          <w:p w14:paraId="01018E6F" w14:textId="77777777" w:rsidR="009103CC" w:rsidRPr="001814D2" w:rsidRDefault="009103CC" w:rsidP="002718DF">
            <w:pPr>
              <w:pStyle w:val="Tabletext"/>
              <w:jc w:val="right"/>
              <w:rPr>
                <w:rFonts w:cs="Preston"/>
                <w:szCs w:val="18"/>
              </w:rPr>
            </w:pPr>
          </w:p>
        </w:tc>
      </w:tr>
      <w:tr w:rsidR="009103CC" w:rsidRPr="001814D2" w14:paraId="1619EA06" w14:textId="77777777" w:rsidTr="002718DF">
        <w:trPr>
          <w:cantSplit/>
          <w:trHeight w:hRule="exact" w:val="605"/>
        </w:trPr>
        <w:tc>
          <w:tcPr>
            <w:tcW w:w="1412" w:type="pct"/>
            <w:tcBorders>
              <w:top w:val="single" w:sz="4" w:space="0" w:color="auto"/>
              <w:bottom w:val="single" w:sz="4" w:space="0" w:color="auto"/>
            </w:tcBorders>
            <w:tcMar>
              <w:top w:w="0" w:type="dxa"/>
              <w:left w:w="0" w:type="dxa"/>
              <w:bottom w:w="0" w:type="dxa"/>
              <w:right w:w="0" w:type="dxa"/>
            </w:tcMar>
            <w:vAlign w:val="center"/>
          </w:tcPr>
          <w:p w14:paraId="2F2FC3CA" w14:textId="77777777" w:rsidR="009103CC" w:rsidRPr="001814D2" w:rsidRDefault="009103CC" w:rsidP="002718DF">
            <w:pPr>
              <w:pStyle w:val="Tabletext"/>
            </w:pPr>
            <w:r w:rsidRPr="001814D2">
              <w:t>Opening cash and cash equivalents</w:t>
            </w:r>
          </w:p>
        </w:tc>
        <w:tc>
          <w:tcPr>
            <w:tcW w:w="377" w:type="pct"/>
            <w:tcBorders>
              <w:top w:val="single" w:sz="4" w:space="0" w:color="auto"/>
              <w:bottom w:val="single" w:sz="4" w:space="0" w:color="auto"/>
            </w:tcBorders>
            <w:tcMar>
              <w:top w:w="0" w:type="dxa"/>
              <w:left w:w="0" w:type="dxa"/>
              <w:bottom w:w="0" w:type="dxa"/>
              <w:right w:w="0" w:type="dxa"/>
            </w:tcMar>
            <w:vAlign w:val="center"/>
          </w:tcPr>
          <w:p w14:paraId="5676DFDB"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2976B0FC" w14:textId="77777777" w:rsidR="009103CC" w:rsidRPr="001814D2" w:rsidRDefault="009103CC" w:rsidP="002718DF">
            <w:pPr>
              <w:pStyle w:val="Tabletext"/>
              <w:jc w:val="right"/>
              <w:rPr>
                <w:rFonts w:cs="Preston"/>
                <w:szCs w:val="18"/>
              </w:rPr>
            </w:pPr>
            <w:r w:rsidRPr="001814D2">
              <w:rPr>
                <w:rFonts w:cs="Preston"/>
                <w:szCs w:val="18"/>
              </w:rPr>
              <w:t>3,950</w:t>
            </w:r>
          </w:p>
        </w:tc>
        <w:tc>
          <w:tcPr>
            <w:tcW w:w="569" w:type="pct"/>
            <w:tcBorders>
              <w:top w:val="single" w:sz="4" w:space="0" w:color="auto"/>
              <w:bottom w:val="single" w:sz="4" w:space="0" w:color="auto"/>
            </w:tcBorders>
            <w:tcMar>
              <w:top w:w="0" w:type="dxa"/>
              <w:left w:w="0" w:type="dxa"/>
              <w:bottom w:w="0" w:type="dxa"/>
              <w:right w:w="0" w:type="dxa"/>
            </w:tcMar>
            <w:vAlign w:val="center"/>
          </w:tcPr>
          <w:p w14:paraId="49707C3A" w14:textId="77777777" w:rsidR="009103CC" w:rsidRPr="001814D2" w:rsidRDefault="009103CC" w:rsidP="002718DF">
            <w:pPr>
              <w:pStyle w:val="Tabletext"/>
              <w:jc w:val="right"/>
              <w:rPr>
                <w:rFonts w:cs="Preston"/>
                <w:szCs w:val="18"/>
              </w:rPr>
            </w:pPr>
            <w:r w:rsidRPr="001814D2">
              <w:rPr>
                <w:rFonts w:cs="Preston"/>
                <w:szCs w:val="18"/>
              </w:rPr>
              <w:t>27,463</w:t>
            </w:r>
          </w:p>
        </w:tc>
        <w:tc>
          <w:tcPr>
            <w:tcW w:w="935" w:type="pct"/>
            <w:tcBorders>
              <w:top w:val="single" w:sz="4" w:space="0" w:color="auto"/>
              <w:bottom w:val="single" w:sz="4" w:space="0" w:color="auto"/>
            </w:tcBorders>
            <w:tcMar>
              <w:top w:w="0" w:type="dxa"/>
              <w:left w:w="0" w:type="dxa"/>
              <w:bottom w:w="0" w:type="dxa"/>
              <w:right w:w="0" w:type="dxa"/>
            </w:tcMar>
            <w:vAlign w:val="center"/>
          </w:tcPr>
          <w:p w14:paraId="7B5A9E40" w14:textId="77777777" w:rsidR="009103CC" w:rsidRPr="001814D2" w:rsidRDefault="009103CC" w:rsidP="002718DF">
            <w:pPr>
              <w:pStyle w:val="Tabletext"/>
              <w:jc w:val="right"/>
              <w:rPr>
                <w:rFonts w:cs="Preston"/>
                <w:szCs w:val="18"/>
              </w:rPr>
            </w:pPr>
            <w:r w:rsidRPr="001814D2">
              <w:rPr>
                <w:rFonts w:cs="Preston"/>
                <w:szCs w:val="18"/>
              </w:rPr>
              <w:t>4,699</w:t>
            </w:r>
          </w:p>
        </w:tc>
        <w:tc>
          <w:tcPr>
            <w:tcW w:w="569" w:type="pct"/>
            <w:tcBorders>
              <w:top w:val="single" w:sz="4" w:space="0" w:color="auto"/>
              <w:bottom w:val="single" w:sz="4" w:space="0" w:color="auto"/>
            </w:tcBorders>
            <w:tcMar>
              <w:top w:w="0" w:type="dxa"/>
              <w:left w:w="0" w:type="dxa"/>
              <w:bottom w:w="0" w:type="dxa"/>
              <w:right w:w="0" w:type="dxa"/>
            </w:tcMar>
            <w:vAlign w:val="center"/>
          </w:tcPr>
          <w:p w14:paraId="5E75EDA4" w14:textId="77777777" w:rsidR="009103CC" w:rsidRPr="001814D2" w:rsidRDefault="009103CC" w:rsidP="002718DF">
            <w:pPr>
              <w:pStyle w:val="Tabletext"/>
              <w:jc w:val="right"/>
              <w:rPr>
                <w:rFonts w:cs="Preston"/>
                <w:szCs w:val="18"/>
              </w:rPr>
            </w:pPr>
            <w:r w:rsidRPr="001814D2">
              <w:rPr>
                <w:rFonts w:cs="Preston"/>
                <w:szCs w:val="18"/>
              </w:rPr>
              <w:t>3,902</w:t>
            </w:r>
          </w:p>
        </w:tc>
        <w:tc>
          <w:tcPr>
            <w:tcW w:w="569" w:type="pct"/>
            <w:tcBorders>
              <w:top w:val="single" w:sz="4" w:space="0" w:color="auto"/>
              <w:bottom w:val="single" w:sz="4" w:space="0" w:color="auto"/>
            </w:tcBorders>
            <w:tcMar>
              <w:top w:w="0" w:type="dxa"/>
              <w:left w:w="0" w:type="dxa"/>
              <w:bottom w:w="0" w:type="dxa"/>
              <w:right w:w="0" w:type="dxa"/>
            </w:tcMar>
            <w:vAlign w:val="center"/>
          </w:tcPr>
          <w:p w14:paraId="6D2A9819" w14:textId="77777777" w:rsidR="009103CC" w:rsidRPr="001814D2" w:rsidRDefault="009103CC" w:rsidP="002718DF">
            <w:pPr>
              <w:pStyle w:val="Tabletext"/>
              <w:jc w:val="right"/>
              <w:rPr>
                <w:rFonts w:cs="Preston"/>
                <w:szCs w:val="18"/>
              </w:rPr>
            </w:pPr>
            <w:r w:rsidRPr="001814D2">
              <w:rPr>
                <w:rFonts w:cs="Preston"/>
                <w:szCs w:val="18"/>
              </w:rPr>
              <w:t>27,346</w:t>
            </w:r>
          </w:p>
        </w:tc>
      </w:tr>
      <w:tr w:rsidR="009103CC" w:rsidRPr="001814D2" w14:paraId="495D48AB"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7B33B43B" w14:textId="77777777" w:rsidR="009103CC" w:rsidRPr="001814D2" w:rsidRDefault="009103CC" w:rsidP="002718DF">
            <w:pPr>
              <w:pStyle w:val="Tabletext"/>
            </w:pPr>
          </w:p>
        </w:tc>
        <w:tc>
          <w:tcPr>
            <w:tcW w:w="377" w:type="pct"/>
            <w:tcBorders>
              <w:top w:val="single" w:sz="4" w:space="0" w:color="auto"/>
              <w:bottom w:val="single" w:sz="4" w:space="0" w:color="auto"/>
            </w:tcBorders>
            <w:tcMar>
              <w:top w:w="0" w:type="dxa"/>
              <w:left w:w="0" w:type="dxa"/>
              <w:bottom w:w="0" w:type="dxa"/>
              <w:right w:w="0" w:type="dxa"/>
            </w:tcMar>
            <w:vAlign w:val="center"/>
          </w:tcPr>
          <w:p w14:paraId="0996234A" w14:textId="77777777" w:rsidR="009103CC" w:rsidRPr="001814D2" w:rsidRDefault="009103CC" w:rsidP="002718DF">
            <w:pPr>
              <w:pStyle w:val="Tabletext"/>
            </w:pPr>
          </w:p>
        </w:tc>
        <w:tc>
          <w:tcPr>
            <w:tcW w:w="569" w:type="pct"/>
            <w:tcBorders>
              <w:top w:val="single" w:sz="4" w:space="0" w:color="auto"/>
              <w:bottom w:val="single" w:sz="4" w:space="0" w:color="auto"/>
            </w:tcBorders>
            <w:tcMar>
              <w:top w:w="0" w:type="dxa"/>
              <w:left w:w="0" w:type="dxa"/>
              <w:bottom w:w="0" w:type="dxa"/>
              <w:right w:w="0" w:type="dxa"/>
            </w:tcMar>
            <w:vAlign w:val="center"/>
          </w:tcPr>
          <w:p w14:paraId="5FD47811"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750F0821" w14:textId="77777777" w:rsidR="009103CC" w:rsidRPr="001814D2" w:rsidRDefault="009103CC" w:rsidP="002718DF">
            <w:pPr>
              <w:pStyle w:val="Tabletext"/>
              <w:jc w:val="right"/>
            </w:pPr>
          </w:p>
        </w:tc>
        <w:tc>
          <w:tcPr>
            <w:tcW w:w="935" w:type="pct"/>
            <w:tcBorders>
              <w:top w:val="single" w:sz="4" w:space="0" w:color="auto"/>
              <w:bottom w:val="single" w:sz="4" w:space="0" w:color="auto"/>
            </w:tcBorders>
            <w:tcMar>
              <w:top w:w="0" w:type="dxa"/>
              <w:left w:w="0" w:type="dxa"/>
              <w:bottom w:w="0" w:type="dxa"/>
              <w:right w:w="0" w:type="dxa"/>
            </w:tcMar>
            <w:vAlign w:val="center"/>
          </w:tcPr>
          <w:p w14:paraId="5CB7BFAA"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1040C955" w14:textId="77777777" w:rsidR="009103CC" w:rsidRPr="001814D2" w:rsidRDefault="009103CC" w:rsidP="002718DF">
            <w:pPr>
              <w:pStyle w:val="Tabletext"/>
              <w:jc w:val="right"/>
            </w:pPr>
          </w:p>
        </w:tc>
        <w:tc>
          <w:tcPr>
            <w:tcW w:w="569" w:type="pct"/>
            <w:tcBorders>
              <w:top w:val="single" w:sz="4" w:space="0" w:color="auto"/>
              <w:bottom w:val="single" w:sz="4" w:space="0" w:color="auto"/>
            </w:tcBorders>
            <w:tcMar>
              <w:top w:w="0" w:type="dxa"/>
              <w:left w:w="0" w:type="dxa"/>
              <w:bottom w:w="0" w:type="dxa"/>
              <w:right w:w="0" w:type="dxa"/>
            </w:tcMar>
            <w:vAlign w:val="center"/>
          </w:tcPr>
          <w:p w14:paraId="20787CED" w14:textId="77777777" w:rsidR="009103CC" w:rsidRPr="001814D2" w:rsidRDefault="009103CC" w:rsidP="002718DF">
            <w:pPr>
              <w:pStyle w:val="Tabletext"/>
              <w:jc w:val="right"/>
            </w:pPr>
          </w:p>
        </w:tc>
      </w:tr>
      <w:tr w:rsidR="009103CC" w:rsidRPr="001814D2" w14:paraId="067E5621" w14:textId="77777777" w:rsidTr="002718DF">
        <w:trPr>
          <w:cantSplit/>
          <w:trHeight w:hRule="exact" w:val="607"/>
        </w:trPr>
        <w:tc>
          <w:tcPr>
            <w:tcW w:w="1412" w:type="pct"/>
            <w:tcBorders>
              <w:top w:val="single" w:sz="4" w:space="0" w:color="auto"/>
              <w:bottom w:val="single" w:sz="4" w:space="0" w:color="auto"/>
            </w:tcBorders>
            <w:tcMar>
              <w:top w:w="0" w:type="dxa"/>
              <w:left w:w="0" w:type="dxa"/>
              <w:bottom w:w="0" w:type="dxa"/>
              <w:right w:w="0" w:type="dxa"/>
            </w:tcMar>
            <w:vAlign w:val="center"/>
          </w:tcPr>
          <w:p w14:paraId="1AB9A748" w14:textId="77777777" w:rsidR="009103CC" w:rsidRPr="001814D2" w:rsidRDefault="009103CC" w:rsidP="002718DF">
            <w:pPr>
              <w:pStyle w:val="Tabletext"/>
              <w:rPr>
                <w:rFonts w:cs="Preston"/>
                <w:szCs w:val="18"/>
              </w:rPr>
            </w:pPr>
            <w:r w:rsidRPr="001814D2">
              <w:rPr>
                <w:rFonts w:cs="Preston"/>
                <w:szCs w:val="18"/>
              </w:rPr>
              <w:t>Closing cash and cash equivalents</w:t>
            </w:r>
          </w:p>
        </w:tc>
        <w:tc>
          <w:tcPr>
            <w:tcW w:w="377" w:type="pct"/>
            <w:tcBorders>
              <w:top w:val="single" w:sz="4" w:space="0" w:color="auto"/>
              <w:bottom w:val="single" w:sz="4" w:space="0" w:color="auto"/>
            </w:tcBorders>
            <w:tcMar>
              <w:top w:w="0" w:type="dxa"/>
              <w:left w:w="0" w:type="dxa"/>
              <w:bottom w:w="0" w:type="dxa"/>
              <w:right w:w="0" w:type="dxa"/>
            </w:tcMar>
            <w:vAlign w:val="center"/>
          </w:tcPr>
          <w:p w14:paraId="5F5342DB" w14:textId="77777777" w:rsidR="009103CC" w:rsidRPr="001814D2" w:rsidRDefault="009103CC" w:rsidP="002718DF">
            <w:pPr>
              <w:pStyle w:val="Tabletext"/>
              <w:rPr>
                <w:rFonts w:cs="Preston"/>
                <w:szCs w:val="18"/>
              </w:rPr>
            </w:pPr>
            <w:r w:rsidRPr="001814D2">
              <w:rPr>
                <w:rFonts w:cs="Preston"/>
                <w:szCs w:val="18"/>
              </w:rPr>
              <w:t>5</w:t>
            </w:r>
          </w:p>
        </w:tc>
        <w:tc>
          <w:tcPr>
            <w:tcW w:w="569" w:type="pct"/>
            <w:tcBorders>
              <w:top w:val="single" w:sz="4" w:space="0" w:color="auto"/>
              <w:bottom w:val="single" w:sz="4" w:space="0" w:color="auto"/>
            </w:tcBorders>
            <w:tcMar>
              <w:top w:w="0" w:type="dxa"/>
              <w:left w:w="0" w:type="dxa"/>
              <w:bottom w:w="0" w:type="dxa"/>
              <w:right w:w="0" w:type="dxa"/>
            </w:tcMar>
            <w:vAlign w:val="center"/>
          </w:tcPr>
          <w:p w14:paraId="1838B343" w14:textId="77777777" w:rsidR="009103CC" w:rsidRPr="001814D2" w:rsidRDefault="009103CC" w:rsidP="002718DF">
            <w:pPr>
              <w:pStyle w:val="Tabletext"/>
              <w:jc w:val="right"/>
              <w:rPr>
                <w:rFonts w:cs="Preston"/>
                <w:szCs w:val="18"/>
              </w:rPr>
            </w:pPr>
            <w:r w:rsidRPr="001814D2">
              <w:rPr>
                <w:rFonts w:cs="Preston"/>
                <w:szCs w:val="18"/>
              </w:rPr>
              <w:t>3,549</w:t>
            </w:r>
          </w:p>
        </w:tc>
        <w:tc>
          <w:tcPr>
            <w:tcW w:w="569" w:type="pct"/>
            <w:tcBorders>
              <w:top w:val="single" w:sz="4" w:space="0" w:color="auto"/>
              <w:bottom w:val="single" w:sz="4" w:space="0" w:color="auto"/>
            </w:tcBorders>
            <w:tcMar>
              <w:top w:w="0" w:type="dxa"/>
              <w:left w:w="0" w:type="dxa"/>
              <w:bottom w:w="0" w:type="dxa"/>
              <w:right w:w="0" w:type="dxa"/>
            </w:tcMar>
            <w:vAlign w:val="center"/>
          </w:tcPr>
          <w:p w14:paraId="5241D3CD" w14:textId="77777777" w:rsidR="009103CC" w:rsidRPr="001814D2" w:rsidRDefault="009103CC" w:rsidP="002718DF">
            <w:pPr>
              <w:pStyle w:val="Tabletext"/>
              <w:jc w:val="right"/>
              <w:rPr>
                <w:rFonts w:cs="Preston"/>
                <w:szCs w:val="18"/>
              </w:rPr>
            </w:pPr>
            <w:r w:rsidRPr="001814D2">
              <w:rPr>
                <w:rFonts w:cs="Preston"/>
                <w:szCs w:val="18"/>
              </w:rPr>
              <w:t>3,950</w:t>
            </w:r>
          </w:p>
        </w:tc>
        <w:tc>
          <w:tcPr>
            <w:tcW w:w="935" w:type="pct"/>
            <w:tcBorders>
              <w:top w:val="single" w:sz="4" w:space="0" w:color="auto"/>
              <w:bottom w:val="single" w:sz="4" w:space="0" w:color="auto"/>
            </w:tcBorders>
            <w:tcMar>
              <w:top w:w="0" w:type="dxa"/>
              <w:left w:w="0" w:type="dxa"/>
              <w:bottom w:w="0" w:type="dxa"/>
              <w:right w:w="0" w:type="dxa"/>
            </w:tcMar>
            <w:vAlign w:val="center"/>
          </w:tcPr>
          <w:p w14:paraId="42673DBC" w14:textId="77777777" w:rsidR="009103CC" w:rsidRPr="001814D2" w:rsidRDefault="009103CC" w:rsidP="002718DF">
            <w:pPr>
              <w:pStyle w:val="Tabletext"/>
              <w:jc w:val="right"/>
              <w:rPr>
                <w:rFonts w:cs="Preston"/>
                <w:szCs w:val="18"/>
              </w:rPr>
            </w:pPr>
            <w:r w:rsidRPr="001814D2">
              <w:rPr>
                <w:rFonts w:cs="Preston"/>
                <w:szCs w:val="18"/>
              </w:rPr>
              <w:t>6,365</w:t>
            </w:r>
          </w:p>
        </w:tc>
        <w:tc>
          <w:tcPr>
            <w:tcW w:w="569" w:type="pct"/>
            <w:tcBorders>
              <w:top w:val="single" w:sz="4" w:space="0" w:color="auto"/>
              <w:bottom w:val="single" w:sz="4" w:space="0" w:color="auto"/>
            </w:tcBorders>
            <w:tcMar>
              <w:top w:w="0" w:type="dxa"/>
              <w:left w:w="0" w:type="dxa"/>
              <w:bottom w:w="0" w:type="dxa"/>
              <w:right w:w="0" w:type="dxa"/>
            </w:tcMar>
            <w:vAlign w:val="center"/>
          </w:tcPr>
          <w:p w14:paraId="0DB81C1C" w14:textId="77777777" w:rsidR="009103CC" w:rsidRPr="001814D2" w:rsidRDefault="009103CC" w:rsidP="002718DF">
            <w:pPr>
              <w:pStyle w:val="Tabletext"/>
              <w:jc w:val="right"/>
              <w:rPr>
                <w:rFonts w:cs="Preston"/>
                <w:szCs w:val="18"/>
              </w:rPr>
            </w:pPr>
            <w:r w:rsidRPr="001814D2">
              <w:rPr>
                <w:rFonts w:cs="Preston"/>
                <w:szCs w:val="18"/>
              </w:rPr>
              <w:t>3,479</w:t>
            </w:r>
          </w:p>
        </w:tc>
        <w:tc>
          <w:tcPr>
            <w:tcW w:w="569" w:type="pct"/>
            <w:tcBorders>
              <w:top w:val="single" w:sz="4" w:space="0" w:color="auto"/>
              <w:bottom w:val="single" w:sz="4" w:space="0" w:color="auto"/>
            </w:tcBorders>
            <w:tcMar>
              <w:top w:w="0" w:type="dxa"/>
              <w:left w:w="0" w:type="dxa"/>
              <w:bottom w:w="0" w:type="dxa"/>
              <w:right w:w="0" w:type="dxa"/>
            </w:tcMar>
            <w:vAlign w:val="center"/>
          </w:tcPr>
          <w:p w14:paraId="6B1B043C" w14:textId="77777777" w:rsidR="009103CC" w:rsidRPr="001814D2" w:rsidRDefault="009103CC" w:rsidP="002718DF">
            <w:pPr>
              <w:pStyle w:val="Tabletext"/>
              <w:jc w:val="right"/>
              <w:rPr>
                <w:rFonts w:cs="Preston"/>
                <w:szCs w:val="18"/>
              </w:rPr>
            </w:pPr>
            <w:r w:rsidRPr="001814D2">
              <w:rPr>
                <w:rFonts w:cs="Preston"/>
                <w:szCs w:val="18"/>
              </w:rPr>
              <w:t>3,902</w:t>
            </w:r>
          </w:p>
        </w:tc>
      </w:tr>
    </w:tbl>
    <w:p w14:paraId="37BAEBDB" w14:textId="77777777" w:rsidR="009103CC" w:rsidRPr="0084002D" w:rsidRDefault="009103CC" w:rsidP="009103CC">
      <w:pPr>
        <w:pStyle w:val="Tabletext"/>
      </w:pPr>
      <w:r w:rsidRPr="0084002D">
        <w:t>The statement of cash flows is to be read in conjunction with the attached notes.</w:t>
      </w:r>
    </w:p>
    <w:p w14:paraId="18F70F6C" w14:textId="77777777" w:rsidR="009103CC" w:rsidRPr="00933FC4" w:rsidRDefault="009103CC" w:rsidP="009103CC">
      <w:pPr>
        <w:pStyle w:val="ARbody"/>
      </w:pPr>
      <w:r w:rsidRPr="00933FC4">
        <w:br w:type="page"/>
      </w:r>
    </w:p>
    <w:p w14:paraId="5917540F" w14:textId="77777777" w:rsidR="009103CC" w:rsidRPr="001814D2" w:rsidRDefault="009103CC" w:rsidP="009103CC">
      <w:pPr>
        <w:pStyle w:val="ARheading3"/>
      </w:pPr>
      <w:r w:rsidRPr="001814D2">
        <w:t>Notes to and forming part of the financial report</w:t>
      </w:r>
      <w:r w:rsidRPr="001814D2">
        <w:br/>
        <w:t xml:space="preserve">For the year ended 30 June 2021 </w:t>
      </w:r>
    </w:p>
    <w:p w14:paraId="6F00BBA2" w14:textId="77777777" w:rsidR="009103CC" w:rsidRPr="001037E4" w:rsidRDefault="009103CC" w:rsidP="009103CC">
      <w:pPr>
        <w:pStyle w:val="ARbody"/>
        <w:rPr>
          <w:b/>
          <w:bCs/>
        </w:rPr>
      </w:pPr>
      <w:r w:rsidRPr="001037E4">
        <w:rPr>
          <w:b/>
          <w:bCs/>
        </w:rPr>
        <w:t>1.1 Corporate information</w:t>
      </w:r>
    </w:p>
    <w:p w14:paraId="0A2B1D2E" w14:textId="77777777" w:rsidR="009103CC" w:rsidRPr="001814D2" w:rsidRDefault="009103CC" w:rsidP="009103CC">
      <w:pPr>
        <w:pStyle w:val="ARbody"/>
      </w:pPr>
      <w:r w:rsidRPr="001814D2">
        <w:t>The Art Gallery of NSW Trust (the Gallery) is a statutory body of the NSW State Government. The Gallery is a not-for-profit entity (as profit is not its principal objective) and it has no cash generating units. The reporting entity is consolidated as part of the NSW Total State Sector Accounts.</w:t>
      </w:r>
    </w:p>
    <w:p w14:paraId="330B33C5" w14:textId="77777777" w:rsidR="009103CC" w:rsidRPr="001814D2" w:rsidRDefault="009103CC" w:rsidP="009103CC">
      <w:pPr>
        <w:pStyle w:val="ARbody"/>
      </w:pPr>
      <w:r w:rsidRPr="001814D2">
        <w:t>The Art Gallery of NSW Trust (the Gallery) as a reporting entity comprises all the business units under the Gallery’s control including the Gallery's exhibitions, merchandising, venue hire, and catering as well as the activities of the Australian Institute of Asian Culture, Visual Arts (VisAsia) and Art Gallery of NSW Staff Agency.</w:t>
      </w:r>
    </w:p>
    <w:p w14:paraId="4FCDE009" w14:textId="77777777" w:rsidR="009103CC" w:rsidRPr="001814D2" w:rsidRDefault="009103CC" w:rsidP="009103CC">
      <w:pPr>
        <w:pStyle w:val="ARbody"/>
      </w:pPr>
      <w:r w:rsidRPr="001814D2">
        <w:t>The Art Gallery of NSW Staff Agency (the Agency), being a special purpose entity, is a NSW Government Services established on 24th February 2014 under the Government Sector Employment Act 2013 (GSE Act). The objective is to provide personnel services to the parent entity, Art Gallery of NSW Trust.</w:t>
      </w:r>
    </w:p>
    <w:p w14:paraId="2818A073" w14:textId="77777777" w:rsidR="009103CC" w:rsidRPr="001814D2" w:rsidRDefault="009103CC" w:rsidP="009103CC">
      <w:pPr>
        <w:pStyle w:val="ARbody"/>
      </w:pPr>
      <w:r w:rsidRPr="001814D2">
        <w:t>The Gallery’s insurance activities are conducted through the NSW Treasury Managed Fund Scheme of self insurance for Government agencies. The expense (premium) is determined by the Fund Manager based on past claim experience, asset values and risk.</w:t>
      </w:r>
    </w:p>
    <w:p w14:paraId="53D013D3" w14:textId="77777777" w:rsidR="009103CC" w:rsidRPr="001814D2" w:rsidRDefault="009103CC" w:rsidP="009103CC">
      <w:pPr>
        <w:pStyle w:val="ARbody"/>
      </w:pPr>
      <w:r w:rsidRPr="001814D2">
        <w:t>The activities of the Gallery are exempt from income tax. The Gallery is registered for GST purposes and has gift deductible recipient status.</w:t>
      </w:r>
    </w:p>
    <w:p w14:paraId="70955A65" w14:textId="77777777" w:rsidR="009103CC" w:rsidRPr="001814D2" w:rsidRDefault="009103CC" w:rsidP="009103CC">
      <w:pPr>
        <w:pStyle w:val="ARbody"/>
      </w:pPr>
      <w:r w:rsidRPr="001814D2">
        <w:t>The Gallery forms part of the group of agencies within the Department of Premier and Cabinet cluster.</w:t>
      </w:r>
    </w:p>
    <w:p w14:paraId="2CB9BF3E" w14:textId="77777777" w:rsidR="009103CC" w:rsidRPr="001814D2" w:rsidRDefault="009103CC" w:rsidP="009103CC">
      <w:pPr>
        <w:pStyle w:val="ARbody"/>
      </w:pPr>
      <w:r w:rsidRPr="001814D2">
        <w:t>The financial report for the year ended 30 June 2021 was authorised for issue in accordance with a resolution of the Board of Trustees on 15 October 2021.</w:t>
      </w:r>
    </w:p>
    <w:p w14:paraId="6CEA6C63" w14:textId="77777777" w:rsidR="009103CC" w:rsidRPr="001037E4" w:rsidRDefault="009103CC" w:rsidP="009103CC">
      <w:pPr>
        <w:pStyle w:val="ARbody"/>
        <w:rPr>
          <w:b/>
          <w:bCs/>
        </w:rPr>
      </w:pPr>
      <w:r w:rsidRPr="001037E4">
        <w:rPr>
          <w:b/>
          <w:bCs/>
        </w:rPr>
        <w:t>1.2 Basis of preparation</w:t>
      </w:r>
    </w:p>
    <w:p w14:paraId="784CFB03" w14:textId="77777777" w:rsidR="009103CC" w:rsidRPr="001814D2" w:rsidRDefault="009103CC" w:rsidP="009103CC">
      <w:pPr>
        <w:pStyle w:val="ARbody"/>
      </w:pPr>
      <w:r w:rsidRPr="001814D2">
        <w:t>The Gallery’s financial statements are general purpose financial statements; which have been prepared on an accruals basis and in accordance with:</w:t>
      </w:r>
    </w:p>
    <w:p w14:paraId="3C469568" w14:textId="77777777" w:rsidR="009103CC" w:rsidRPr="001814D2" w:rsidRDefault="009103CC" w:rsidP="009103CC">
      <w:pPr>
        <w:pStyle w:val="ARlistparagraph"/>
      </w:pPr>
      <w:r w:rsidRPr="001814D2">
        <w:t>the requirements of the Government Sector Finance Act 2018 (GSF Act);</w:t>
      </w:r>
    </w:p>
    <w:p w14:paraId="7ADE7F3C" w14:textId="77777777" w:rsidR="009103CC" w:rsidRPr="001814D2" w:rsidRDefault="009103CC" w:rsidP="009103CC">
      <w:pPr>
        <w:pStyle w:val="ARlistparagraph"/>
      </w:pPr>
      <w:r w:rsidRPr="001814D2">
        <w:t>the Financial Reporting Directions mandated by the NSW Treasurer under the GSF Act</w:t>
      </w:r>
    </w:p>
    <w:p w14:paraId="44C41370" w14:textId="77777777" w:rsidR="009103CC" w:rsidRPr="001814D2" w:rsidRDefault="009103CC" w:rsidP="009103CC">
      <w:pPr>
        <w:pStyle w:val="ARlistparagraph"/>
      </w:pPr>
      <w:r w:rsidRPr="001814D2">
        <w:t xml:space="preserve">the </w:t>
      </w:r>
      <w:r w:rsidRPr="001814D2">
        <w:rPr>
          <w:i/>
          <w:iCs/>
        </w:rPr>
        <w:t>Australian Charities and Not for Profits Commission Act 2012</w:t>
      </w:r>
      <w:r w:rsidRPr="001814D2">
        <w:t xml:space="preserve"> and Australian Charities and Not for Profits Commission Regulation 2013</w:t>
      </w:r>
    </w:p>
    <w:p w14:paraId="312A863B" w14:textId="77777777" w:rsidR="009103CC" w:rsidRPr="001814D2" w:rsidRDefault="009103CC" w:rsidP="009103CC">
      <w:pPr>
        <w:pStyle w:val="ARlistparagraph"/>
      </w:pPr>
      <w:r w:rsidRPr="001814D2">
        <w:t>Australian Accounting Standards, Accounting Interpretations and other authoritative pronouncements of the Australian Accounting Standards Board.</w:t>
      </w:r>
    </w:p>
    <w:p w14:paraId="476C5768" w14:textId="77777777" w:rsidR="009103CC" w:rsidRPr="001814D2" w:rsidRDefault="009103CC" w:rsidP="009103CC">
      <w:pPr>
        <w:pStyle w:val="ARbody"/>
      </w:pPr>
      <w:r w:rsidRPr="001814D2">
        <w:t>Where an accounting policy is specific to one note, the policy is included in the note to which it relates.</w:t>
      </w:r>
    </w:p>
    <w:p w14:paraId="2261FFAF" w14:textId="77777777" w:rsidR="009103CC" w:rsidRPr="001814D2" w:rsidRDefault="009103CC" w:rsidP="009103CC">
      <w:pPr>
        <w:pStyle w:val="ARbody"/>
      </w:pPr>
      <w:r w:rsidRPr="001814D2">
        <w:t>In the process of preparing the consolidated financial statements for the economic entity consisting of all entities controlled at year end or any time during the year, all inter-entity transactions and balances have been eliminated and like transactions and other events are accounted for using uniform accounting policies.</w:t>
      </w:r>
    </w:p>
    <w:p w14:paraId="249A9A51" w14:textId="77777777" w:rsidR="009103CC" w:rsidRPr="001037E4" w:rsidRDefault="009103CC" w:rsidP="009103CC">
      <w:pPr>
        <w:pStyle w:val="ARbody"/>
        <w:rPr>
          <w:b/>
          <w:bCs/>
        </w:rPr>
      </w:pPr>
      <w:r w:rsidRPr="001037E4">
        <w:rPr>
          <w:b/>
          <w:bCs/>
        </w:rPr>
        <w:t>Historical cost convention</w:t>
      </w:r>
    </w:p>
    <w:p w14:paraId="5A1EE2AD" w14:textId="77777777" w:rsidR="009103CC" w:rsidRPr="001814D2" w:rsidRDefault="009103CC" w:rsidP="009103CC">
      <w:pPr>
        <w:pStyle w:val="ARbody"/>
      </w:pPr>
      <w:r w:rsidRPr="001814D2">
        <w:t>The financial report has been prepared on the basis of historical cost (which is based on the fair value of the consideration given in exchange for assets) except for the following:</w:t>
      </w:r>
    </w:p>
    <w:p w14:paraId="6DEAEB19" w14:textId="77777777" w:rsidR="009103CC" w:rsidRPr="001814D2" w:rsidRDefault="009103CC" w:rsidP="009103CC">
      <w:pPr>
        <w:pStyle w:val="ARlistparagraph"/>
      </w:pPr>
      <w:r w:rsidRPr="001814D2">
        <w:t>Land, buildings and collection assets are valued at fair value less accumulated depreciation on buildings and any impairment losses</w:t>
      </w:r>
    </w:p>
    <w:p w14:paraId="684A1FA2" w14:textId="77777777" w:rsidR="009103CC" w:rsidRPr="001814D2" w:rsidRDefault="009103CC" w:rsidP="009103CC">
      <w:pPr>
        <w:pStyle w:val="ARlistparagraph"/>
      </w:pPr>
      <w:r w:rsidRPr="001814D2">
        <w:t>Financial assets at "fair value" through profit or loss are measured at fair value.</w:t>
      </w:r>
    </w:p>
    <w:p w14:paraId="7EAC65EF" w14:textId="77777777" w:rsidR="009103CC" w:rsidRPr="001037E4" w:rsidRDefault="009103CC" w:rsidP="009103CC">
      <w:pPr>
        <w:pStyle w:val="ARbody"/>
        <w:rPr>
          <w:b/>
          <w:bCs/>
        </w:rPr>
      </w:pPr>
      <w:r w:rsidRPr="001037E4">
        <w:rPr>
          <w:b/>
          <w:bCs/>
        </w:rPr>
        <w:t>Currency and rounding of amounts</w:t>
      </w:r>
    </w:p>
    <w:p w14:paraId="36CF8B18" w14:textId="77777777" w:rsidR="009103CC" w:rsidRPr="001814D2" w:rsidRDefault="009103CC" w:rsidP="009103CC">
      <w:pPr>
        <w:pStyle w:val="ARbody"/>
      </w:pPr>
      <w:r w:rsidRPr="001814D2">
        <w:t>All amounts are rounded to the nearest one thousand dollars and are expressed in Australian currency.</w:t>
      </w:r>
    </w:p>
    <w:p w14:paraId="5317E891" w14:textId="77777777" w:rsidR="009103CC" w:rsidRPr="001037E4" w:rsidRDefault="009103CC" w:rsidP="009103CC">
      <w:pPr>
        <w:pStyle w:val="ARbody"/>
        <w:rPr>
          <w:b/>
          <w:bCs/>
        </w:rPr>
      </w:pPr>
      <w:r w:rsidRPr="001037E4">
        <w:rPr>
          <w:b/>
          <w:bCs/>
        </w:rPr>
        <w:t>Details of reserves included in the Statement of Changes in Funds</w:t>
      </w:r>
    </w:p>
    <w:p w14:paraId="5741DC24" w14:textId="77777777" w:rsidR="009103CC" w:rsidRPr="001814D2" w:rsidRDefault="009103CC" w:rsidP="009103CC">
      <w:pPr>
        <w:pStyle w:val="ARlistparagraph"/>
      </w:pPr>
      <w:r w:rsidRPr="001814D2">
        <w:rPr>
          <w:b/>
          <w:bCs/>
        </w:rPr>
        <w:t>Asset Revaluation Reserve</w:t>
      </w:r>
      <w:r>
        <w:rPr>
          <w:b/>
          <w:bCs/>
        </w:rPr>
        <w:br/>
      </w:r>
      <w:r w:rsidRPr="001814D2">
        <w:t>The asset revaluation reserve is used to record increments and decrements on the revaluation of non-current assets. This accords with the Gallery’s policy on the revaluation of property, plant and equipment as discussed in note 9.</w:t>
      </w:r>
    </w:p>
    <w:p w14:paraId="14A72646" w14:textId="77777777" w:rsidR="009103CC" w:rsidRPr="001814D2" w:rsidRDefault="009103CC" w:rsidP="009103CC">
      <w:pPr>
        <w:pStyle w:val="ARlistparagraph"/>
      </w:pPr>
      <w:r w:rsidRPr="001814D2">
        <w:rPr>
          <w:b/>
          <w:bCs/>
        </w:rPr>
        <w:t>Accumulated Funds</w:t>
      </w:r>
      <w:r>
        <w:rPr>
          <w:b/>
          <w:bCs/>
        </w:rPr>
        <w:br/>
      </w:r>
      <w:r w:rsidRPr="001814D2">
        <w:t>The category of ‘Accumulated Funds’ includes all current and prior period retained funds.</w:t>
      </w:r>
    </w:p>
    <w:p w14:paraId="6B74130F" w14:textId="77777777" w:rsidR="009103CC" w:rsidRPr="001037E4" w:rsidRDefault="009103CC" w:rsidP="009103CC">
      <w:pPr>
        <w:pStyle w:val="ARbody"/>
        <w:rPr>
          <w:b/>
          <w:bCs/>
        </w:rPr>
      </w:pPr>
      <w:r w:rsidRPr="001037E4">
        <w:rPr>
          <w:b/>
          <w:bCs/>
        </w:rPr>
        <w:t>Significant accounting judgements, estimates and assumptions</w:t>
      </w:r>
    </w:p>
    <w:p w14:paraId="5F0C192A" w14:textId="77777777" w:rsidR="009103CC" w:rsidRPr="001814D2" w:rsidRDefault="009103CC" w:rsidP="009103CC">
      <w:pPr>
        <w:pStyle w:val="ARbody"/>
      </w:pPr>
      <w:r w:rsidRPr="001814D2">
        <w:t>The preparation of financial information requires management to make judgements, estimates and assumptions that affect the application of policies and reported amounts of assets, liabilities, income and expenses. The estimates and associated assumptions are based on historical experience and other factors that are believed to be reasonable under the circumstances. Actual results may differ from these estimates. Specific accounting judgements and estimates are discussed in detail under the relevant notes.</w:t>
      </w:r>
    </w:p>
    <w:p w14:paraId="6E2E3DB1" w14:textId="77777777" w:rsidR="009103CC" w:rsidRPr="001037E4" w:rsidRDefault="009103CC" w:rsidP="009103CC">
      <w:pPr>
        <w:pStyle w:val="ARbody"/>
        <w:rPr>
          <w:b/>
          <w:bCs/>
        </w:rPr>
      </w:pPr>
      <w:r w:rsidRPr="001037E4">
        <w:rPr>
          <w:b/>
          <w:bCs/>
        </w:rPr>
        <w:t>COVID-19</w:t>
      </w:r>
    </w:p>
    <w:p w14:paraId="7F019C8B" w14:textId="77777777" w:rsidR="009103CC" w:rsidRPr="001814D2" w:rsidRDefault="009103CC" w:rsidP="009103CC">
      <w:pPr>
        <w:pStyle w:val="ARbody"/>
      </w:pPr>
      <w:r w:rsidRPr="001814D2">
        <w:t xml:space="preserve">COVID-19 continues to impact the Gallery, with outbreaks in various states and corresponding measures taken by respective governments to contain the virus affecting economic activity. The Gallery has put in place safety and health guidelines for </w:t>
      </w:r>
      <w:r>
        <w:t>s</w:t>
      </w:r>
      <w:r w:rsidRPr="001814D2">
        <w:t>taff and visitors to mitigate the effect of COVID-19 in accordance with the latest health advice from NSW Health including the implementation of social distancing measures, working from home arrangements and QR Code check-in.</w:t>
      </w:r>
    </w:p>
    <w:p w14:paraId="7BDF7A67" w14:textId="77777777" w:rsidR="009103CC" w:rsidRPr="001814D2" w:rsidRDefault="009103CC" w:rsidP="009103CC">
      <w:pPr>
        <w:pStyle w:val="ARbody"/>
      </w:pPr>
      <w:r w:rsidRPr="001814D2">
        <w:t>Where applicable, the impacts of COVID-19 have also been considered on any assumptions and estimates when preparing the financial statements. Additional COVID disclosures can be found in the following notes to the Financial Statements</w:t>
      </w:r>
    </w:p>
    <w:p w14:paraId="4767AFA3" w14:textId="77777777" w:rsidR="009103CC" w:rsidRPr="001814D2" w:rsidRDefault="009103CC" w:rsidP="009103CC">
      <w:pPr>
        <w:pStyle w:val="Listitemasbody"/>
      </w:pPr>
      <w:r w:rsidRPr="001814D2">
        <w:t>Note 6: Current Asset – Receivables</w:t>
      </w:r>
    </w:p>
    <w:p w14:paraId="6FC9E18B" w14:textId="77777777" w:rsidR="009103CC" w:rsidRPr="001814D2" w:rsidRDefault="009103CC" w:rsidP="009103CC">
      <w:pPr>
        <w:pStyle w:val="Listitemasbody"/>
      </w:pPr>
      <w:r w:rsidRPr="001814D2">
        <w:t>Note 7: Current Assets – Inventories</w:t>
      </w:r>
    </w:p>
    <w:p w14:paraId="2EDE8FD4" w14:textId="77777777" w:rsidR="009103CC" w:rsidRPr="001814D2" w:rsidRDefault="009103CC" w:rsidP="009103CC">
      <w:pPr>
        <w:pStyle w:val="Listitemasbody"/>
      </w:pPr>
      <w:r w:rsidRPr="001814D2">
        <w:t>Note 9: Non Current Assets – Property, Plant and Equipment</w:t>
      </w:r>
    </w:p>
    <w:p w14:paraId="2B407515" w14:textId="77777777" w:rsidR="009103CC" w:rsidRPr="001814D2" w:rsidRDefault="009103CC" w:rsidP="009103CC">
      <w:pPr>
        <w:pStyle w:val="Listitemasbody"/>
      </w:pPr>
      <w:r w:rsidRPr="001814D2">
        <w:t>Note 14: Financial Instruments</w:t>
      </w:r>
    </w:p>
    <w:p w14:paraId="62D881E4" w14:textId="77777777" w:rsidR="009103CC" w:rsidRPr="001814D2" w:rsidRDefault="009103CC" w:rsidP="009103CC">
      <w:pPr>
        <w:pStyle w:val="Listitemasbody"/>
      </w:pPr>
      <w:r w:rsidRPr="001814D2">
        <w:t>Note 17: Budget Review</w:t>
      </w:r>
    </w:p>
    <w:p w14:paraId="26FBEACF" w14:textId="77777777" w:rsidR="009103CC" w:rsidRPr="001814D2" w:rsidRDefault="009103CC" w:rsidP="009103CC">
      <w:pPr>
        <w:pStyle w:val="Listitemasbody"/>
      </w:pPr>
      <w:r w:rsidRPr="001814D2">
        <w:t>Note 18: Events After the Reporting Period</w:t>
      </w:r>
    </w:p>
    <w:p w14:paraId="296BDF04" w14:textId="77777777" w:rsidR="009103CC" w:rsidRPr="001037E4" w:rsidRDefault="009103CC" w:rsidP="009103CC">
      <w:pPr>
        <w:pStyle w:val="ARbody"/>
        <w:rPr>
          <w:b/>
          <w:bCs/>
        </w:rPr>
      </w:pPr>
      <w:r w:rsidRPr="001037E4">
        <w:rPr>
          <w:b/>
          <w:bCs/>
        </w:rPr>
        <w:t>Accounting for the Goods and Services Tax (GST)</w:t>
      </w:r>
    </w:p>
    <w:p w14:paraId="2A5771CC" w14:textId="77777777" w:rsidR="009103CC" w:rsidRPr="001814D2" w:rsidRDefault="009103CC" w:rsidP="009103CC">
      <w:pPr>
        <w:pStyle w:val="ARbody"/>
      </w:pPr>
      <w:r w:rsidRPr="001814D2">
        <w:t>Revenues, expenses and assets are recognised net of the amount of GST, except where:</w:t>
      </w:r>
    </w:p>
    <w:p w14:paraId="77B574AD" w14:textId="77777777" w:rsidR="009103CC" w:rsidRPr="001814D2" w:rsidRDefault="009103CC" w:rsidP="009103CC">
      <w:pPr>
        <w:pStyle w:val="ARlistparagraph"/>
      </w:pPr>
      <w:r w:rsidRPr="001814D2">
        <w:t>the amount of GST incurred by the Gallery as a purchaser that is not recoverable from the Australian Taxation Office is recognised as part of the cost of acquisition of an asset or as part of an item of expense: and</w:t>
      </w:r>
    </w:p>
    <w:p w14:paraId="0749FB53" w14:textId="77777777" w:rsidR="009103CC" w:rsidRPr="001814D2" w:rsidRDefault="009103CC" w:rsidP="009103CC">
      <w:pPr>
        <w:pStyle w:val="ARlistparagraph"/>
      </w:pPr>
      <w:r w:rsidRPr="001814D2">
        <w:t>receivables and payables are stated with the amount of GST included.</w:t>
      </w:r>
    </w:p>
    <w:p w14:paraId="3C3B56F9" w14:textId="77777777" w:rsidR="009103CC" w:rsidRPr="001814D2" w:rsidRDefault="009103CC" w:rsidP="009103CC">
      <w:pPr>
        <w:pStyle w:val="ARbody"/>
      </w:pPr>
      <w:r w:rsidRPr="001814D2">
        <w:t>Cash flows are included in the statement of cash flows on a gross basis. However, the GST component of cash flows arising from investment and financing activities which are recoverable from, or payable, to the Australian Taxation Office are classified as operating cash flows.</w:t>
      </w:r>
    </w:p>
    <w:p w14:paraId="4B8474A9" w14:textId="77777777" w:rsidR="009103CC" w:rsidRPr="001037E4" w:rsidRDefault="009103CC" w:rsidP="009103CC">
      <w:pPr>
        <w:pStyle w:val="ARbody"/>
        <w:rPr>
          <w:b/>
          <w:bCs/>
        </w:rPr>
      </w:pPr>
      <w:r w:rsidRPr="001037E4">
        <w:rPr>
          <w:b/>
          <w:bCs/>
        </w:rPr>
        <w:t>Changes to accounting policies, including new or revised Australian Accounting Standards</w:t>
      </w:r>
    </w:p>
    <w:p w14:paraId="337C47F2" w14:textId="77777777" w:rsidR="009103CC" w:rsidRPr="001F5FF5" w:rsidRDefault="009103CC" w:rsidP="009103CC">
      <w:pPr>
        <w:pStyle w:val="ARbody"/>
        <w:rPr>
          <w:b/>
          <w:bCs/>
        </w:rPr>
      </w:pPr>
      <w:r w:rsidRPr="001F5FF5">
        <w:rPr>
          <w:b/>
          <w:bCs/>
        </w:rPr>
        <w:t>(i) Applicable for the first time</w:t>
      </w:r>
    </w:p>
    <w:p w14:paraId="41E0CC81" w14:textId="77777777" w:rsidR="009103CC" w:rsidRPr="001814D2" w:rsidRDefault="009103CC" w:rsidP="009103CC">
      <w:pPr>
        <w:pStyle w:val="ARbody"/>
      </w:pPr>
      <w:r w:rsidRPr="001814D2">
        <w:t>The accounting policies applied in the current financial year are consistent with those of the previous financial year except as a result of the following new or revised Australian Accounting Standards that have been applied for the first time in 2020-21.</w:t>
      </w:r>
    </w:p>
    <w:p w14:paraId="6812568A" w14:textId="77777777" w:rsidR="009103CC" w:rsidRPr="001814D2" w:rsidRDefault="009103CC" w:rsidP="009103CC">
      <w:pPr>
        <w:pStyle w:val="ARbody"/>
      </w:pPr>
      <w:r w:rsidRPr="001814D2">
        <w:t>AASB 1059 applies to those NSW Government Agencies that are grantors in a service concession arrangement. AASB 1059 defines a service concession as an arrangement that involves an operator:</w:t>
      </w:r>
    </w:p>
    <w:p w14:paraId="228ED8A2" w14:textId="77777777" w:rsidR="009103CC" w:rsidRPr="001F5FF5" w:rsidRDefault="009103CC" w:rsidP="009103CC">
      <w:pPr>
        <w:pStyle w:val="Listitemasbody"/>
      </w:pPr>
      <w:r w:rsidRPr="001F5FF5">
        <w:t>(a) Providing public services related to a service concession asset on behalf of the grantor and:</w:t>
      </w:r>
    </w:p>
    <w:p w14:paraId="5D1972ED" w14:textId="77777777" w:rsidR="009103CC" w:rsidRPr="001F5FF5" w:rsidRDefault="009103CC" w:rsidP="009103CC">
      <w:pPr>
        <w:pStyle w:val="Listitemasbody"/>
      </w:pPr>
      <w:r w:rsidRPr="001F5FF5">
        <w:t>(b) Managing at least some of those public services at its (i.e. the operators) own discretion.</w:t>
      </w:r>
    </w:p>
    <w:p w14:paraId="345AD127" w14:textId="77777777" w:rsidR="009103CC" w:rsidRPr="001814D2" w:rsidRDefault="009103CC" w:rsidP="009103CC">
      <w:pPr>
        <w:pStyle w:val="ARbody"/>
      </w:pPr>
      <w:r w:rsidRPr="001814D2">
        <w:t>AASB 1059 does not specifically define what a public service is and so this is a key area of judgement. Gallery management has reviewed its service arrangements with third-party providers and has determined that neither the provision of restaurant / dining services or building / construction services constitute a public service because while both types of service may be considered essential, both are widely available within the private sector and are not expected to be provided by a public sector entity.</w:t>
      </w:r>
    </w:p>
    <w:p w14:paraId="1B16A3F4" w14:textId="77777777" w:rsidR="009103CC" w:rsidRPr="001F5FF5" w:rsidRDefault="009103CC" w:rsidP="009103CC">
      <w:pPr>
        <w:pStyle w:val="ARbody"/>
        <w:rPr>
          <w:b/>
          <w:bCs/>
        </w:rPr>
      </w:pPr>
      <w:r w:rsidRPr="001F5FF5">
        <w:rPr>
          <w:b/>
          <w:bCs/>
        </w:rPr>
        <w:t>(ii) Issued but not yet effective</w:t>
      </w:r>
    </w:p>
    <w:p w14:paraId="4E9C98DD" w14:textId="77777777" w:rsidR="009103CC" w:rsidRPr="001814D2" w:rsidRDefault="009103CC" w:rsidP="009103CC">
      <w:pPr>
        <w:pStyle w:val="ARbody"/>
      </w:pPr>
      <w:r w:rsidRPr="001814D2">
        <w:t>NSW public sector entities are not permitted to early adopt new Australian Accounting Standards (AAS), unless Treasury determines otherwise. The following new AAS have not been applied and are not yet effective:</w:t>
      </w:r>
    </w:p>
    <w:p w14:paraId="68A12C3A" w14:textId="77777777" w:rsidR="009103CC" w:rsidRPr="001814D2" w:rsidRDefault="009103CC" w:rsidP="009103CC">
      <w:pPr>
        <w:pStyle w:val="ARlistparagraph"/>
      </w:pPr>
      <w:r w:rsidRPr="001814D2">
        <w:t xml:space="preserve">AASB 17 </w:t>
      </w:r>
      <w:r w:rsidRPr="001814D2">
        <w:rPr>
          <w:i/>
          <w:iCs/>
        </w:rPr>
        <w:t>Insurance Contracts</w:t>
      </w:r>
      <w:r w:rsidRPr="001814D2">
        <w:t xml:space="preserve"> is effective for annual reporting periods beginning on / after 1 January 2023.</w:t>
      </w:r>
    </w:p>
    <w:p w14:paraId="0A2A9407" w14:textId="77777777" w:rsidR="009103CC" w:rsidRPr="001814D2" w:rsidRDefault="009103CC" w:rsidP="009103CC">
      <w:pPr>
        <w:pStyle w:val="ARlistparagraph"/>
      </w:pPr>
      <w:r w:rsidRPr="001814D2">
        <w:rPr>
          <w:i/>
          <w:iCs/>
        </w:rPr>
        <w:t>AASB 1060 General Purpose Financial Statements – Simplified Disclosures for ForProfit and Not-for-Profit Tier 2 Entities</w:t>
      </w:r>
      <w:r w:rsidRPr="001814D2">
        <w:t xml:space="preserve"> is effective for annual reporting periods beginning on / after 1 July 2021.</w:t>
      </w:r>
    </w:p>
    <w:p w14:paraId="1E7D73B0" w14:textId="77777777" w:rsidR="009103CC" w:rsidRPr="001814D2" w:rsidRDefault="009103CC" w:rsidP="009103CC">
      <w:pPr>
        <w:pStyle w:val="ARlistparagraph"/>
      </w:pPr>
      <w:r w:rsidRPr="001814D2">
        <w:rPr>
          <w:i/>
          <w:iCs/>
        </w:rPr>
        <w:t>AASB 2014-10 Amendments to Australian Accounting Standards – Sale or Contribution of Assets between an Investor and its Associate or Joint Venture</w:t>
      </w:r>
      <w:r w:rsidRPr="001814D2">
        <w:t xml:space="preserve"> is effective for annual reporting periods beginning on / after 1 January 2022.</w:t>
      </w:r>
    </w:p>
    <w:p w14:paraId="4DCBE1AE" w14:textId="77777777" w:rsidR="009103CC" w:rsidRPr="001814D2" w:rsidRDefault="009103CC" w:rsidP="009103CC">
      <w:pPr>
        <w:pStyle w:val="ARlistparagraph"/>
      </w:pPr>
      <w:r w:rsidRPr="001814D2">
        <w:rPr>
          <w:i/>
          <w:iCs/>
        </w:rPr>
        <w:t>AASB 2020-1 Amendments to Australian Accounting Standards – Classification of Liabilities as current or Non-current</w:t>
      </w:r>
      <w:r w:rsidRPr="001814D2">
        <w:t xml:space="preserve"> is effective for annual reporting periods beginning on / after 1 January 2022.</w:t>
      </w:r>
    </w:p>
    <w:p w14:paraId="219DB9A3" w14:textId="77777777" w:rsidR="009103CC" w:rsidRPr="001814D2" w:rsidRDefault="009103CC" w:rsidP="009103CC">
      <w:pPr>
        <w:pStyle w:val="ARlistparagraph"/>
      </w:pPr>
      <w:r w:rsidRPr="001814D2">
        <w:rPr>
          <w:i/>
          <w:iCs/>
        </w:rPr>
        <w:t>AASB 2020-2 Amendments to Australian Accounting Standards – Removal of Special Purpose Financial Statements for Certain For-Profit Private Sector Entities</w:t>
      </w:r>
      <w:r w:rsidRPr="001814D2">
        <w:t xml:space="preserve"> is not applicable to the Gallery</w:t>
      </w:r>
    </w:p>
    <w:p w14:paraId="3AE76B7F" w14:textId="77777777" w:rsidR="009103CC" w:rsidRPr="001814D2" w:rsidRDefault="009103CC" w:rsidP="009103CC">
      <w:pPr>
        <w:pStyle w:val="ARlistparagraph"/>
      </w:pPr>
      <w:r w:rsidRPr="001814D2">
        <w:rPr>
          <w:i/>
          <w:iCs/>
        </w:rPr>
        <w:t>AASB 2020-3 Amendments to Australian Accounting Standards – Annual Improvements 2018– 2020 and Other Amendments</w:t>
      </w:r>
      <w:r w:rsidRPr="001814D2">
        <w:t xml:space="preserve"> is effective for annual reporting periods beginning on / after 1 January 2022.</w:t>
      </w:r>
    </w:p>
    <w:p w14:paraId="5B13B356" w14:textId="77777777" w:rsidR="009103CC" w:rsidRPr="001814D2" w:rsidRDefault="009103CC" w:rsidP="009103CC">
      <w:pPr>
        <w:pStyle w:val="ARlistparagraph"/>
      </w:pPr>
      <w:r w:rsidRPr="001814D2">
        <w:rPr>
          <w:i/>
          <w:iCs/>
        </w:rPr>
        <w:t>AASB 2020-5 Amendments to Australian Accounting Standards – Insurance Contracts</w:t>
      </w:r>
      <w:r w:rsidRPr="001814D2">
        <w:t xml:space="preserve"> comes into effect on / after 1 January 2022.</w:t>
      </w:r>
    </w:p>
    <w:p w14:paraId="1DD3E008" w14:textId="77777777" w:rsidR="009103CC" w:rsidRPr="001814D2" w:rsidRDefault="009103CC" w:rsidP="009103CC">
      <w:pPr>
        <w:pStyle w:val="ARlistparagraph"/>
      </w:pPr>
      <w:r w:rsidRPr="001814D2">
        <w:rPr>
          <w:i/>
          <w:iCs/>
        </w:rPr>
        <w:t>AASB 2020-7 Amendments to Australian Accounting Standards – Covid-19-Related Rent Concessions</w:t>
      </w:r>
      <w:r w:rsidRPr="001814D2">
        <w:t xml:space="preserve"> is effective on / after 1 July 2021</w:t>
      </w:r>
    </w:p>
    <w:p w14:paraId="64465B0F" w14:textId="77777777" w:rsidR="009103CC" w:rsidRPr="001814D2" w:rsidRDefault="009103CC" w:rsidP="009103CC">
      <w:pPr>
        <w:pStyle w:val="ARlistparagraph"/>
      </w:pPr>
      <w:r w:rsidRPr="001814D2">
        <w:rPr>
          <w:i/>
          <w:iCs/>
        </w:rPr>
        <w:t>AASB 2020-8 &amp; 9 Amendments to Australian Accounting Standards – Interest Rate Benchmark Reform</w:t>
      </w:r>
      <w:r w:rsidRPr="001814D2">
        <w:t xml:space="preserve"> effective for periods beginning on / after 1 January 2021.</w:t>
      </w:r>
    </w:p>
    <w:p w14:paraId="7A204B94" w14:textId="77777777" w:rsidR="009103CC" w:rsidRPr="001814D2" w:rsidRDefault="009103CC" w:rsidP="009103CC">
      <w:pPr>
        <w:pStyle w:val="ARlistparagraph"/>
      </w:pPr>
      <w:r w:rsidRPr="001814D2">
        <w:rPr>
          <w:i/>
          <w:iCs/>
        </w:rPr>
        <w:t>AASB 2021-1 Amendments to Australian Accounting Standards – Transition to Tier 2: Simplified Disclosures for Not-for-Profit Entities</w:t>
      </w:r>
      <w:r w:rsidRPr="001814D2">
        <w:t xml:space="preserve"> amends AASB 1060 to provide not-for-profit entities with optional relief from presenting comparative information in the notes to the financial statements where the entity did not disclose the comparable information in its most recent previous general purpose financial statements and is effective on / after 1 July 2021.</w:t>
      </w:r>
    </w:p>
    <w:p w14:paraId="440053A4" w14:textId="77777777" w:rsidR="009103CC" w:rsidRPr="001814D2" w:rsidRDefault="009103CC" w:rsidP="009103CC">
      <w:pPr>
        <w:pStyle w:val="ARlistparagraph"/>
      </w:pPr>
      <w:r w:rsidRPr="001814D2">
        <w:rPr>
          <w:i/>
          <w:iCs/>
        </w:rPr>
        <w:t>AASB 2021-2 Amendments to Australian Accounting Standards – Disclosure of Accounting Policies and Definition of Accounting Estimates</w:t>
      </w:r>
      <w:r w:rsidRPr="001814D2">
        <w:t xml:space="preserve"> amends a number of existing standards, effective for periods beginning on / after 1 January 2023</w:t>
      </w:r>
    </w:p>
    <w:p w14:paraId="5B95A38D" w14:textId="77777777" w:rsidR="009103CC" w:rsidRDefault="009103CC" w:rsidP="009103CC">
      <w:pPr>
        <w:pStyle w:val="ARbody"/>
      </w:pPr>
      <w:r w:rsidRPr="001814D2">
        <w:t>As at the date of this report, it is management's opinion that there will be no material impact on the transactions and balances recognised in the financial statements when these standards are applied or become effective.</w:t>
      </w:r>
    </w:p>
    <w:p w14:paraId="16B0446C" w14:textId="77777777" w:rsidR="009103CC" w:rsidRDefault="009103CC" w:rsidP="009103CC">
      <w:pPr>
        <w:pStyle w:val="ARbody"/>
      </w:pPr>
      <w:r>
        <w:br w:type="page"/>
      </w:r>
    </w:p>
    <w:tbl>
      <w:tblPr>
        <w:tblW w:w="5000" w:type="pct"/>
        <w:tblBorders>
          <w:insideH w:val="single" w:sz="4" w:space="0" w:color="auto"/>
        </w:tblBorders>
        <w:tblCellMar>
          <w:left w:w="0" w:type="dxa"/>
          <w:right w:w="0" w:type="dxa"/>
        </w:tblCellMar>
        <w:tblLook w:val="0000" w:firstRow="0" w:lastRow="0" w:firstColumn="0" w:lastColumn="0" w:noHBand="0" w:noVBand="0"/>
        <w:tblCaption w:val="Note 2: Revenue"/>
        <w:tblDescription w:val="This table provides figures for 2020 and 2021 for both the consolidated entity and parent entity. It includes AASB 15 Revenue from contracts with customers and Revenue recognised under AASB 1058 Income of NFP entities, among other items."/>
      </w:tblPr>
      <w:tblGrid>
        <w:gridCol w:w="3937"/>
        <w:gridCol w:w="1284"/>
        <w:gridCol w:w="1284"/>
        <w:gridCol w:w="1284"/>
        <w:gridCol w:w="1281"/>
      </w:tblGrid>
      <w:tr w:rsidR="009103CC" w:rsidRPr="001814D2" w14:paraId="2C3FD22B" w14:textId="77777777" w:rsidTr="002718DF">
        <w:trPr>
          <w:cantSplit/>
          <w:trHeight w:hRule="exact" w:val="332"/>
          <w:tblHeader/>
        </w:trPr>
        <w:tc>
          <w:tcPr>
            <w:tcW w:w="2170" w:type="pct"/>
            <w:tcBorders>
              <w:top w:val="nil"/>
              <w:bottom w:val="single" w:sz="4" w:space="0" w:color="auto"/>
            </w:tcBorders>
            <w:tcMar>
              <w:top w:w="0" w:type="dxa"/>
              <w:left w:w="0" w:type="dxa"/>
              <w:bottom w:w="0" w:type="dxa"/>
              <w:right w:w="0" w:type="dxa"/>
            </w:tcMar>
            <w:vAlign w:val="center"/>
          </w:tcPr>
          <w:p w14:paraId="033DA1CE" w14:textId="77777777" w:rsidR="009103CC" w:rsidRPr="00326C51" w:rsidRDefault="009103CC" w:rsidP="002718DF">
            <w:pPr>
              <w:pStyle w:val="Tabletext"/>
              <w:jc w:val="center"/>
              <w:rPr>
                <w:b/>
                <w:bCs/>
              </w:rPr>
            </w:pPr>
          </w:p>
        </w:tc>
        <w:tc>
          <w:tcPr>
            <w:tcW w:w="1415" w:type="pct"/>
            <w:gridSpan w:val="2"/>
            <w:tcBorders>
              <w:top w:val="nil"/>
              <w:bottom w:val="single" w:sz="4" w:space="0" w:color="auto"/>
            </w:tcBorders>
            <w:tcMar>
              <w:top w:w="0" w:type="dxa"/>
              <w:left w:w="0" w:type="dxa"/>
              <w:bottom w:w="0" w:type="dxa"/>
              <w:right w:w="0" w:type="dxa"/>
            </w:tcMar>
            <w:vAlign w:val="center"/>
          </w:tcPr>
          <w:p w14:paraId="6E7502A5" w14:textId="77777777" w:rsidR="009103CC" w:rsidRPr="00326C51" w:rsidRDefault="009103CC" w:rsidP="002718DF">
            <w:pPr>
              <w:pStyle w:val="Tabletext"/>
              <w:jc w:val="center"/>
              <w:rPr>
                <w:rFonts w:cs="Preston"/>
                <w:b/>
                <w:bCs/>
                <w:szCs w:val="18"/>
              </w:rPr>
            </w:pPr>
            <w:r w:rsidRPr="00326C51">
              <w:rPr>
                <w:rFonts w:cs="Preston"/>
                <w:b/>
                <w:bCs/>
                <w:szCs w:val="18"/>
              </w:rPr>
              <w:t>Consolidated entity</w:t>
            </w:r>
          </w:p>
        </w:tc>
        <w:tc>
          <w:tcPr>
            <w:tcW w:w="1415" w:type="pct"/>
            <w:gridSpan w:val="2"/>
            <w:tcBorders>
              <w:top w:val="nil"/>
              <w:bottom w:val="single" w:sz="4" w:space="0" w:color="auto"/>
            </w:tcBorders>
            <w:tcMar>
              <w:top w:w="0" w:type="dxa"/>
              <w:left w:w="0" w:type="dxa"/>
              <w:bottom w:w="0" w:type="dxa"/>
              <w:right w:w="0" w:type="dxa"/>
            </w:tcMar>
            <w:vAlign w:val="center"/>
          </w:tcPr>
          <w:p w14:paraId="19F37798" w14:textId="77777777" w:rsidR="009103CC" w:rsidRPr="00326C51" w:rsidRDefault="009103CC" w:rsidP="002718DF">
            <w:pPr>
              <w:pStyle w:val="Tabletext"/>
              <w:jc w:val="center"/>
              <w:rPr>
                <w:rFonts w:cs="Preston"/>
                <w:b/>
                <w:bCs/>
                <w:szCs w:val="18"/>
              </w:rPr>
            </w:pPr>
            <w:r w:rsidRPr="00326C51">
              <w:rPr>
                <w:rFonts w:cs="Preston"/>
                <w:b/>
                <w:bCs/>
                <w:szCs w:val="18"/>
              </w:rPr>
              <w:t>Parent entity</w:t>
            </w:r>
          </w:p>
        </w:tc>
      </w:tr>
      <w:tr w:rsidR="009103CC" w:rsidRPr="001814D2" w14:paraId="5186FE10" w14:textId="77777777" w:rsidTr="002718DF">
        <w:trPr>
          <w:cantSplit/>
          <w:trHeight w:hRule="exact" w:val="553"/>
          <w:tblHeader/>
        </w:trPr>
        <w:tc>
          <w:tcPr>
            <w:tcW w:w="2170" w:type="pct"/>
            <w:tcBorders>
              <w:top w:val="single" w:sz="4" w:space="0" w:color="auto"/>
            </w:tcBorders>
            <w:tcMar>
              <w:top w:w="0" w:type="dxa"/>
              <w:left w:w="0" w:type="dxa"/>
              <w:bottom w:w="0" w:type="dxa"/>
              <w:right w:w="0" w:type="dxa"/>
            </w:tcMar>
            <w:vAlign w:val="center"/>
          </w:tcPr>
          <w:p w14:paraId="276E8E32" w14:textId="77777777" w:rsidR="009103CC" w:rsidRPr="00326C51" w:rsidRDefault="009103CC" w:rsidP="002718DF">
            <w:pPr>
              <w:pStyle w:val="Tabletext"/>
              <w:rPr>
                <w:rFonts w:cs="Preston"/>
                <w:b/>
                <w:bCs/>
                <w:szCs w:val="18"/>
              </w:rPr>
            </w:pPr>
            <w:r w:rsidRPr="00326C51">
              <w:rPr>
                <w:rFonts w:cs="Preston"/>
                <w:b/>
                <w:bCs/>
                <w:szCs w:val="18"/>
              </w:rPr>
              <w:t>2 Revenue</w:t>
            </w:r>
          </w:p>
          <w:p w14:paraId="5751CE15" w14:textId="77777777" w:rsidR="009103CC" w:rsidRPr="00326C51" w:rsidRDefault="009103CC" w:rsidP="002718DF">
            <w:pPr>
              <w:pStyle w:val="Tabletext"/>
              <w:rPr>
                <w:rFonts w:cs="Preston"/>
                <w:b/>
                <w:bCs/>
                <w:szCs w:val="18"/>
              </w:rPr>
            </w:pPr>
          </w:p>
        </w:tc>
        <w:tc>
          <w:tcPr>
            <w:tcW w:w="708" w:type="pct"/>
            <w:tcBorders>
              <w:top w:val="single" w:sz="4" w:space="0" w:color="auto"/>
            </w:tcBorders>
            <w:tcMar>
              <w:top w:w="0" w:type="dxa"/>
              <w:left w:w="0" w:type="dxa"/>
              <w:bottom w:w="0" w:type="dxa"/>
              <w:right w:w="0" w:type="dxa"/>
            </w:tcMar>
            <w:vAlign w:val="center"/>
          </w:tcPr>
          <w:p w14:paraId="785BE520" w14:textId="77777777" w:rsidR="009103CC" w:rsidRPr="00326C51" w:rsidRDefault="009103CC" w:rsidP="002718DF">
            <w:pPr>
              <w:pStyle w:val="Tabletext"/>
              <w:jc w:val="right"/>
              <w:rPr>
                <w:rFonts w:cs="Preston"/>
                <w:b/>
                <w:bCs/>
                <w:szCs w:val="18"/>
              </w:rPr>
            </w:pPr>
            <w:r w:rsidRPr="00326C51">
              <w:rPr>
                <w:rFonts w:cs="Preston"/>
                <w:b/>
                <w:bCs/>
                <w:szCs w:val="18"/>
              </w:rPr>
              <w:t>2021</w:t>
            </w:r>
          </w:p>
          <w:p w14:paraId="7871F33C" w14:textId="77777777" w:rsidR="009103CC" w:rsidRPr="00326C51" w:rsidRDefault="009103CC" w:rsidP="002718DF">
            <w:pPr>
              <w:pStyle w:val="Tabletext"/>
              <w:jc w:val="right"/>
              <w:rPr>
                <w:rFonts w:cs="Preston"/>
                <w:b/>
                <w:bCs/>
                <w:szCs w:val="18"/>
              </w:rPr>
            </w:pPr>
            <w:r w:rsidRPr="00326C51">
              <w:rPr>
                <w:rFonts w:cs="Preston"/>
                <w:b/>
                <w:bCs/>
                <w:szCs w:val="18"/>
              </w:rPr>
              <w:t>$'000</w:t>
            </w:r>
          </w:p>
        </w:tc>
        <w:tc>
          <w:tcPr>
            <w:tcW w:w="708" w:type="pct"/>
            <w:tcBorders>
              <w:top w:val="single" w:sz="4" w:space="0" w:color="auto"/>
            </w:tcBorders>
            <w:tcMar>
              <w:top w:w="0" w:type="dxa"/>
              <w:left w:w="0" w:type="dxa"/>
              <w:bottom w:w="0" w:type="dxa"/>
              <w:right w:w="0" w:type="dxa"/>
            </w:tcMar>
            <w:vAlign w:val="center"/>
          </w:tcPr>
          <w:p w14:paraId="468D3351" w14:textId="77777777" w:rsidR="009103CC" w:rsidRPr="00326C51" w:rsidRDefault="009103CC" w:rsidP="002718DF">
            <w:pPr>
              <w:pStyle w:val="Tabletext"/>
              <w:jc w:val="right"/>
              <w:rPr>
                <w:rFonts w:cs="Preston"/>
                <w:b/>
                <w:bCs/>
                <w:szCs w:val="18"/>
              </w:rPr>
            </w:pPr>
            <w:r w:rsidRPr="00326C51">
              <w:rPr>
                <w:rFonts w:cs="Preston"/>
                <w:b/>
                <w:bCs/>
                <w:szCs w:val="18"/>
              </w:rPr>
              <w:t>2020</w:t>
            </w:r>
          </w:p>
          <w:p w14:paraId="31F68145" w14:textId="77777777" w:rsidR="009103CC" w:rsidRPr="00326C51" w:rsidRDefault="009103CC" w:rsidP="002718DF">
            <w:pPr>
              <w:pStyle w:val="Tabletext"/>
              <w:jc w:val="right"/>
              <w:rPr>
                <w:rFonts w:cs="Preston"/>
                <w:b/>
                <w:bCs/>
                <w:szCs w:val="18"/>
              </w:rPr>
            </w:pPr>
            <w:r w:rsidRPr="00326C51">
              <w:rPr>
                <w:rFonts w:cs="Preston"/>
                <w:b/>
                <w:bCs/>
                <w:szCs w:val="18"/>
              </w:rPr>
              <w:t>$'000</w:t>
            </w:r>
          </w:p>
        </w:tc>
        <w:tc>
          <w:tcPr>
            <w:tcW w:w="708" w:type="pct"/>
            <w:tcBorders>
              <w:top w:val="single" w:sz="4" w:space="0" w:color="auto"/>
            </w:tcBorders>
            <w:tcMar>
              <w:top w:w="0" w:type="dxa"/>
              <w:left w:w="0" w:type="dxa"/>
              <w:bottom w:w="0" w:type="dxa"/>
              <w:right w:w="0" w:type="dxa"/>
            </w:tcMar>
            <w:vAlign w:val="center"/>
          </w:tcPr>
          <w:p w14:paraId="58C9FB8C" w14:textId="77777777" w:rsidR="009103CC" w:rsidRPr="00326C51" w:rsidRDefault="009103CC" w:rsidP="002718DF">
            <w:pPr>
              <w:pStyle w:val="Tabletext"/>
              <w:jc w:val="right"/>
              <w:rPr>
                <w:rFonts w:cs="Preston"/>
                <w:b/>
                <w:bCs/>
                <w:szCs w:val="18"/>
              </w:rPr>
            </w:pPr>
            <w:r w:rsidRPr="00326C51">
              <w:rPr>
                <w:rFonts w:cs="Preston"/>
                <w:b/>
                <w:bCs/>
                <w:szCs w:val="18"/>
              </w:rPr>
              <w:t>2021</w:t>
            </w:r>
          </w:p>
          <w:p w14:paraId="57C40EA3" w14:textId="77777777" w:rsidR="009103CC" w:rsidRPr="00326C51" w:rsidRDefault="009103CC" w:rsidP="002718DF">
            <w:pPr>
              <w:pStyle w:val="Tabletext"/>
              <w:jc w:val="right"/>
              <w:rPr>
                <w:rFonts w:cs="Preston"/>
                <w:b/>
                <w:bCs/>
                <w:szCs w:val="18"/>
              </w:rPr>
            </w:pPr>
            <w:r w:rsidRPr="00326C51">
              <w:rPr>
                <w:rFonts w:cs="Preston"/>
                <w:b/>
                <w:bCs/>
                <w:szCs w:val="18"/>
              </w:rPr>
              <w:t>$'000</w:t>
            </w:r>
          </w:p>
          <w:p w14:paraId="177268D2" w14:textId="77777777" w:rsidR="009103CC" w:rsidRPr="00326C51" w:rsidRDefault="009103CC" w:rsidP="002718DF">
            <w:pPr>
              <w:pStyle w:val="Tabletext"/>
              <w:jc w:val="right"/>
              <w:rPr>
                <w:rFonts w:cs="Preston"/>
                <w:b/>
                <w:bCs/>
                <w:szCs w:val="18"/>
              </w:rPr>
            </w:pPr>
          </w:p>
        </w:tc>
        <w:tc>
          <w:tcPr>
            <w:tcW w:w="708" w:type="pct"/>
            <w:tcBorders>
              <w:top w:val="single" w:sz="4" w:space="0" w:color="auto"/>
            </w:tcBorders>
            <w:tcMar>
              <w:top w:w="0" w:type="dxa"/>
              <w:left w:w="0" w:type="dxa"/>
              <w:bottom w:w="0" w:type="dxa"/>
              <w:right w:w="0" w:type="dxa"/>
            </w:tcMar>
            <w:vAlign w:val="center"/>
          </w:tcPr>
          <w:p w14:paraId="1B2BFF75" w14:textId="77777777" w:rsidR="009103CC" w:rsidRPr="00326C51" w:rsidRDefault="009103CC" w:rsidP="002718DF">
            <w:pPr>
              <w:pStyle w:val="Tabletext"/>
              <w:jc w:val="right"/>
              <w:rPr>
                <w:rFonts w:cs="Preston"/>
                <w:b/>
                <w:bCs/>
                <w:szCs w:val="18"/>
              </w:rPr>
            </w:pPr>
            <w:r w:rsidRPr="00326C51">
              <w:rPr>
                <w:rFonts w:cs="Preston"/>
                <w:b/>
                <w:bCs/>
                <w:szCs w:val="18"/>
              </w:rPr>
              <w:t>2020</w:t>
            </w:r>
          </w:p>
          <w:p w14:paraId="01F3E3B4" w14:textId="77777777" w:rsidR="009103CC" w:rsidRPr="00326C51" w:rsidRDefault="009103CC" w:rsidP="002718DF">
            <w:pPr>
              <w:pStyle w:val="Tabletext"/>
              <w:jc w:val="right"/>
              <w:rPr>
                <w:rFonts w:cs="Preston"/>
                <w:b/>
                <w:bCs/>
                <w:szCs w:val="18"/>
              </w:rPr>
            </w:pPr>
            <w:r w:rsidRPr="00326C51">
              <w:rPr>
                <w:rFonts w:cs="Preston"/>
                <w:b/>
                <w:bCs/>
                <w:szCs w:val="18"/>
              </w:rPr>
              <w:t>$'000</w:t>
            </w:r>
          </w:p>
          <w:p w14:paraId="04732CB6" w14:textId="77777777" w:rsidR="009103CC" w:rsidRPr="00326C51" w:rsidRDefault="009103CC" w:rsidP="002718DF">
            <w:pPr>
              <w:pStyle w:val="Tabletext"/>
              <w:jc w:val="right"/>
              <w:rPr>
                <w:rFonts w:cs="Preston"/>
                <w:b/>
                <w:bCs/>
                <w:szCs w:val="18"/>
              </w:rPr>
            </w:pPr>
          </w:p>
        </w:tc>
      </w:tr>
      <w:tr w:rsidR="009103CC" w:rsidRPr="001814D2" w14:paraId="5CC678B1" w14:textId="77777777" w:rsidTr="002718DF">
        <w:trPr>
          <w:cantSplit/>
          <w:trHeight w:hRule="exact" w:val="553"/>
        </w:trPr>
        <w:tc>
          <w:tcPr>
            <w:tcW w:w="2170" w:type="pct"/>
            <w:tcMar>
              <w:top w:w="0" w:type="dxa"/>
              <w:left w:w="0" w:type="dxa"/>
              <w:bottom w:w="0" w:type="dxa"/>
              <w:right w:w="0" w:type="dxa"/>
            </w:tcMar>
            <w:vAlign w:val="center"/>
          </w:tcPr>
          <w:p w14:paraId="42CD8245" w14:textId="77777777" w:rsidR="009103CC" w:rsidRPr="001814D2" w:rsidRDefault="009103CC" w:rsidP="002718DF">
            <w:pPr>
              <w:pStyle w:val="Tabletext"/>
            </w:pPr>
            <w:r w:rsidRPr="001814D2">
              <w:t>Revenue from contracts with customers – AASB 15 Revenue from Contracts with Customers</w:t>
            </w:r>
          </w:p>
        </w:tc>
        <w:tc>
          <w:tcPr>
            <w:tcW w:w="708" w:type="pct"/>
            <w:tcMar>
              <w:top w:w="0" w:type="dxa"/>
              <w:left w:w="0" w:type="dxa"/>
              <w:bottom w:w="0" w:type="dxa"/>
              <w:right w:w="0" w:type="dxa"/>
            </w:tcMar>
            <w:vAlign w:val="center"/>
          </w:tcPr>
          <w:p w14:paraId="610B7325"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0F4D49BB"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23124501"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0EEE0870" w14:textId="77777777" w:rsidR="009103CC" w:rsidRPr="001814D2" w:rsidRDefault="009103CC" w:rsidP="002718DF">
            <w:pPr>
              <w:pStyle w:val="Tabletext"/>
            </w:pPr>
          </w:p>
        </w:tc>
      </w:tr>
      <w:tr w:rsidR="009103CC" w:rsidRPr="001814D2" w14:paraId="2A9C9AAC" w14:textId="77777777" w:rsidTr="002718DF">
        <w:trPr>
          <w:cantSplit/>
          <w:trHeight w:hRule="exact" w:val="332"/>
        </w:trPr>
        <w:tc>
          <w:tcPr>
            <w:tcW w:w="2170" w:type="pct"/>
            <w:tcMar>
              <w:top w:w="0" w:type="dxa"/>
              <w:left w:w="0" w:type="dxa"/>
              <w:bottom w:w="0" w:type="dxa"/>
              <w:right w:w="0" w:type="dxa"/>
            </w:tcMar>
            <w:vAlign w:val="center"/>
          </w:tcPr>
          <w:p w14:paraId="45110D7F" w14:textId="77777777" w:rsidR="009103CC" w:rsidRPr="001814D2" w:rsidRDefault="009103CC" w:rsidP="002718DF">
            <w:pPr>
              <w:pStyle w:val="Tabletext"/>
            </w:pPr>
            <w:r w:rsidRPr="001814D2">
              <w:t>Sale of goods</w:t>
            </w:r>
          </w:p>
        </w:tc>
        <w:tc>
          <w:tcPr>
            <w:tcW w:w="708" w:type="pct"/>
            <w:tcMar>
              <w:top w:w="0" w:type="dxa"/>
              <w:left w:w="0" w:type="dxa"/>
              <w:bottom w:w="0" w:type="dxa"/>
              <w:right w:w="0" w:type="dxa"/>
            </w:tcMar>
            <w:vAlign w:val="center"/>
          </w:tcPr>
          <w:p w14:paraId="3A3F89E5" w14:textId="77777777" w:rsidR="009103CC" w:rsidRPr="001814D2" w:rsidRDefault="009103CC" w:rsidP="002718DF">
            <w:pPr>
              <w:pStyle w:val="Tabletext"/>
              <w:jc w:val="right"/>
              <w:rPr>
                <w:rFonts w:cs="Preston"/>
                <w:szCs w:val="18"/>
              </w:rPr>
            </w:pPr>
            <w:r w:rsidRPr="001814D2">
              <w:rPr>
                <w:rFonts w:cs="Preston"/>
                <w:szCs w:val="18"/>
              </w:rPr>
              <w:t>2,773</w:t>
            </w:r>
          </w:p>
        </w:tc>
        <w:tc>
          <w:tcPr>
            <w:tcW w:w="708" w:type="pct"/>
            <w:tcMar>
              <w:top w:w="0" w:type="dxa"/>
              <w:left w:w="0" w:type="dxa"/>
              <w:bottom w:w="0" w:type="dxa"/>
              <w:right w:w="0" w:type="dxa"/>
            </w:tcMar>
            <w:vAlign w:val="center"/>
          </w:tcPr>
          <w:p w14:paraId="3299D7FB" w14:textId="77777777" w:rsidR="009103CC" w:rsidRPr="001814D2" w:rsidRDefault="009103CC" w:rsidP="002718DF">
            <w:pPr>
              <w:pStyle w:val="Tabletext"/>
              <w:jc w:val="right"/>
              <w:rPr>
                <w:rFonts w:cs="Preston"/>
                <w:szCs w:val="18"/>
              </w:rPr>
            </w:pPr>
            <w:r w:rsidRPr="001814D2">
              <w:rPr>
                <w:rFonts w:cs="Preston"/>
                <w:szCs w:val="18"/>
              </w:rPr>
              <w:t>3,588</w:t>
            </w:r>
          </w:p>
        </w:tc>
        <w:tc>
          <w:tcPr>
            <w:tcW w:w="708" w:type="pct"/>
            <w:tcMar>
              <w:top w:w="0" w:type="dxa"/>
              <w:left w:w="0" w:type="dxa"/>
              <w:bottom w:w="0" w:type="dxa"/>
              <w:right w:w="0" w:type="dxa"/>
            </w:tcMar>
            <w:vAlign w:val="center"/>
          </w:tcPr>
          <w:p w14:paraId="52FF7E17" w14:textId="77777777" w:rsidR="009103CC" w:rsidRPr="001814D2" w:rsidRDefault="009103CC" w:rsidP="002718DF">
            <w:pPr>
              <w:pStyle w:val="Tabletext"/>
              <w:jc w:val="right"/>
              <w:rPr>
                <w:rFonts w:cs="Preston"/>
                <w:szCs w:val="18"/>
              </w:rPr>
            </w:pPr>
            <w:r w:rsidRPr="001814D2">
              <w:rPr>
                <w:rFonts w:cs="Preston"/>
                <w:szCs w:val="18"/>
              </w:rPr>
              <w:t>2,773</w:t>
            </w:r>
          </w:p>
        </w:tc>
        <w:tc>
          <w:tcPr>
            <w:tcW w:w="708" w:type="pct"/>
            <w:tcMar>
              <w:top w:w="0" w:type="dxa"/>
              <w:left w:w="0" w:type="dxa"/>
              <w:bottom w:w="0" w:type="dxa"/>
              <w:right w:w="0" w:type="dxa"/>
            </w:tcMar>
            <w:vAlign w:val="center"/>
          </w:tcPr>
          <w:p w14:paraId="2E952441" w14:textId="77777777" w:rsidR="009103CC" w:rsidRPr="001814D2" w:rsidRDefault="009103CC" w:rsidP="002718DF">
            <w:pPr>
              <w:pStyle w:val="Tabletext"/>
              <w:jc w:val="right"/>
              <w:rPr>
                <w:rFonts w:cs="Preston"/>
                <w:szCs w:val="18"/>
              </w:rPr>
            </w:pPr>
            <w:r w:rsidRPr="001814D2">
              <w:rPr>
                <w:rFonts w:cs="Preston"/>
                <w:szCs w:val="18"/>
              </w:rPr>
              <w:t>3,588</w:t>
            </w:r>
          </w:p>
        </w:tc>
      </w:tr>
      <w:tr w:rsidR="009103CC" w:rsidRPr="001814D2" w14:paraId="718CC3D8" w14:textId="77777777" w:rsidTr="002718DF">
        <w:trPr>
          <w:cantSplit/>
          <w:trHeight w:hRule="exact" w:val="332"/>
        </w:trPr>
        <w:tc>
          <w:tcPr>
            <w:tcW w:w="2170" w:type="pct"/>
            <w:tcMar>
              <w:top w:w="0" w:type="dxa"/>
              <w:left w:w="0" w:type="dxa"/>
              <w:bottom w:w="0" w:type="dxa"/>
              <w:right w:w="0" w:type="dxa"/>
            </w:tcMar>
            <w:vAlign w:val="center"/>
          </w:tcPr>
          <w:p w14:paraId="54E66FC8" w14:textId="77777777" w:rsidR="009103CC" w:rsidRPr="001814D2" w:rsidRDefault="009103CC" w:rsidP="002718DF">
            <w:pPr>
              <w:pStyle w:val="Tabletext"/>
            </w:pPr>
            <w:r w:rsidRPr="001814D2">
              <w:t>Rendering of services</w:t>
            </w:r>
          </w:p>
        </w:tc>
        <w:tc>
          <w:tcPr>
            <w:tcW w:w="708" w:type="pct"/>
            <w:tcMar>
              <w:top w:w="0" w:type="dxa"/>
              <w:left w:w="0" w:type="dxa"/>
              <w:bottom w:w="0" w:type="dxa"/>
              <w:right w:w="0" w:type="dxa"/>
            </w:tcMar>
            <w:vAlign w:val="center"/>
          </w:tcPr>
          <w:p w14:paraId="275B2772" w14:textId="77777777" w:rsidR="009103CC" w:rsidRPr="001814D2" w:rsidRDefault="009103CC" w:rsidP="002718DF">
            <w:pPr>
              <w:pStyle w:val="Tabletext"/>
              <w:jc w:val="right"/>
              <w:rPr>
                <w:rFonts w:cs="Preston"/>
                <w:szCs w:val="18"/>
              </w:rPr>
            </w:pPr>
            <w:r w:rsidRPr="001814D2">
              <w:rPr>
                <w:rFonts w:cs="Preston"/>
                <w:szCs w:val="18"/>
              </w:rPr>
              <w:t>4,282</w:t>
            </w:r>
          </w:p>
        </w:tc>
        <w:tc>
          <w:tcPr>
            <w:tcW w:w="708" w:type="pct"/>
            <w:tcMar>
              <w:top w:w="0" w:type="dxa"/>
              <w:left w:w="0" w:type="dxa"/>
              <w:bottom w:w="0" w:type="dxa"/>
              <w:right w:w="0" w:type="dxa"/>
            </w:tcMar>
            <w:vAlign w:val="center"/>
          </w:tcPr>
          <w:p w14:paraId="6F050772" w14:textId="77777777" w:rsidR="009103CC" w:rsidRPr="001814D2" w:rsidRDefault="009103CC" w:rsidP="002718DF">
            <w:pPr>
              <w:pStyle w:val="Tabletext"/>
              <w:jc w:val="right"/>
              <w:rPr>
                <w:rFonts w:cs="Preston"/>
                <w:szCs w:val="18"/>
              </w:rPr>
            </w:pPr>
            <w:r w:rsidRPr="001814D2">
              <w:rPr>
                <w:rFonts w:cs="Preston"/>
                <w:szCs w:val="18"/>
              </w:rPr>
              <w:t>6,347</w:t>
            </w:r>
          </w:p>
        </w:tc>
        <w:tc>
          <w:tcPr>
            <w:tcW w:w="708" w:type="pct"/>
            <w:tcMar>
              <w:top w:w="0" w:type="dxa"/>
              <w:left w:w="0" w:type="dxa"/>
              <w:bottom w:w="0" w:type="dxa"/>
              <w:right w:w="0" w:type="dxa"/>
            </w:tcMar>
            <w:vAlign w:val="center"/>
          </w:tcPr>
          <w:p w14:paraId="2EFB81BF" w14:textId="77777777" w:rsidR="009103CC" w:rsidRPr="001814D2" w:rsidRDefault="009103CC" w:rsidP="002718DF">
            <w:pPr>
              <w:pStyle w:val="Tabletext"/>
              <w:jc w:val="right"/>
              <w:rPr>
                <w:rFonts w:cs="Preston"/>
                <w:szCs w:val="18"/>
              </w:rPr>
            </w:pPr>
            <w:r w:rsidRPr="001814D2">
              <w:rPr>
                <w:rFonts w:cs="Preston"/>
                <w:szCs w:val="18"/>
              </w:rPr>
              <w:t>4,282</w:t>
            </w:r>
          </w:p>
        </w:tc>
        <w:tc>
          <w:tcPr>
            <w:tcW w:w="708" w:type="pct"/>
            <w:tcMar>
              <w:top w:w="0" w:type="dxa"/>
              <w:left w:w="0" w:type="dxa"/>
              <w:bottom w:w="0" w:type="dxa"/>
              <w:right w:w="0" w:type="dxa"/>
            </w:tcMar>
            <w:vAlign w:val="center"/>
          </w:tcPr>
          <w:p w14:paraId="01AD546E" w14:textId="77777777" w:rsidR="009103CC" w:rsidRPr="001814D2" w:rsidRDefault="009103CC" w:rsidP="002718DF">
            <w:pPr>
              <w:pStyle w:val="Tabletext"/>
              <w:jc w:val="right"/>
              <w:rPr>
                <w:rFonts w:cs="Preston"/>
                <w:szCs w:val="18"/>
              </w:rPr>
            </w:pPr>
            <w:r w:rsidRPr="001814D2">
              <w:rPr>
                <w:rFonts w:cs="Preston"/>
                <w:szCs w:val="18"/>
              </w:rPr>
              <w:t>6,347</w:t>
            </w:r>
          </w:p>
        </w:tc>
      </w:tr>
      <w:tr w:rsidR="009103CC" w:rsidRPr="001814D2" w14:paraId="4B31162A" w14:textId="77777777" w:rsidTr="002718DF">
        <w:trPr>
          <w:cantSplit/>
          <w:trHeight w:hRule="exact" w:val="332"/>
        </w:trPr>
        <w:tc>
          <w:tcPr>
            <w:tcW w:w="2170" w:type="pct"/>
            <w:tcMar>
              <w:top w:w="0" w:type="dxa"/>
              <w:left w:w="0" w:type="dxa"/>
              <w:bottom w:w="0" w:type="dxa"/>
              <w:right w:w="0" w:type="dxa"/>
            </w:tcMar>
            <w:vAlign w:val="center"/>
          </w:tcPr>
          <w:p w14:paraId="4042250A"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4493CCDF" w14:textId="77777777" w:rsidR="009103CC" w:rsidRPr="001814D2" w:rsidRDefault="009103CC" w:rsidP="002718DF">
            <w:pPr>
              <w:pStyle w:val="Tabletext"/>
              <w:jc w:val="right"/>
              <w:rPr>
                <w:rFonts w:cs="Preston"/>
                <w:szCs w:val="18"/>
              </w:rPr>
            </w:pPr>
            <w:r w:rsidRPr="001814D2">
              <w:rPr>
                <w:rFonts w:cs="Preston"/>
                <w:szCs w:val="18"/>
              </w:rPr>
              <w:t>7,055</w:t>
            </w:r>
          </w:p>
        </w:tc>
        <w:tc>
          <w:tcPr>
            <w:tcW w:w="708" w:type="pct"/>
            <w:tcMar>
              <w:top w:w="0" w:type="dxa"/>
              <w:left w:w="0" w:type="dxa"/>
              <w:bottom w:w="0" w:type="dxa"/>
              <w:right w:w="0" w:type="dxa"/>
            </w:tcMar>
            <w:vAlign w:val="center"/>
          </w:tcPr>
          <w:p w14:paraId="7527517D" w14:textId="77777777" w:rsidR="009103CC" w:rsidRPr="001814D2" w:rsidRDefault="009103CC" w:rsidP="002718DF">
            <w:pPr>
              <w:pStyle w:val="Tabletext"/>
              <w:jc w:val="right"/>
              <w:rPr>
                <w:rFonts w:cs="Preston"/>
                <w:szCs w:val="18"/>
              </w:rPr>
            </w:pPr>
            <w:r w:rsidRPr="001814D2">
              <w:rPr>
                <w:rFonts w:cs="Preston"/>
                <w:szCs w:val="18"/>
              </w:rPr>
              <w:t>9,935</w:t>
            </w:r>
          </w:p>
        </w:tc>
        <w:tc>
          <w:tcPr>
            <w:tcW w:w="708" w:type="pct"/>
            <w:tcMar>
              <w:top w:w="0" w:type="dxa"/>
              <w:left w:w="0" w:type="dxa"/>
              <w:bottom w:w="0" w:type="dxa"/>
              <w:right w:w="0" w:type="dxa"/>
            </w:tcMar>
            <w:vAlign w:val="center"/>
          </w:tcPr>
          <w:p w14:paraId="006E1762" w14:textId="77777777" w:rsidR="009103CC" w:rsidRPr="001814D2" w:rsidRDefault="009103CC" w:rsidP="002718DF">
            <w:pPr>
              <w:pStyle w:val="Tabletext"/>
              <w:jc w:val="right"/>
              <w:rPr>
                <w:rFonts w:cs="Preston"/>
                <w:szCs w:val="18"/>
              </w:rPr>
            </w:pPr>
            <w:r w:rsidRPr="001814D2">
              <w:rPr>
                <w:rFonts w:cs="Preston"/>
                <w:szCs w:val="18"/>
              </w:rPr>
              <w:t>7,055</w:t>
            </w:r>
          </w:p>
        </w:tc>
        <w:tc>
          <w:tcPr>
            <w:tcW w:w="708" w:type="pct"/>
            <w:tcMar>
              <w:top w:w="0" w:type="dxa"/>
              <w:left w:w="0" w:type="dxa"/>
              <w:bottom w:w="0" w:type="dxa"/>
              <w:right w:w="0" w:type="dxa"/>
            </w:tcMar>
            <w:vAlign w:val="center"/>
          </w:tcPr>
          <w:p w14:paraId="1A83BE88" w14:textId="77777777" w:rsidR="009103CC" w:rsidRPr="001814D2" w:rsidRDefault="009103CC" w:rsidP="002718DF">
            <w:pPr>
              <w:pStyle w:val="Tabletext"/>
              <w:jc w:val="right"/>
              <w:rPr>
                <w:rFonts w:cs="Preston"/>
                <w:szCs w:val="18"/>
              </w:rPr>
            </w:pPr>
            <w:r w:rsidRPr="001814D2">
              <w:rPr>
                <w:rFonts w:cs="Preston"/>
                <w:szCs w:val="18"/>
              </w:rPr>
              <w:t>9,935</w:t>
            </w:r>
          </w:p>
        </w:tc>
      </w:tr>
      <w:tr w:rsidR="009103CC" w:rsidRPr="001814D2" w14:paraId="09ACF24D" w14:textId="77777777" w:rsidTr="002718DF">
        <w:trPr>
          <w:cantSplit/>
          <w:trHeight w:hRule="exact" w:val="332"/>
        </w:trPr>
        <w:tc>
          <w:tcPr>
            <w:tcW w:w="2170" w:type="pct"/>
            <w:tcMar>
              <w:top w:w="0" w:type="dxa"/>
              <w:left w:w="0" w:type="dxa"/>
              <w:bottom w:w="0" w:type="dxa"/>
              <w:right w:w="0" w:type="dxa"/>
            </w:tcMar>
            <w:vAlign w:val="center"/>
          </w:tcPr>
          <w:p w14:paraId="352C156C"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773EAF64" w14:textId="77777777" w:rsidR="009103CC" w:rsidRPr="001814D2" w:rsidRDefault="009103CC" w:rsidP="002718DF">
            <w:pPr>
              <w:pStyle w:val="Tabletext"/>
              <w:jc w:val="right"/>
            </w:pPr>
          </w:p>
        </w:tc>
        <w:tc>
          <w:tcPr>
            <w:tcW w:w="708" w:type="pct"/>
            <w:tcMar>
              <w:top w:w="0" w:type="dxa"/>
              <w:left w:w="0" w:type="dxa"/>
              <w:bottom w:w="0" w:type="dxa"/>
              <w:right w:w="0" w:type="dxa"/>
            </w:tcMar>
            <w:vAlign w:val="center"/>
          </w:tcPr>
          <w:p w14:paraId="3ADB8365" w14:textId="77777777" w:rsidR="009103CC" w:rsidRPr="001814D2" w:rsidRDefault="009103CC" w:rsidP="002718DF">
            <w:pPr>
              <w:pStyle w:val="Tabletext"/>
              <w:jc w:val="right"/>
            </w:pPr>
          </w:p>
        </w:tc>
        <w:tc>
          <w:tcPr>
            <w:tcW w:w="708" w:type="pct"/>
            <w:tcMar>
              <w:top w:w="0" w:type="dxa"/>
              <w:left w:w="0" w:type="dxa"/>
              <w:bottom w:w="0" w:type="dxa"/>
              <w:right w:w="0" w:type="dxa"/>
            </w:tcMar>
            <w:vAlign w:val="center"/>
          </w:tcPr>
          <w:p w14:paraId="124C7B1B" w14:textId="77777777" w:rsidR="009103CC" w:rsidRPr="001814D2" w:rsidRDefault="009103CC" w:rsidP="002718DF">
            <w:pPr>
              <w:pStyle w:val="Tabletext"/>
              <w:jc w:val="right"/>
            </w:pPr>
          </w:p>
        </w:tc>
        <w:tc>
          <w:tcPr>
            <w:tcW w:w="708" w:type="pct"/>
            <w:tcMar>
              <w:top w:w="0" w:type="dxa"/>
              <w:left w:w="0" w:type="dxa"/>
              <w:bottom w:w="0" w:type="dxa"/>
              <w:right w:w="0" w:type="dxa"/>
            </w:tcMar>
            <w:vAlign w:val="center"/>
          </w:tcPr>
          <w:p w14:paraId="1B1B843E" w14:textId="77777777" w:rsidR="009103CC" w:rsidRPr="001814D2" w:rsidRDefault="009103CC" w:rsidP="002718DF">
            <w:pPr>
              <w:pStyle w:val="Tabletext"/>
              <w:jc w:val="right"/>
            </w:pPr>
          </w:p>
        </w:tc>
      </w:tr>
      <w:tr w:rsidR="009103CC" w:rsidRPr="001814D2" w14:paraId="48A9AB03" w14:textId="77777777" w:rsidTr="002718DF">
        <w:trPr>
          <w:cantSplit/>
          <w:trHeight w:hRule="exact" w:val="553"/>
        </w:trPr>
        <w:tc>
          <w:tcPr>
            <w:tcW w:w="2170" w:type="pct"/>
            <w:tcMar>
              <w:top w:w="0" w:type="dxa"/>
              <w:left w:w="0" w:type="dxa"/>
              <w:bottom w:w="0" w:type="dxa"/>
              <w:right w:w="0" w:type="dxa"/>
            </w:tcMar>
            <w:vAlign w:val="center"/>
          </w:tcPr>
          <w:p w14:paraId="4AD83B27" w14:textId="77777777" w:rsidR="009103CC" w:rsidRPr="001814D2" w:rsidRDefault="009103CC" w:rsidP="002718DF">
            <w:pPr>
              <w:pStyle w:val="Tabletext"/>
            </w:pPr>
            <w:r w:rsidRPr="001814D2">
              <w:t>Revenue recognised under AASB 1058 Income of NFP entities</w:t>
            </w:r>
          </w:p>
        </w:tc>
        <w:tc>
          <w:tcPr>
            <w:tcW w:w="708" w:type="pct"/>
            <w:tcMar>
              <w:top w:w="0" w:type="dxa"/>
              <w:left w:w="0" w:type="dxa"/>
              <w:bottom w:w="0" w:type="dxa"/>
              <w:right w:w="0" w:type="dxa"/>
            </w:tcMar>
            <w:vAlign w:val="center"/>
          </w:tcPr>
          <w:p w14:paraId="6462366F" w14:textId="77777777" w:rsidR="009103CC" w:rsidRPr="001814D2" w:rsidRDefault="009103CC" w:rsidP="002718DF">
            <w:pPr>
              <w:pStyle w:val="Tabletext"/>
              <w:jc w:val="right"/>
            </w:pPr>
          </w:p>
        </w:tc>
        <w:tc>
          <w:tcPr>
            <w:tcW w:w="708" w:type="pct"/>
            <w:tcMar>
              <w:top w:w="0" w:type="dxa"/>
              <w:left w:w="0" w:type="dxa"/>
              <w:bottom w:w="0" w:type="dxa"/>
              <w:right w:w="0" w:type="dxa"/>
            </w:tcMar>
            <w:vAlign w:val="center"/>
          </w:tcPr>
          <w:p w14:paraId="26CF366A" w14:textId="77777777" w:rsidR="009103CC" w:rsidRPr="001814D2" w:rsidRDefault="009103CC" w:rsidP="002718DF">
            <w:pPr>
              <w:pStyle w:val="Tabletext"/>
              <w:jc w:val="right"/>
            </w:pPr>
          </w:p>
        </w:tc>
        <w:tc>
          <w:tcPr>
            <w:tcW w:w="708" w:type="pct"/>
            <w:tcMar>
              <w:top w:w="0" w:type="dxa"/>
              <w:left w:w="0" w:type="dxa"/>
              <w:bottom w:w="0" w:type="dxa"/>
              <w:right w:w="0" w:type="dxa"/>
            </w:tcMar>
            <w:vAlign w:val="center"/>
          </w:tcPr>
          <w:p w14:paraId="76673E2C" w14:textId="77777777" w:rsidR="009103CC" w:rsidRPr="001814D2" w:rsidRDefault="009103CC" w:rsidP="002718DF">
            <w:pPr>
              <w:pStyle w:val="Tabletext"/>
              <w:jc w:val="right"/>
            </w:pPr>
          </w:p>
        </w:tc>
        <w:tc>
          <w:tcPr>
            <w:tcW w:w="708" w:type="pct"/>
            <w:tcMar>
              <w:top w:w="0" w:type="dxa"/>
              <w:left w:w="0" w:type="dxa"/>
              <w:bottom w:w="0" w:type="dxa"/>
              <w:right w:w="0" w:type="dxa"/>
            </w:tcMar>
            <w:vAlign w:val="center"/>
          </w:tcPr>
          <w:p w14:paraId="71C90AA1" w14:textId="77777777" w:rsidR="009103CC" w:rsidRPr="001814D2" w:rsidRDefault="009103CC" w:rsidP="002718DF">
            <w:pPr>
              <w:pStyle w:val="Tabletext"/>
              <w:jc w:val="right"/>
            </w:pPr>
          </w:p>
        </w:tc>
      </w:tr>
      <w:tr w:rsidR="009103CC" w:rsidRPr="001814D2" w14:paraId="3F54F918" w14:textId="77777777" w:rsidTr="002718DF">
        <w:trPr>
          <w:cantSplit/>
          <w:trHeight w:hRule="exact" w:val="332"/>
        </w:trPr>
        <w:tc>
          <w:tcPr>
            <w:tcW w:w="2170" w:type="pct"/>
            <w:tcMar>
              <w:top w:w="0" w:type="dxa"/>
              <w:left w:w="0" w:type="dxa"/>
              <w:bottom w:w="0" w:type="dxa"/>
              <w:right w:w="0" w:type="dxa"/>
            </w:tcMar>
            <w:vAlign w:val="center"/>
          </w:tcPr>
          <w:p w14:paraId="30127AEA" w14:textId="77777777" w:rsidR="009103CC" w:rsidRPr="001814D2" w:rsidRDefault="009103CC" w:rsidP="002718DF">
            <w:pPr>
              <w:pStyle w:val="Tabletext"/>
            </w:pPr>
            <w:r w:rsidRPr="001814D2">
              <w:t>Recurrent grants</w:t>
            </w:r>
          </w:p>
        </w:tc>
        <w:tc>
          <w:tcPr>
            <w:tcW w:w="708" w:type="pct"/>
            <w:tcMar>
              <w:top w:w="0" w:type="dxa"/>
              <w:left w:w="0" w:type="dxa"/>
              <w:bottom w:w="0" w:type="dxa"/>
              <w:right w:w="0" w:type="dxa"/>
            </w:tcMar>
            <w:vAlign w:val="center"/>
          </w:tcPr>
          <w:p w14:paraId="50024144" w14:textId="77777777" w:rsidR="009103CC" w:rsidRPr="001814D2" w:rsidRDefault="009103CC" w:rsidP="002718DF">
            <w:pPr>
              <w:pStyle w:val="Tabletext"/>
              <w:jc w:val="right"/>
              <w:rPr>
                <w:rFonts w:cs="Preston"/>
                <w:szCs w:val="18"/>
              </w:rPr>
            </w:pPr>
            <w:r w:rsidRPr="001814D2">
              <w:rPr>
                <w:rFonts w:cs="Preston"/>
                <w:szCs w:val="18"/>
              </w:rPr>
              <w:t>33,019</w:t>
            </w:r>
          </w:p>
        </w:tc>
        <w:tc>
          <w:tcPr>
            <w:tcW w:w="708" w:type="pct"/>
            <w:tcMar>
              <w:top w:w="0" w:type="dxa"/>
              <w:left w:w="0" w:type="dxa"/>
              <w:bottom w:w="0" w:type="dxa"/>
              <w:right w:w="0" w:type="dxa"/>
            </w:tcMar>
            <w:vAlign w:val="center"/>
          </w:tcPr>
          <w:p w14:paraId="018EBAE1" w14:textId="77777777" w:rsidR="009103CC" w:rsidRPr="001814D2" w:rsidRDefault="009103CC" w:rsidP="002718DF">
            <w:pPr>
              <w:pStyle w:val="Tabletext"/>
              <w:jc w:val="right"/>
              <w:rPr>
                <w:rFonts w:cs="Preston"/>
                <w:szCs w:val="18"/>
              </w:rPr>
            </w:pPr>
            <w:r w:rsidRPr="001814D2">
              <w:rPr>
                <w:rFonts w:cs="Preston"/>
                <w:szCs w:val="18"/>
              </w:rPr>
              <w:t>29,358</w:t>
            </w:r>
          </w:p>
        </w:tc>
        <w:tc>
          <w:tcPr>
            <w:tcW w:w="708" w:type="pct"/>
            <w:tcMar>
              <w:top w:w="0" w:type="dxa"/>
              <w:left w:w="0" w:type="dxa"/>
              <w:bottom w:w="0" w:type="dxa"/>
              <w:right w:w="0" w:type="dxa"/>
            </w:tcMar>
            <w:vAlign w:val="center"/>
          </w:tcPr>
          <w:p w14:paraId="5BA3EFCD" w14:textId="77777777" w:rsidR="009103CC" w:rsidRPr="001814D2" w:rsidRDefault="009103CC" w:rsidP="002718DF">
            <w:pPr>
              <w:pStyle w:val="Tabletext"/>
              <w:jc w:val="right"/>
              <w:rPr>
                <w:rFonts w:cs="Preston"/>
                <w:szCs w:val="18"/>
              </w:rPr>
            </w:pPr>
            <w:r w:rsidRPr="001814D2">
              <w:rPr>
                <w:rFonts w:cs="Preston"/>
                <w:szCs w:val="18"/>
              </w:rPr>
              <w:t>33,019</w:t>
            </w:r>
          </w:p>
        </w:tc>
        <w:tc>
          <w:tcPr>
            <w:tcW w:w="708" w:type="pct"/>
            <w:tcMar>
              <w:top w:w="0" w:type="dxa"/>
              <w:left w:w="0" w:type="dxa"/>
              <w:bottom w:w="0" w:type="dxa"/>
              <w:right w:w="0" w:type="dxa"/>
            </w:tcMar>
            <w:vAlign w:val="center"/>
          </w:tcPr>
          <w:p w14:paraId="3B336FCE" w14:textId="77777777" w:rsidR="009103CC" w:rsidRPr="001814D2" w:rsidRDefault="009103CC" w:rsidP="002718DF">
            <w:pPr>
              <w:pStyle w:val="Tabletext"/>
              <w:jc w:val="right"/>
              <w:rPr>
                <w:rFonts w:cs="Preston"/>
                <w:szCs w:val="18"/>
              </w:rPr>
            </w:pPr>
            <w:r w:rsidRPr="001814D2">
              <w:rPr>
                <w:rFonts w:cs="Preston"/>
                <w:szCs w:val="18"/>
              </w:rPr>
              <w:t>29,358</w:t>
            </w:r>
          </w:p>
        </w:tc>
      </w:tr>
      <w:tr w:rsidR="009103CC" w:rsidRPr="001814D2" w14:paraId="256495D6" w14:textId="77777777" w:rsidTr="002718DF">
        <w:trPr>
          <w:cantSplit/>
          <w:trHeight w:hRule="exact" w:val="332"/>
        </w:trPr>
        <w:tc>
          <w:tcPr>
            <w:tcW w:w="2170" w:type="pct"/>
            <w:tcMar>
              <w:top w:w="0" w:type="dxa"/>
              <w:left w:w="0" w:type="dxa"/>
              <w:bottom w:w="0" w:type="dxa"/>
              <w:right w:w="0" w:type="dxa"/>
            </w:tcMar>
            <w:vAlign w:val="center"/>
          </w:tcPr>
          <w:p w14:paraId="39E4DD98" w14:textId="77777777" w:rsidR="009103CC" w:rsidRPr="001814D2" w:rsidRDefault="009103CC" w:rsidP="002718DF">
            <w:pPr>
              <w:pStyle w:val="Tabletext"/>
            </w:pPr>
            <w:r w:rsidRPr="001814D2">
              <w:t>Capital grants – Sydney Modern Project</w:t>
            </w:r>
          </w:p>
        </w:tc>
        <w:tc>
          <w:tcPr>
            <w:tcW w:w="708" w:type="pct"/>
            <w:tcMar>
              <w:top w:w="0" w:type="dxa"/>
              <w:left w:w="0" w:type="dxa"/>
              <w:bottom w:w="0" w:type="dxa"/>
              <w:right w:w="0" w:type="dxa"/>
            </w:tcMar>
            <w:vAlign w:val="center"/>
          </w:tcPr>
          <w:p w14:paraId="1C15DBD3" w14:textId="77777777" w:rsidR="009103CC" w:rsidRPr="001814D2" w:rsidRDefault="009103CC" w:rsidP="002718DF">
            <w:pPr>
              <w:pStyle w:val="Tabletext"/>
              <w:jc w:val="right"/>
              <w:rPr>
                <w:rFonts w:cs="Preston"/>
                <w:szCs w:val="18"/>
              </w:rPr>
            </w:pPr>
            <w:r w:rsidRPr="001814D2">
              <w:rPr>
                <w:rFonts w:cs="Preston"/>
                <w:szCs w:val="18"/>
              </w:rPr>
              <w:t>110,614</w:t>
            </w:r>
          </w:p>
        </w:tc>
        <w:tc>
          <w:tcPr>
            <w:tcW w:w="708" w:type="pct"/>
            <w:tcMar>
              <w:top w:w="0" w:type="dxa"/>
              <w:left w:w="0" w:type="dxa"/>
              <w:bottom w:w="0" w:type="dxa"/>
              <w:right w:w="0" w:type="dxa"/>
            </w:tcMar>
            <w:vAlign w:val="center"/>
          </w:tcPr>
          <w:p w14:paraId="0D9EEBB2" w14:textId="77777777" w:rsidR="009103CC" w:rsidRPr="001814D2" w:rsidRDefault="009103CC" w:rsidP="002718DF">
            <w:pPr>
              <w:pStyle w:val="Tabletext"/>
              <w:jc w:val="right"/>
              <w:rPr>
                <w:rFonts w:cs="Preston"/>
                <w:szCs w:val="18"/>
              </w:rPr>
            </w:pPr>
            <w:r w:rsidRPr="001814D2">
              <w:rPr>
                <w:rFonts w:cs="Preston"/>
                <w:szCs w:val="18"/>
              </w:rPr>
              <w:t>38,072</w:t>
            </w:r>
          </w:p>
        </w:tc>
        <w:tc>
          <w:tcPr>
            <w:tcW w:w="708" w:type="pct"/>
            <w:tcMar>
              <w:top w:w="0" w:type="dxa"/>
              <w:left w:w="0" w:type="dxa"/>
              <w:bottom w:w="0" w:type="dxa"/>
              <w:right w:w="0" w:type="dxa"/>
            </w:tcMar>
            <w:vAlign w:val="center"/>
          </w:tcPr>
          <w:p w14:paraId="24C4CE6D" w14:textId="77777777" w:rsidR="009103CC" w:rsidRPr="001814D2" w:rsidRDefault="009103CC" w:rsidP="002718DF">
            <w:pPr>
              <w:pStyle w:val="Tabletext"/>
              <w:jc w:val="right"/>
              <w:rPr>
                <w:rFonts w:cs="Preston"/>
                <w:szCs w:val="18"/>
              </w:rPr>
            </w:pPr>
            <w:r w:rsidRPr="001814D2">
              <w:rPr>
                <w:rFonts w:cs="Preston"/>
                <w:szCs w:val="18"/>
              </w:rPr>
              <w:t>110,614</w:t>
            </w:r>
          </w:p>
        </w:tc>
        <w:tc>
          <w:tcPr>
            <w:tcW w:w="708" w:type="pct"/>
            <w:tcMar>
              <w:top w:w="0" w:type="dxa"/>
              <w:left w:w="0" w:type="dxa"/>
              <w:bottom w:w="0" w:type="dxa"/>
              <w:right w:w="0" w:type="dxa"/>
            </w:tcMar>
            <w:vAlign w:val="center"/>
          </w:tcPr>
          <w:p w14:paraId="2D2FFF5E" w14:textId="77777777" w:rsidR="009103CC" w:rsidRPr="001814D2" w:rsidRDefault="009103CC" w:rsidP="002718DF">
            <w:pPr>
              <w:pStyle w:val="Tabletext"/>
              <w:jc w:val="right"/>
              <w:rPr>
                <w:rFonts w:cs="Preston"/>
                <w:szCs w:val="18"/>
              </w:rPr>
            </w:pPr>
            <w:r w:rsidRPr="001814D2">
              <w:rPr>
                <w:rFonts w:cs="Preston"/>
                <w:szCs w:val="18"/>
              </w:rPr>
              <w:t>38,072</w:t>
            </w:r>
          </w:p>
        </w:tc>
      </w:tr>
      <w:tr w:rsidR="009103CC" w:rsidRPr="001814D2" w14:paraId="25254C9B" w14:textId="77777777" w:rsidTr="002718DF">
        <w:trPr>
          <w:cantSplit/>
          <w:trHeight w:hRule="exact" w:val="332"/>
        </w:trPr>
        <w:tc>
          <w:tcPr>
            <w:tcW w:w="2170" w:type="pct"/>
            <w:tcMar>
              <w:top w:w="0" w:type="dxa"/>
              <w:left w:w="0" w:type="dxa"/>
              <w:bottom w:w="0" w:type="dxa"/>
              <w:right w:w="0" w:type="dxa"/>
            </w:tcMar>
            <w:vAlign w:val="center"/>
          </w:tcPr>
          <w:p w14:paraId="1ED500AC" w14:textId="77777777" w:rsidR="009103CC" w:rsidRPr="001814D2" w:rsidRDefault="009103CC" w:rsidP="002718DF">
            <w:pPr>
              <w:pStyle w:val="Tabletext"/>
            </w:pPr>
            <w:r w:rsidRPr="001814D2">
              <w:t>Capital grants – other</w:t>
            </w:r>
          </w:p>
        </w:tc>
        <w:tc>
          <w:tcPr>
            <w:tcW w:w="708" w:type="pct"/>
            <w:tcMar>
              <w:top w:w="0" w:type="dxa"/>
              <w:left w:w="0" w:type="dxa"/>
              <w:bottom w:w="0" w:type="dxa"/>
              <w:right w:w="0" w:type="dxa"/>
            </w:tcMar>
            <w:vAlign w:val="center"/>
          </w:tcPr>
          <w:p w14:paraId="6C87765C" w14:textId="77777777" w:rsidR="009103CC" w:rsidRPr="001814D2" w:rsidRDefault="009103CC" w:rsidP="002718DF">
            <w:pPr>
              <w:pStyle w:val="Tabletext"/>
              <w:jc w:val="right"/>
              <w:rPr>
                <w:rFonts w:cs="Preston"/>
                <w:szCs w:val="18"/>
              </w:rPr>
            </w:pPr>
            <w:r w:rsidRPr="001814D2">
              <w:rPr>
                <w:rFonts w:cs="Preston"/>
                <w:szCs w:val="18"/>
              </w:rPr>
              <w:t>2,530</w:t>
            </w:r>
          </w:p>
        </w:tc>
        <w:tc>
          <w:tcPr>
            <w:tcW w:w="708" w:type="pct"/>
            <w:tcMar>
              <w:top w:w="0" w:type="dxa"/>
              <w:left w:w="0" w:type="dxa"/>
              <w:bottom w:w="0" w:type="dxa"/>
              <w:right w:w="0" w:type="dxa"/>
            </w:tcMar>
            <w:vAlign w:val="center"/>
          </w:tcPr>
          <w:p w14:paraId="23D4AA40" w14:textId="77777777" w:rsidR="009103CC" w:rsidRPr="001814D2" w:rsidRDefault="009103CC" w:rsidP="002718DF">
            <w:pPr>
              <w:pStyle w:val="Tabletext"/>
              <w:jc w:val="right"/>
              <w:rPr>
                <w:rFonts w:cs="Preston"/>
                <w:szCs w:val="18"/>
              </w:rPr>
            </w:pPr>
            <w:r w:rsidRPr="001814D2">
              <w:rPr>
                <w:rFonts w:cs="Preston"/>
                <w:szCs w:val="18"/>
              </w:rPr>
              <w:t>3,020</w:t>
            </w:r>
          </w:p>
        </w:tc>
        <w:tc>
          <w:tcPr>
            <w:tcW w:w="708" w:type="pct"/>
            <w:tcMar>
              <w:top w:w="0" w:type="dxa"/>
              <w:left w:w="0" w:type="dxa"/>
              <w:bottom w:w="0" w:type="dxa"/>
              <w:right w:w="0" w:type="dxa"/>
            </w:tcMar>
            <w:vAlign w:val="center"/>
          </w:tcPr>
          <w:p w14:paraId="3094126C" w14:textId="77777777" w:rsidR="009103CC" w:rsidRPr="001814D2" w:rsidRDefault="009103CC" w:rsidP="002718DF">
            <w:pPr>
              <w:pStyle w:val="Tabletext"/>
              <w:jc w:val="right"/>
              <w:rPr>
                <w:rFonts w:cs="Preston"/>
                <w:szCs w:val="18"/>
              </w:rPr>
            </w:pPr>
            <w:r w:rsidRPr="001814D2">
              <w:rPr>
                <w:rFonts w:cs="Preston"/>
                <w:szCs w:val="18"/>
              </w:rPr>
              <w:t>2,530</w:t>
            </w:r>
          </w:p>
        </w:tc>
        <w:tc>
          <w:tcPr>
            <w:tcW w:w="708" w:type="pct"/>
            <w:tcMar>
              <w:top w:w="0" w:type="dxa"/>
              <w:left w:w="0" w:type="dxa"/>
              <w:bottom w:w="0" w:type="dxa"/>
              <w:right w:w="0" w:type="dxa"/>
            </w:tcMar>
            <w:vAlign w:val="center"/>
          </w:tcPr>
          <w:p w14:paraId="3B93836A" w14:textId="77777777" w:rsidR="009103CC" w:rsidRPr="001814D2" w:rsidRDefault="009103CC" w:rsidP="002718DF">
            <w:pPr>
              <w:pStyle w:val="Tabletext"/>
              <w:jc w:val="right"/>
              <w:rPr>
                <w:rFonts w:cs="Preston"/>
                <w:szCs w:val="18"/>
              </w:rPr>
            </w:pPr>
            <w:r w:rsidRPr="001814D2">
              <w:rPr>
                <w:rFonts w:cs="Preston"/>
                <w:szCs w:val="18"/>
              </w:rPr>
              <w:t>3,020</w:t>
            </w:r>
          </w:p>
        </w:tc>
      </w:tr>
      <w:tr w:rsidR="009103CC" w:rsidRPr="001814D2" w14:paraId="1424CDE9" w14:textId="77777777" w:rsidTr="002718DF">
        <w:trPr>
          <w:cantSplit/>
          <w:trHeight w:hRule="exact" w:val="332"/>
        </w:trPr>
        <w:tc>
          <w:tcPr>
            <w:tcW w:w="2170" w:type="pct"/>
            <w:tcMar>
              <w:top w:w="0" w:type="dxa"/>
              <w:left w:w="0" w:type="dxa"/>
              <w:bottom w:w="0" w:type="dxa"/>
              <w:right w:w="0" w:type="dxa"/>
            </w:tcMar>
            <w:vAlign w:val="center"/>
          </w:tcPr>
          <w:p w14:paraId="22F89AA5" w14:textId="77777777" w:rsidR="009103CC" w:rsidRPr="001814D2" w:rsidRDefault="009103CC" w:rsidP="002718DF">
            <w:pPr>
              <w:pStyle w:val="Tabletext"/>
            </w:pPr>
            <w:r w:rsidRPr="001814D2">
              <w:t>Donations</w:t>
            </w:r>
          </w:p>
        </w:tc>
        <w:tc>
          <w:tcPr>
            <w:tcW w:w="708" w:type="pct"/>
            <w:tcMar>
              <w:top w:w="0" w:type="dxa"/>
              <w:left w:w="0" w:type="dxa"/>
              <w:bottom w:w="0" w:type="dxa"/>
              <w:right w:w="0" w:type="dxa"/>
            </w:tcMar>
            <w:vAlign w:val="center"/>
          </w:tcPr>
          <w:p w14:paraId="36517898" w14:textId="77777777" w:rsidR="009103CC" w:rsidRPr="001814D2" w:rsidRDefault="009103CC" w:rsidP="002718DF">
            <w:pPr>
              <w:pStyle w:val="Tabletext"/>
              <w:jc w:val="right"/>
              <w:rPr>
                <w:rFonts w:cs="Preston"/>
                <w:szCs w:val="18"/>
              </w:rPr>
            </w:pPr>
            <w:r w:rsidRPr="001814D2">
              <w:rPr>
                <w:rFonts w:cs="Preston"/>
                <w:szCs w:val="18"/>
              </w:rPr>
              <w:t>29,894</w:t>
            </w:r>
          </w:p>
        </w:tc>
        <w:tc>
          <w:tcPr>
            <w:tcW w:w="708" w:type="pct"/>
            <w:tcMar>
              <w:top w:w="0" w:type="dxa"/>
              <w:left w:w="0" w:type="dxa"/>
              <w:bottom w:w="0" w:type="dxa"/>
              <w:right w:w="0" w:type="dxa"/>
            </w:tcMar>
            <w:vAlign w:val="center"/>
          </w:tcPr>
          <w:p w14:paraId="6E8C3216" w14:textId="77777777" w:rsidR="009103CC" w:rsidRPr="001814D2" w:rsidRDefault="009103CC" w:rsidP="002718DF">
            <w:pPr>
              <w:pStyle w:val="Tabletext"/>
              <w:jc w:val="right"/>
              <w:rPr>
                <w:rFonts w:cs="Preston"/>
                <w:szCs w:val="18"/>
              </w:rPr>
            </w:pPr>
            <w:r w:rsidRPr="001814D2">
              <w:rPr>
                <w:rFonts w:cs="Preston"/>
                <w:szCs w:val="18"/>
              </w:rPr>
              <w:t>42,949</w:t>
            </w:r>
          </w:p>
        </w:tc>
        <w:tc>
          <w:tcPr>
            <w:tcW w:w="708" w:type="pct"/>
            <w:tcMar>
              <w:top w:w="0" w:type="dxa"/>
              <w:left w:w="0" w:type="dxa"/>
              <w:bottom w:w="0" w:type="dxa"/>
              <w:right w:w="0" w:type="dxa"/>
            </w:tcMar>
            <w:vAlign w:val="center"/>
          </w:tcPr>
          <w:p w14:paraId="136A7227" w14:textId="77777777" w:rsidR="009103CC" w:rsidRPr="001814D2" w:rsidRDefault="009103CC" w:rsidP="002718DF">
            <w:pPr>
              <w:pStyle w:val="Tabletext"/>
              <w:jc w:val="right"/>
              <w:rPr>
                <w:rFonts w:cs="Preston"/>
                <w:szCs w:val="18"/>
              </w:rPr>
            </w:pPr>
            <w:r w:rsidRPr="001814D2">
              <w:rPr>
                <w:rFonts w:cs="Preston"/>
                <w:szCs w:val="18"/>
              </w:rPr>
              <w:t>29,746</w:t>
            </w:r>
          </w:p>
        </w:tc>
        <w:tc>
          <w:tcPr>
            <w:tcW w:w="708" w:type="pct"/>
            <w:tcMar>
              <w:top w:w="0" w:type="dxa"/>
              <w:left w:w="0" w:type="dxa"/>
              <w:bottom w:w="0" w:type="dxa"/>
              <w:right w:w="0" w:type="dxa"/>
            </w:tcMar>
            <w:vAlign w:val="center"/>
          </w:tcPr>
          <w:p w14:paraId="75A9F4E4" w14:textId="77777777" w:rsidR="009103CC" w:rsidRPr="001814D2" w:rsidRDefault="009103CC" w:rsidP="002718DF">
            <w:pPr>
              <w:pStyle w:val="Tabletext"/>
              <w:jc w:val="right"/>
              <w:rPr>
                <w:rFonts w:cs="Preston"/>
                <w:szCs w:val="18"/>
              </w:rPr>
            </w:pPr>
            <w:r w:rsidRPr="001814D2">
              <w:rPr>
                <w:rFonts w:cs="Preston"/>
                <w:szCs w:val="18"/>
              </w:rPr>
              <w:t>42,823</w:t>
            </w:r>
          </w:p>
        </w:tc>
      </w:tr>
      <w:tr w:rsidR="009103CC" w:rsidRPr="001814D2" w14:paraId="32D8E79A" w14:textId="77777777" w:rsidTr="002718DF">
        <w:trPr>
          <w:cantSplit/>
          <w:trHeight w:hRule="exact" w:val="332"/>
        </w:trPr>
        <w:tc>
          <w:tcPr>
            <w:tcW w:w="2170" w:type="pct"/>
            <w:tcMar>
              <w:top w:w="0" w:type="dxa"/>
              <w:left w:w="0" w:type="dxa"/>
              <w:bottom w:w="0" w:type="dxa"/>
              <w:right w:w="0" w:type="dxa"/>
            </w:tcMar>
            <w:vAlign w:val="center"/>
          </w:tcPr>
          <w:p w14:paraId="62FC1984" w14:textId="77777777" w:rsidR="009103CC" w:rsidRPr="001814D2" w:rsidRDefault="009103CC" w:rsidP="002718DF">
            <w:pPr>
              <w:pStyle w:val="Tabletext"/>
            </w:pPr>
            <w:r w:rsidRPr="001814D2">
              <w:t>Sponsorship</w:t>
            </w:r>
          </w:p>
        </w:tc>
        <w:tc>
          <w:tcPr>
            <w:tcW w:w="708" w:type="pct"/>
            <w:tcMar>
              <w:top w:w="0" w:type="dxa"/>
              <w:left w:w="0" w:type="dxa"/>
              <w:bottom w:w="0" w:type="dxa"/>
              <w:right w:w="0" w:type="dxa"/>
            </w:tcMar>
            <w:vAlign w:val="center"/>
          </w:tcPr>
          <w:p w14:paraId="7C6BCDCB" w14:textId="77777777" w:rsidR="009103CC" w:rsidRPr="001814D2" w:rsidRDefault="009103CC" w:rsidP="002718DF">
            <w:pPr>
              <w:pStyle w:val="Tabletext"/>
              <w:jc w:val="right"/>
              <w:rPr>
                <w:rFonts w:cs="Preston"/>
                <w:szCs w:val="18"/>
              </w:rPr>
            </w:pPr>
            <w:r w:rsidRPr="001814D2">
              <w:rPr>
                <w:rFonts w:cs="Preston"/>
                <w:szCs w:val="18"/>
              </w:rPr>
              <w:t>2,669</w:t>
            </w:r>
          </w:p>
        </w:tc>
        <w:tc>
          <w:tcPr>
            <w:tcW w:w="708" w:type="pct"/>
            <w:tcMar>
              <w:top w:w="0" w:type="dxa"/>
              <w:left w:w="0" w:type="dxa"/>
              <w:bottom w:w="0" w:type="dxa"/>
              <w:right w:w="0" w:type="dxa"/>
            </w:tcMar>
            <w:vAlign w:val="center"/>
          </w:tcPr>
          <w:p w14:paraId="4EC2D3B7" w14:textId="77777777" w:rsidR="009103CC" w:rsidRPr="001814D2" w:rsidRDefault="009103CC" w:rsidP="002718DF">
            <w:pPr>
              <w:pStyle w:val="Tabletext"/>
              <w:jc w:val="right"/>
              <w:rPr>
                <w:rFonts w:cs="Preston"/>
                <w:szCs w:val="18"/>
              </w:rPr>
            </w:pPr>
            <w:r w:rsidRPr="001814D2">
              <w:rPr>
                <w:rFonts w:cs="Preston"/>
                <w:szCs w:val="18"/>
              </w:rPr>
              <w:t>4,305</w:t>
            </w:r>
          </w:p>
        </w:tc>
        <w:tc>
          <w:tcPr>
            <w:tcW w:w="708" w:type="pct"/>
            <w:tcMar>
              <w:top w:w="0" w:type="dxa"/>
              <w:left w:w="0" w:type="dxa"/>
              <w:bottom w:w="0" w:type="dxa"/>
              <w:right w:w="0" w:type="dxa"/>
            </w:tcMar>
            <w:vAlign w:val="center"/>
          </w:tcPr>
          <w:p w14:paraId="2340EDC5" w14:textId="77777777" w:rsidR="009103CC" w:rsidRPr="001814D2" w:rsidRDefault="009103CC" w:rsidP="002718DF">
            <w:pPr>
              <w:pStyle w:val="Tabletext"/>
              <w:jc w:val="right"/>
              <w:rPr>
                <w:rFonts w:cs="Preston"/>
                <w:szCs w:val="18"/>
              </w:rPr>
            </w:pPr>
            <w:r w:rsidRPr="001814D2">
              <w:rPr>
                <w:rFonts w:cs="Preston"/>
                <w:szCs w:val="18"/>
              </w:rPr>
              <w:t>2,669</w:t>
            </w:r>
          </w:p>
        </w:tc>
        <w:tc>
          <w:tcPr>
            <w:tcW w:w="708" w:type="pct"/>
            <w:tcMar>
              <w:top w:w="0" w:type="dxa"/>
              <w:left w:w="0" w:type="dxa"/>
              <w:bottom w:w="0" w:type="dxa"/>
              <w:right w:w="0" w:type="dxa"/>
            </w:tcMar>
            <w:vAlign w:val="center"/>
          </w:tcPr>
          <w:p w14:paraId="0CEE73B0" w14:textId="77777777" w:rsidR="009103CC" w:rsidRPr="001814D2" w:rsidRDefault="009103CC" w:rsidP="002718DF">
            <w:pPr>
              <w:pStyle w:val="Tabletext"/>
              <w:jc w:val="right"/>
              <w:rPr>
                <w:rFonts w:cs="Preston"/>
                <w:szCs w:val="18"/>
              </w:rPr>
            </w:pPr>
            <w:r w:rsidRPr="001814D2">
              <w:rPr>
                <w:rFonts w:cs="Preston"/>
                <w:szCs w:val="18"/>
              </w:rPr>
              <w:t>4,305</w:t>
            </w:r>
          </w:p>
        </w:tc>
      </w:tr>
      <w:tr w:rsidR="009103CC" w:rsidRPr="001814D2" w14:paraId="63CCA33E" w14:textId="77777777" w:rsidTr="002718DF">
        <w:trPr>
          <w:cantSplit/>
          <w:trHeight w:hRule="exact" w:val="332"/>
        </w:trPr>
        <w:tc>
          <w:tcPr>
            <w:tcW w:w="2170" w:type="pct"/>
            <w:tcMar>
              <w:top w:w="0" w:type="dxa"/>
              <w:left w:w="0" w:type="dxa"/>
              <w:bottom w:w="0" w:type="dxa"/>
              <w:right w:w="0" w:type="dxa"/>
            </w:tcMar>
            <w:vAlign w:val="center"/>
          </w:tcPr>
          <w:p w14:paraId="4639CF6B" w14:textId="77777777" w:rsidR="009103CC" w:rsidRPr="001814D2" w:rsidRDefault="009103CC" w:rsidP="002718DF">
            <w:pPr>
              <w:pStyle w:val="Tabletext"/>
            </w:pPr>
            <w:r w:rsidRPr="001814D2">
              <w:t>Grants – personnel services</w:t>
            </w:r>
          </w:p>
        </w:tc>
        <w:tc>
          <w:tcPr>
            <w:tcW w:w="708" w:type="pct"/>
            <w:tcMar>
              <w:top w:w="0" w:type="dxa"/>
              <w:left w:w="0" w:type="dxa"/>
              <w:bottom w:w="0" w:type="dxa"/>
              <w:right w:w="0" w:type="dxa"/>
            </w:tcMar>
            <w:vAlign w:val="center"/>
          </w:tcPr>
          <w:p w14:paraId="32D718DC"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Mar>
              <w:top w:w="0" w:type="dxa"/>
              <w:left w:w="0" w:type="dxa"/>
              <w:bottom w:w="0" w:type="dxa"/>
              <w:right w:w="0" w:type="dxa"/>
            </w:tcMar>
            <w:vAlign w:val="center"/>
          </w:tcPr>
          <w:p w14:paraId="00E1735D"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Mar>
              <w:top w:w="0" w:type="dxa"/>
              <w:left w:w="0" w:type="dxa"/>
              <w:bottom w:w="0" w:type="dxa"/>
              <w:right w:w="0" w:type="dxa"/>
            </w:tcMar>
            <w:vAlign w:val="center"/>
          </w:tcPr>
          <w:p w14:paraId="6413562E"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Mar>
              <w:top w:w="0" w:type="dxa"/>
              <w:left w:w="0" w:type="dxa"/>
              <w:bottom w:w="0" w:type="dxa"/>
              <w:right w:w="0" w:type="dxa"/>
            </w:tcMar>
            <w:vAlign w:val="center"/>
          </w:tcPr>
          <w:p w14:paraId="54DE00AC" w14:textId="77777777" w:rsidR="009103CC" w:rsidRPr="001814D2" w:rsidRDefault="009103CC" w:rsidP="002718DF">
            <w:pPr>
              <w:pStyle w:val="Tabletext"/>
              <w:jc w:val="right"/>
              <w:rPr>
                <w:rFonts w:cs="Preston"/>
                <w:szCs w:val="18"/>
              </w:rPr>
            </w:pPr>
            <w:r w:rsidRPr="001814D2">
              <w:rPr>
                <w:rFonts w:cs="Preston"/>
                <w:szCs w:val="18"/>
              </w:rPr>
              <w:t>4,973</w:t>
            </w:r>
          </w:p>
        </w:tc>
      </w:tr>
      <w:tr w:rsidR="009103CC" w:rsidRPr="001814D2" w14:paraId="5C5A6673" w14:textId="77777777" w:rsidTr="002718DF">
        <w:trPr>
          <w:cantSplit/>
          <w:trHeight w:hRule="exact" w:val="332"/>
        </w:trPr>
        <w:tc>
          <w:tcPr>
            <w:tcW w:w="2170" w:type="pct"/>
            <w:tcMar>
              <w:top w:w="0" w:type="dxa"/>
              <w:left w:w="0" w:type="dxa"/>
              <w:bottom w:w="0" w:type="dxa"/>
              <w:right w:w="0" w:type="dxa"/>
            </w:tcMar>
            <w:vAlign w:val="center"/>
          </w:tcPr>
          <w:p w14:paraId="3C9F7CC8" w14:textId="77777777" w:rsidR="009103CC" w:rsidRPr="001814D2" w:rsidRDefault="009103CC" w:rsidP="002718DF">
            <w:pPr>
              <w:pStyle w:val="Tabletext"/>
            </w:pPr>
            <w:r w:rsidRPr="001814D2">
              <w:t>Grants – other</w:t>
            </w:r>
          </w:p>
        </w:tc>
        <w:tc>
          <w:tcPr>
            <w:tcW w:w="708" w:type="pct"/>
            <w:tcMar>
              <w:top w:w="0" w:type="dxa"/>
              <w:left w:w="0" w:type="dxa"/>
              <w:bottom w:w="0" w:type="dxa"/>
              <w:right w:w="0" w:type="dxa"/>
            </w:tcMar>
            <w:vAlign w:val="center"/>
          </w:tcPr>
          <w:p w14:paraId="4D82D6C7"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Mar>
              <w:top w:w="0" w:type="dxa"/>
              <w:left w:w="0" w:type="dxa"/>
              <w:bottom w:w="0" w:type="dxa"/>
              <w:right w:w="0" w:type="dxa"/>
            </w:tcMar>
            <w:vAlign w:val="center"/>
          </w:tcPr>
          <w:p w14:paraId="2F766D21" w14:textId="77777777" w:rsidR="009103CC" w:rsidRPr="001814D2" w:rsidRDefault="009103CC" w:rsidP="002718DF">
            <w:pPr>
              <w:pStyle w:val="Tabletext"/>
              <w:jc w:val="right"/>
              <w:rPr>
                <w:rFonts w:cs="Preston"/>
                <w:szCs w:val="18"/>
              </w:rPr>
            </w:pPr>
            <w:r w:rsidRPr="001814D2">
              <w:rPr>
                <w:rFonts w:cs="Preston"/>
                <w:szCs w:val="18"/>
              </w:rPr>
              <w:t>138</w:t>
            </w:r>
          </w:p>
        </w:tc>
        <w:tc>
          <w:tcPr>
            <w:tcW w:w="708" w:type="pct"/>
            <w:tcMar>
              <w:top w:w="0" w:type="dxa"/>
              <w:left w:w="0" w:type="dxa"/>
              <w:bottom w:w="0" w:type="dxa"/>
              <w:right w:w="0" w:type="dxa"/>
            </w:tcMar>
            <w:vAlign w:val="center"/>
          </w:tcPr>
          <w:p w14:paraId="6D4566D9"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Mar>
              <w:top w:w="0" w:type="dxa"/>
              <w:left w:w="0" w:type="dxa"/>
              <w:bottom w:w="0" w:type="dxa"/>
              <w:right w:w="0" w:type="dxa"/>
            </w:tcMar>
            <w:vAlign w:val="center"/>
          </w:tcPr>
          <w:p w14:paraId="1A878733" w14:textId="77777777" w:rsidR="009103CC" w:rsidRPr="001814D2" w:rsidRDefault="009103CC" w:rsidP="002718DF">
            <w:pPr>
              <w:pStyle w:val="Tabletext"/>
              <w:jc w:val="right"/>
              <w:rPr>
                <w:rFonts w:cs="Preston"/>
                <w:szCs w:val="18"/>
              </w:rPr>
            </w:pPr>
            <w:r w:rsidRPr="001814D2">
              <w:rPr>
                <w:rFonts w:cs="Preston"/>
                <w:szCs w:val="18"/>
              </w:rPr>
              <w:t>138</w:t>
            </w:r>
          </w:p>
        </w:tc>
      </w:tr>
      <w:tr w:rsidR="009103CC" w:rsidRPr="001814D2" w14:paraId="7A59EA51" w14:textId="77777777" w:rsidTr="002718DF">
        <w:trPr>
          <w:cantSplit/>
          <w:trHeight w:hRule="exact" w:val="332"/>
        </w:trPr>
        <w:tc>
          <w:tcPr>
            <w:tcW w:w="2170" w:type="pct"/>
            <w:tcMar>
              <w:top w:w="0" w:type="dxa"/>
              <w:left w:w="0" w:type="dxa"/>
              <w:bottom w:w="0" w:type="dxa"/>
              <w:right w:w="0" w:type="dxa"/>
            </w:tcMar>
            <w:vAlign w:val="center"/>
          </w:tcPr>
          <w:p w14:paraId="13192917" w14:textId="77777777" w:rsidR="009103CC" w:rsidRPr="001814D2" w:rsidRDefault="009103CC" w:rsidP="002718DF">
            <w:pPr>
              <w:pStyle w:val="Tabletext"/>
            </w:pPr>
            <w:r w:rsidRPr="001814D2">
              <w:t>Sponsorship – in kind</w:t>
            </w:r>
          </w:p>
        </w:tc>
        <w:tc>
          <w:tcPr>
            <w:tcW w:w="708" w:type="pct"/>
            <w:tcMar>
              <w:top w:w="0" w:type="dxa"/>
              <w:left w:w="0" w:type="dxa"/>
              <w:bottom w:w="0" w:type="dxa"/>
              <w:right w:w="0" w:type="dxa"/>
            </w:tcMar>
            <w:vAlign w:val="center"/>
          </w:tcPr>
          <w:p w14:paraId="474A0CA1" w14:textId="77777777" w:rsidR="009103CC" w:rsidRPr="001814D2" w:rsidRDefault="009103CC" w:rsidP="002718DF">
            <w:pPr>
              <w:pStyle w:val="Tabletext"/>
              <w:jc w:val="right"/>
              <w:rPr>
                <w:rFonts w:cs="Preston"/>
                <w:szCs w:val="18"/>
              </w:rPr>
            </w:pPr>
            <w:r w:rsidRPr="001814D2">
              <w:rPr>
                <w:rFonts w:cs="Preston"/>
                <w:szCs w:val="18"/>
              </w:rPr>
              <w:t>1,053</w:t>
            </w:r>
          </w:p>
        </w:tc>
        <w:tc>
          <w:tcPr>
            <w:tcW w:w="708" w:type="pct"/>
            <w:tcMar>
              <w:top w:w="0" w:type="dxa"/>
              <w:left w:w="0" w:type="dxa"/>
              <w:bottom w:w="0" w:type="dxa"/>
              <w:right w:w="0" w:type="dxa"/>
            </w:tcMar>
            <w:vAlign w:val="center"/>
          </w:tcPr>
          <w:p w14:paraId="7ED35BF2" w14:textId="77777777" w:rsidR="009103CC" w:rsidRPr="001814D2" w:rsidRDefault="009103CC" w:rsidP="002718DF">
            <w:pPr>
              <w:pStyle w:val="Tabletext"/>
              <w:jc w:val="right"/>
              <w:rPr>
                <w:rFonts w:cs="Preston"/>
                <w:szCs w:val="18"/>
              </w:rPr>
            </w:pPr>
            <w:r w:rsidRPr="001814D2">
              <w:rPr>
                <w:rFonts w:cs="Preston"/>
                <w:szCs w:val="18"/>
              </w:rPr>
              <w:t>1,661</w:t>
            </w:r>
          </w:p>
        </w:tc>
        <w:tc>
          <w:tcPr>
            <w:tcW w:w="708" w:type="pct"/>
            <w:tcMar>
              <w:top w:w="0" w:type="dxa"/>
              <w:left w:w="0" w:type="dxa"/>
              <w:bottom w:w="0" w:type="dxa"/>
              <w:right w:w="0" w:type="dxa"/>
            </w:tcMar>
            <w:vAlign w:val="center"/>
          </w:tcPr>
          <w:p w14:paraId="0D7B3C7E" w14:textId="77777777" w:rsidR="009103CC" w:rsidRPr="001814D2" w:rsidRDefault="009103CC" w:rsidP="002718DF">
            <w:pPr>
              <w:pStyle w:val="Tabletext"/>
              <w:jc w:val="right"/>
              <w:rPr>
                <w:rFonts w:cs="Preston"/>
                <w:szCs w:val="18"/>
              </w:rPr>
            </w:pPr>
            <w:r w:rsidRPr="001814D2">
              <w:rPr>
                <w:rFonts w:cs="Preston"/>
                <w:szCs w:val="18"/>
              </w:rPr>
              <w:t>1,053</w:t>
            </w:r>
          </w:p>
        </w:tc>
        <w:tc>
          <w:tcPr>
            <w:tcW w:w="708" w:type="pct"/>
            <w:tcMar>
              <w:top w:w="0" w:type="dxa"/>
              <w:left w:w="0" w:type="dxa"/>
              <w:bottom w:w="0" w:type="dxa"/>
              <w:right w:w="0" w:type="dxa"/>
            </w:tcMar>
            <w:vAlign w:val="center"/>
          </w:tcPr>
          <w:p w14:paraId="4BCC5EB4" w14:textId="77777777" w:rsidR="009103CC" w:rsidRPr="001814D2" w:rsidRDefault="009103CC" w:rsidP="002718DF">
            <w:pPr>
              <w:pStyle w:val="Tabletext"/>
              <w:jc w:val="right"/>
              <w:rPr>
                <w:rFonts w:cs="Preston"/>
                <w:szCs w:val="18"/>
              </w:rPr>
            </w:pPr>
            <w:r w:rsidRPr="001814D2">
              <w:rPr>
                <w:rFonts w:cs="Preston"/>
                <w:szCs w:val="18"/>
              </w:rPr>
              <w:t>1,661</w:t>
            </w:r>
          </w:p>
        </w:tc>
      </w:tr>
      <w:tr w:rsidR="009103CC" w:rsidRPr="001814D2" w14:paraId="1242C7A4" w14:textId="77777777" w:rsidTr="002718DF">
        <w:trPr>
          <w:cantSplit/>
          <w:trHeight w:hRule="exact" w:val="332"/>
        </w:trPr>
        <w:tc>
          <w:tcPr>
            <w:tcW w:w="2170" w:type="pct"/>
            <w:tcMar>
              <w:top w:w="0" w:type="dxa"/>
              <w:left w:w="0" w:type="dxa"/>
              <w:bottom w:w="0" w:type="dxa"/>
              <w:right w:w="0" w:type="dxa"/>
            </w:tcMar>
            <w:vAlign w:val="center"/>
          </w:tcPr>
          <w:p w14:paraId="667F17D7" w14:textId="77777777" w:rsidR="009103CC" w:rsidRPr="001814D2" w:rsidRDefault="009103CC" w:rsidP="002718DF">
            <w:pPr>
              <w:pStyle w:val="Tabletext"/>
            </w:pPr>
            <w:r w:rsidRPr="001814D2">
              <w:t>Donations – collection assets</w:t>
            </w:r>
          </w:p>
        </w:tc>
        <w:tc>
          <w:tcPr>
            <w:tcW w:w="708" w:type="pct"/>
            <w:tcMar>
              <w:top w:w="0" w:type="dxa"/>
              <w:left w:w="0" w:type="dxa"/>
              <w:bottom w:w="0" w:type="dxa"/>
              <w:right w:w="0" w:type="dxa"/>
            </w:tcMar>
            <w:vAlign w:val="center"/>
          </w:tcPr>
          <w:p w14:paraId="34C27B08" w14:textId="77777777" w:rsidR="009103CC" w:rsidRPr="001814D2" w:rsidRDefault="009103CC" w:rsidP="002718DF">
            <w:pPr>
              <w:pStyle w:val="Tabletext"/>
              <w:jc w:val="right"/>
              <w:rPr>
                <w:rFonts w:cs="Preston"/>
                <w:szCs w:val="18"/>
              </w:rPr>
            </w:pPr>
            <w:r w:rsidRPr="001814D2">
              <w:rPr>
                <w:rFonts w:cs="Preston"/>
                <w:szCs w:val="18"/>
              </w:rPr>
              <w:t>9,835</w:t>
            </w:r>
          </w:p>
        </w:tc>
        <w:tc>
          <w:tcPr>
            <w:tcW w:w="708" w:type="pct"/>
            <w:tcMar>
              <w:top w:w="0" w:type="dxa"/>
              <w:left w:w="0" w:type="dxa"/>
              <w:bottom w:w="0" w:type="dxa"/>
              <w:right w:w="0" w:type="dxa"/>
            </w:tcMar>
            <w:vAlign w:val="center"/>
          </w:tcPr>
          <w:p w14:paraId="23F6B946" w14:textId="77777777" w:rsidR="009103CC" w:rsidRPr="001814D2" w:rsidRDefault="009103CC" w:rsidP="002718DF">
            <w:pPr>
              <w:pStyle w:val="Tabletext"/>
              <w:jc w:val="right"/>
              <w:rPr>
                <w:rFonts w:cs="Preston"/>
                <w:szCs w:val="18"/>
              </w:rPr>
            </w:pPr>
            <w:r w:rsidRPr="001814D2">
              <w:rPr>
                <w:rFonts w:cs="Preston"/>
                <w:szCs w:val="18"/>
              </w:rPr>
              <w:t>5,748</w:t>
            </w:r>
          </w:p>
        </w:tc>
        <w:tc>
          <w:tcPr>
            <w:tcW w:w="708" w:type="pct"/>
            <w:tcMar>
              <w:top w:w="0" w:type="dxa"/>
              <w:left w:w="0" w:type="dxa"/>
              <w:bottom w:w="0" w:type="dxa"/>
              <w:right w:w="0" w:type="dxa"/>
            </w:tcMar>
            <w:vAlign w:val="center"/>
          </w:tcPr>
          <w:p w14:paraId="4B2E8453" w14:textId="77777777" w:rsidR="009103CC" w:rsidRPr="001814D2" w:rsidRDefault="009103CC" w:rsidP="002718DF">
            <w:pPr>
              <w:pStyle w:val="Tabletext"/>
              <w:jc w:val="right"/>
              <w:rPr>
                <w:rFonts w:cs="Preston"/>
                <w:szCs w:val="18"/>
              </w:rPr>
            </w:pPr>
            <w:r w:rsidRPr="001814D2">
              <w:rPr>
                <w:rFonts w:cs="Preston"/>
                <w:szCs w:val="18"/>
              </w:rPr>
              <w:t>9,835</w:t>
            </w:r>
          </w:p>
        </w:tc>
        <w:tc>
          <w:tcPr>
            <w:tcW w:w="708" w:type="pct"/>
            <w:tcMar>
              <w:top w:w="0" w:type="dxa"/>
              <w:left w:w="0" w:type="dxa"/>
              <w:bottom w:w="0" w:type="dxa"/>
              <w:right w:w="0" w:type="dxa"/>
            </w:tcMar>
            <w:vAlign w:val="center"/>
          </w:tcPr>
          <w:p w14:paraId="52975272" w14:textId="77777777" w:rsidR="009103CC" w:rsidRPr="001814D2" w:rsidRDefault="009103CC" w:rsidP="002718DF">
            <w:pPr>
              <w:pStyle w:val="Tabletext"/>
              <w:jc w:val="right"/>
              <w:rPr>
                <w:rFonts w:cs="Preston"/>
                <w:szCs w:val="18"/>
              </w:rPr>
            </w:pPr>
            <w:r w:rsidRPr="001814D2">
              <w:rPr>
                <w:rFonts w:cs="Preston"/>
                <w:szCs w:val="18"/>
              </w:rPr>
              <w:t>5,748</w:t>
            </w:r>
          </w:p>
        </w:tc>
      </w:tr>
      <w:tr w:rsidR="009103CC" w:rsidRPr="001814D2" w14:paraId="05310D41" w14:textId="77777777" w:rsidTr="002718DF">
        <w:trPr>
          <w:cantSplit/>
          <w:trHeight w:hRule="exact" w:val="332"/>
        </w:trPr>
        <w:tc>
          <w:tcPr>
            <w:tcW w:w="2170" w:type="pct"/>
            <w:tcMar>
              <w:top w:w="0" w:type="dxa"/>
              <w:left w:w="0" w:type="dxa"/>
              <w:bottom w:w="0" w:type="dxa"/>
              <w:right w:w="0" w:type="dxa"/>
            </w:tcMar>
            <w:vAlign w:val="center"/>
          </w:tcPr>
          <w:p w14:paraId="26F1AB75" w14:textId="77777777" w:rsidR="009103CC" w:rsidRPr="001814D2" w:rsidRDefault="009103CC" w:rsidP="002718DF">
            <w:pPr>
              <w:pStyle w:val="Tabletext"/>
            </w:pPr>
            <w:r w:rsidRPr="001814D2">
              <w:t>Value of services provided by volunteers</w:t>
            </w:r>
          </w:p>
        </w:tc>
        <w:tc>
          <w:tcPr>
            <w:tcW w:w="708" w:type="pct"/>
            <w:tcMar>
              <w:top w:w="0" w:type="dxa"/>
              <w:left w:w="0" w:type="dxa"/>
              <w:bottom w:w="0" w:type="dxa"/>
              <w:right w:w="0" w:type="dxa"/>
            </w:tcMar>
            <w:vAlign w:val="center"/>
          </w:tcPr>
          <w:p w14:paraId="204B68EB" w14:textId="77777777" w:rsidR="009103CC" w:rsidRPr="001814D2" w:rsidRDefault="009103CC" w:rsidP="002718DF">
            <w:pPr>
              <w:pStyle w:val="Tabletext"/>
              <w:jc w:val="right"/>
              <w:rPr>
                <w:rFonts w:cs="Preston"/>
                <w:szCs w:val="18"/>
              </w:rPr>
            </w:pPr>
            <w:r w:rsidRPr="001814D2">
              <w:rPr>
                <w:rFonts w:cs="Preston"/>
                <w:szCs w:val="18"/>
              </w:rPr>
              <w:t>159</w:t>
            </w:r>
          </w:p>
        </w:tc>
        <w:tc>
          <w:tcPr>
            <w:tcW w:w="708" w:type="pct"/>
            <w:tcMar>
              <w:top w:w="0" w:type="dxa"/>
              <w:left w:w="0" w:type="dxa"/>
              <w:bottom w:w="0" w:type="dxa"/>
              <w:right w:w="0" w:type="dxa"/>
            </w:tcMar>
            <w:vAlign w:val="center"/>
          </w:tcPr>
          <w:p w14:paraId="0804C8CE" w14:textId="77777777" w:rsidR="009103CC" w:rsidRPr="001814D2" w:rsidRDefault="009103CC" w:rsidP="002718DF">
            <w:pPr>
              <w:pStyle w:val="Tabletext"/>
              <w:jc w:val="right"/>
              <w:rPr>
                <w:rFonts w:cs="Preston"/>
                <w:szCs w:val="18"/>
              </w:rPr>
            </w:pPr>
            <w:r w:rsidRPr="001814D2">
              <w:rPr>
                <w:rFonts w:cs="Preston"/>
                <w:szCs w:val="18"/>
              </w:rPr>
              <w:t>551</w:t>
            </w:r>
          </w:p>
        </w:tc>
        <w:tc>
          <w:tcPr>
            <w:tcW w:w="708" w:type="pct"/>
            <w:tcMar>
              <w:top w:w="0" w:type="dxa"/>
              <w:left w:w="0" w:type="dxa"/>
              <w:bottom w:w="0" w:type="dxa"/>
              <w:right w:w="0" w:type="dxa"/>
            </w:tcMar>
            <w:vAlign w:val="center"/>
          </w:tcPr>
          <w:p w14:paraId="3A983A9D" w14:textId="77777777" w:rsidR="009103CC" w:rsidRPr="001814D2" w:rsidRDefault="009103CC" w:rsidP="002718DF">
            <w:pPr>
              <w:pStyle w:val="Tabletext"/>
              <w:jc w:val="right"/>
              <w:rPr>
                <w:rFonts w:cs="Preston"/>
                <w:szCs w:val="18"/>
              </w:rPr>
            </w:pPr>
            <w:r w:rsidRPr="001814D2">
              <w:rPr>
                <w:rFonts w:cs="Preston"/>
                <w:szCs w:val="18"/>
              </w:rPr>
              <w:t>159</w:t>
            </w:r>
          </w:p>
        </w:tc>
        <w:tc>
          <w:tcPr>
            <w:tcW w:w="708" w:type="pct"/>
            <w:tcMar>
              <w:top w:w="0" w:type="dxa"/>
              <w:left w:w="0" w:type="dxa"/>
              <w:bottom w:w="0" w:type="dxa"/>
              <w:right w:w="0" w:type="dxa"/>
            </w:tcMar>
            <w:vAlign w:val="center"/>
          </w:tcPr>
          <w:p w14:paraId="7D0D6037" w14:textId="77777777" w:rsidR="009103CC" w:rsidRPr="001814D2" w:rsidRDefault="009103CC" w:rsidP="002718DF">
            <w:pPr>
              <w:pStyle w:val="Tabletext"/>
              <w:jc w:val="right"/>
              <w:rPr>
                <w:rFonts w:cs="Preston"/>
                <w:szCs w:val="18"/>
              </w:rPr>
            </w:pPr>
            <w:r w:rsidRPr="001814D2">
              <w:rPr>
                <w:rFonts w:cs="Preston"/>
                <w:szCs w:val="18"/>
              </w:rPr>
              <w:t>551</w:t>
            </w:r>
          </w:p>
        </w:tc>
      </w:tr>
      <w:tr w:rsidR="009103CC" w:rsidRPr="001814D2" w14:paraId="58A4CAD5" w14:textId="77777777" w:rsidTr="002718DF">
        <w:trPr>
          <w:cantSplit/>
          <w:trHeight w:hRule="exact" w:val="332"/>
        </w:trPr>
        <w:tc>
          <w:tcPr>
            <w:tcW w:w="2170" w:type="pct"/>
            <w:tcBorders>
              <w:bottom w:val="single" w:sz="4" w:space="0" w:color="auto"/>
            </w:tcBorders>
            <w:tcMar>
              <w:top w:w="0" w:type="dxa"/>
              <w:left w:w="0" w:type="dxa"/>
              <w:bottom w:w="0" w:type="dxa"/>
              <w:right w:w="0" w:type="dxa"/>
            </w:tcMar>
            <w:vAlign w:val="center"/>
          </w:tcPr>
          <w:p w14:paraId="45D6200C" w14:textId="77777777" w:rsidR="009103CC" w:rsidRPr="001814D2" w:rsidRDefault="009103CC" w:rsidP="002718DF">
            <w:pPr>
              <w:pStyle w:val="Tabletext"/>
            </w:pPr>
          </w:p>
        </w:tc>
        <w:tc>
          <w:tcPr>
            <w:tcW w:w="708" w:type="pct"/>
            <w:tcBorders>
              <w:bottom w:val="single" w:sz="4" w:space="0" w:color="auto"/>
            </w:tcBorders>
            <w:tcMar>
              <w:top w:w="0" w:type="dxa"/>
              <w:left w:w="0" w:type="dxa"/>
              <w:bottom w:w="0" w:type="dxa"/>
              <w:right w:w="0" w:type="dxa"/>
            </w:tcMar>
            <w:vAlign w:val="center"/>
          </w:tcPr>
          <w:p w14:paraId="4298575B" w14:textId="77777777" w:rsidR="009103CC" w:rsidRPr="001814D2" w:rsidRDefault="009103CC" w:rsidP="002718DF">
            <w:pPr>
              <w:pStyle w:val="Tabletext"/>
              <w:jc w:val="right"/>
              <w:rPr>
                <w:rFonts w:cs="Preston"/>
                <w:szCs w:val="18"/>
              </w:rPr>
            </w:pPr>
            <w:r w:rsidRPr="001814D2">
              <w:rPr>
                <w:rFonts w:cs="Preston"/>
                <w:szCs w:val="18"/>
              </w:rPr>
              <w:t>189,773</w:t>
            </w:r>
          </w:p>
        </w:tc>
        <w:tc>
          <w:tcPr>
            <w:tcW w:w="708" w:type="pct"/>
            <w:tcBorders>
              <w:bottom w:val="single" w:sz="4" w:space="0" w:color="auto"/>
            </w:tcBorders>
            <w:tcMar>
              <w:top w:w="0" w:type="dxa"/>
              <w:left w:w="0" w:type="dxa"/>
              <w:bottom w:w="0" w:type="dxa"/>
              <w:right w:w="0" w:type="dxa"/>
            </w:tcMar>
            <w:vAlign w:val="center"/>
          </w:tcPr>
          <w:p w14:paraId="695C2695" w14:textId="77777777" w:rsidR="009103CC" w:rsidRPr="001814D2" w:rsidRDefault="009103CC" w:rsidP="002718DF">
            <w:pPr>
              <w:pStyle w:val="Tabletext"/>
              <w:jc w:val="right"/>
              <w:rPr>
                <w:rFonts w:cs="Preston"/>
                <w:szCs w:val="18"/>
              </w:rPr>
            </w:pPr>
            <w:r w:rsidRPr="001814D2">
              <w:rPr>
                <w:rFonts w:cs="Preston"/>
                <w:szCs w:val="18"/>
              </w:rPr>
              <w:t>125,802</w:t>
            </w:r>
          </w:p>
        </w:tc>
        <w:tc>
          <w:tcPr>
            <w:tcW w:w="708" w:type="pct"/>
            <w:tcBorders>
              <w:bottom w:val="single" w:sz="4" w:space="0" w:color="auto"/>
            </w:tcBorders>
            <w:tcMar>
              <w:top w:w="0" w:type="dxa"/>
              <w:left w:w="0" w:type="dxa"/>
              <w:bottom w:w="0" w:type="dxa"/>
              <w:right w:w="0" w:type="dxa"/>
            </w:tcMar>
            <w:vAlign w:val="center"/>
          </w:tcPr>
          <w:p w14:paraId="0F410AE2" w14:textId="77777777" w:rsidR="009103CC" w:rsidRPr="001814D2" w:rsidRDefault="009103CC" w:rsidP="002718DF">
            <w:pPr>
              <w:pStyle w:val="Tabletext"/>
              <w:jc w:val="right"/>
              <w:rPr>
                <w:rFonts w:cs="Preston"/>
                <w:szCs w:val="18"/>
              </w:rPr>
            </w:pPr>
            <w:r w:rsidRPr="001814D2">
              <w:rPr>
                <w:rFonts w:cs="Preston"/>
                <w:szCs w:val="18"/>
              </w:rPr>
              <w:t>189,625</w:t>
            </w:r>
          </w:p>
        </w:tc>
        <w:tc>
          <w:tcPr>
            <w:tcW w:w="708" w:type="pct"/>
            <w:tcBorders>
              <w:bottom w:val="single" w:sz="4" w:space="0" w:color="auto"/>
            </w:tcBorders>
            <w:tcMar>
              <w:top w:w="0" w:type="dxa"/>
              <w:left w:w="0" w:type="dxa"/>
              <w:bottom w:w="0" w:type="dxa"/>
              <w:right w:w="0" w:type="dxa"/>
            </w:tcMar>
            <w:vAlign w:val="center"/>
          </w:tcPr>
          <w:p w14:paraId="4D4B3107" w14:textId="77777777" w:rsidR="009103CC" w:rsidRPr="001814D2" w:rsidRDefault="009103CC" w:rsidP="002718DF">
            <w:pPr>
              <w:pStyle w:val="Tabletext"/>
              <w:jc w:val="right"/>
              <w:rPr>
                <w:rFonts w:cs="Preston"/>
                <w:szCs w:val="18"/>
              </w:rPr>
            </w:pPr>
            <w:r w:rsidRPr="001814D2">
              <w:rPr>
                <w:rFonts w:cs="Preston"/>
                <w:szCs w:val="18"/>
              </w:rPr>
              <w:t>130,649</w:t>
            </w:r>
          </w:p>
        </w:tc>
      </w:tr>
      <w:tr w:rsidR="009103CC" w:rsidRPr="001814D2" w14:paraId="6BF11D29"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45063FCB" w14:textId="77777777" w:rsidR="009103CC" w:rsidRPr="001814D2" w:rsidRDefault="009103CC" w:rsidP="002718DF">
            <w:pPr>
              <w:pStyle w:val="Tabletext"/>
              <w:rPr>
                <w:rFonts w:cs="Preston"/>
                <w:szCs w:val="18"/>
              </w:rPr>
            </w:pPr>
            <w:r w:rsidRPr="001814D2">
              <w:rPr>
                <w:rFonts w:cs="Preston"/>
                <w:szCs w:val="18"/>
              </w:rPr>
              <w:t>Total revenue from continuing operations</w:t>
            </w:r>
          </w:p>
        </w:tc>
        <w:tc>
          <w:tcPr>
            <w:tcW w:w="708" w:type="pct"/>
            <w:tcBorders>
              <w:top w:val="single" w:sz="4" w:space="0" w:color="auto"/>
              <w:bottom w:val="single" w:sz="4" w:space="0" w:color="auto"/>
            </w:tcBorders>
            <w:tcMar>
              <w:top w:w="0" w:type="dxa"/>
              <w:left w:w="0" w:type="dxa"/>
              <w:bottom w:w="0" w:type="dxa"/>
              <w:right w:w="0" w:type="dxa"/>
            </w:tcMar>
            <w:vAlign w:val="center"/>
          </w:tcPr>
          <w:p w14:paraId="1BCA3699" w14:textId="77777777" w:rsidR="009103CC" w:rsidRPr="001814D2" w:rsidRDefault="009103CC" w:rsidP="002718DF">
            <w:pPr>
              <w:pStyle w:val="Tabletext"/>
              <w:jc w:val="right"/>
              <w:rPr>
                <w:rFonts w:cs="Preston"/>
                <w:szCs w:val="18"/>
              </w:rPr>
            </w:pPr>
            <w:r w:rsidRPr="001814D2">
              <w:rPr>
                <w:rFonts w:cs="Preston"/>
                <w:szCs w:val="18"/>
              </w:rPr>
              <w:t>196,828</w:t>
            </w:r>
          </w:p>
        </w:tc>
        <w:tc>
          <w:tcPr>
            <w:tcW w:w="708" w:type="pct"/>
            <w:tcBorders>
              <w:top w:val="single" w:sz="4" w:space="0" w:color="auto"/>
              <w:bottom w:val="single" w:sz="4" w:space="0" w:color="auto"/>
            </w:tcBorders>
            <w:tcMar>
              <w:top w:w="0" w:type="dxa"/>
              <w:left w:w="0" w:type="dxa"/>
              <w:bottom w:w="0" w:type="dxa"/>
              <w:right w:w="0" w:type="dxa"/>
            </w:tcMar>
            <w:vAlign w:val="center"/>
          </w:tcPr>
          <w:p w14:paraId="379D5BFB" w14:textId="77777777" w:rsidR="009103CC" w:rsidRPr="001814D2" w:rsidRDefault="009103CC" w:rsidP="002718DF">
            <w:pPr>
              <w:pStyle w:val="Tabletext"/>
              <w:jc w:val="right"/>
              <w:rPr>
                <w:rFonts w:cs="Preston"/>
                <w:szCs w:val="18"/>
              </w:rPr>
            </w:pPr>
            <w:r w:rsidRPr="001814D2">
              <w:rPr>
                <w:rFonts w:cs="Preston"/>
                <w:szCs w:val="18"/>
              </w:rPr>
              <w:t>135,737</w:t>
            </w:r>
          </w:p>
        </w:tc>
        <w:tc>
          <w:tcPr>
            <w:tcW w:w="708" w:type="pct"/>
            <w:tcBorders>
              <w:top w:val="single" w:sz="4" w:space="0" w:color="auto"/>
              <w:bottom w:val="single" w:sz="4" w:space="0" w:color="auto"/>
            </w:tcBorders>
            <w:tcMar>
              <w:top w:w="0" w:type="dxa"/>
              <w:left w:w="0" w:type="dxa"/>
              <w:bottom w:w="0" w:type="dxa"/>
              <w:right w:w="0" w:type="dxa"/>
            </w:tcMar>
            <w:vAlign w:val="center"/>
          </w:tcPr>
          <w:p w14:paraId="2ADE8234" w14:textId="77777777" w:rsidR="009103CC" w:rsidRPr="001814D2" w:rsidRDefault="009103CC" w:rsidP="002718DF">
            <w:pPr>
              <w:pStyle w:val="Tabletext"/>
              <w:jc w:val="right"/>
              <w:rPr>
                <w:rFonts w:cs="Preston"/>
                <w:szCs w:val="18"/>
              </w:rPr>
            </w:pPr>
            <w:r w:rsidRPr="001814D2">
              <w:rPr>
                <w:rFonts w:cs="Preston"/>
                <w:szCs w:val="18"/>
              </w:rPr>
              <w:t>196,680</w:t>
            </w:r>
          </w:p>
        </w:tc>
        <w:tc>
          <w:tcPr>
            <w:tcW w:w="708" w:type="pct"/>
            <w:tcBorders>
              <w:top w:val="single" w:sz="4" w:space="0" w:color="auto"/>
              <w:bottom w:val="single" w:sz="4" w:space="0" w:color="auto"/>
            </w:tcBorders>
            <w:tcMar>
              <w:top w:w="0" w:type="dxa"/>
              <w:left w:w="0" w:type="dxa"/>
              <w:bottom w:w="0" w:type="dxa"/>
              <w:right w:w="0" w:type="dxa"/>
            </w:tcMar>
            <w:vAlign w:val="center"/>
          </w:tcPr>
          <w:p w14:paraId="3535CC73" w14:textId="77777777" w:rsidR="009103CC" w:rsidRPr="001814D2" w:rsidRDefault="009103CC" w:rsidP="002718DF">
            <w:pPr>
              <w:pStyle w:val="Tabletext"/>
              <w:jc w:val="right"/>
              <w:rPr>
                <w:rFonts w:cs="Preston"/>
                <w:szCs w:val="18"/>
              </w:rPr>
            </w:pPr>
            <w:r w:rsidRPr="001814D2">
              <w:rPr>
                <w:rFonts w:cs="Preston"/>
                <w:szCs w:val="18"/>
              </w:rPr>
              <w:t>140,584</w:t>
            </w:r>
          </w:p>
        </w:tc>
      </w:tr>
    </w:tbl>
    <w:p w14:paraId="1BF88F61" w14:textId="77777777" w:rsidR="009103CC" w:rsidRPr="001814D2" w:rsidRDefault="009103CC" w:rsidP="009103CC">
      <w:pPr>
        <w:pStyle w:val="Tabletext"/>
      </w:pPr>
    </w:p>
    <w:tbl>
      <w:tblPr>
        <w:tblW w:w="5000" w:type="pct"/>
        <w:tblBorders>
          <w:insideH w:val="single" w:sz="4" w:space="0" w:color="auto"/>
        </w:tblBorders>
        <w:tblCellMar>
          <w:left w:w="0" w:type="dxa"/>
          <w:right w:w="0" w:type="dxa"/>
        </w:tblCellMar>
        <w:tblLook w:val="0000" w:firstRow="0" w:lastRow="0" w:firstColumn="0" w:lastColumn="0" w:noHBand="0" w:noVBand="0"/>
        <w:tblCaption w:val="Disaggregation of revenue from contracts with customers based on the source of funds and the type of goods or services provided"/>
        <w:tblDescription w:val="This table provides figures for 2020 and 2021 for both the consolidated entity and parent entity,"/>
      </w:tblPr>
      <w:tblGrid>
        <w:gridCol w:w="1574"/>
        <w:gridCol w:w="1250"/>
        <w:gridCol w:w="1250"/>
        <w:gridCol w:w="1250"/>
        <w:gridCol w:w="1250"/>
        <w:gridCol w:w="1250"/>
        <w:gridCol w:w="1246"/>
      </w:tblGrid>
      <w:tr w:rsidR="009103CC" w:rsidRPr="00326C51" w14:paraId="7CBD9C01" w14:textId="77777777" w:rsidTr="002718DF">
        <w:trPr>
          <w:cantSplit/>
          <w:trHeight w:val="170"/>
          <w:tblHeader/>
        </w:trPr>
        <w:tc>
          <w:tcPr>
            <w:tcW w:w="2245" w:type="pct"/>
            <w:gridSpan w:val="3"/>
            <w:tcMar>
              <w:top w:w="0" w:type="dxa"/>
              <w:left w:w="0" w:type="dxa"/>
              <w:bottom w:w="0" w:type="dxa"/>
              <w:right w:w="0" w:type="dxa"/>
            </w:tcMar>
            <w:vAlign w:val="center"/>
          </w:tcPr>
          <w:p w14:paraId="29A13BDB" w14:textId="77777777" w:rsidR="009103CC" w:rsidRPr="00326C51" w:rsidRDefault="009103CC" w:rsidP="002718DF">
            <w:pPr>
              <w:pStyle w:val="Tabletext"/>
              <w:rPr>
                <w:rFonts w:cs="Preston"/>
                <w:b/>
                <w:bCs/>
                <w:szCs w:val="18"/>
              </w:rPr>
            </w:pPr>
            <w:r w:rsidRPr="00326C51">
              <w:rPr>
                <w:rFonts w:cs="Preston"/>
                <w:b/>
                <w:bCs/>
                <w:szCs w:val="18"/>
              </w:rPr>
              <w:t>Disaggregation of revenue from contracts with customers based on the source of funds and the type of goods or services provided</w:t>
            </w:r>
          </w:p>
        </w:tc>
        <w:tc>
          <w:tcPr>
            <w:tcW w:w="689" w:type="pct"/>
            <w:tcMar>
              <w:top w:w="0" w:type="dxa"/>
              <w:left w:w="0" w:type="dxa"/>
              <w:bottom w:w="0" w:type="dxa"/>
              <w:right w:w="0" w:type="dxa"/>
            </w:tcMar>
            <w:vAlign w:val="center"/>
          </w:tcPr>
          <w:p w14:paraId="2981FC34" w14:textId="77777777" w:rsidR="009103CC" w:rsidRPr="00326C51" w:rsidRDefault="009103CC" w:rsidP="002718DF">
            <w:pPr>
              <w:pStyle w:val="Tabletext"/>
              <w:rPr>
                <w:b/>
                <w:bCs/>
              </w:rPr>
            </w:pPr>
          </w:p>
        </w:tc>
        <w:tc>
          <w:tcPr>
            <w:tcW w:w="689" w:type="pct"/>
            <w:tcMar>
              <w:top w:w="0" w:type="dxa"/>
              <w:left w:w="0" w:type="dxa"/>
              <w:bottom w:w="0" w:type="dxa"/>
              <w:right w:w="0" w:type="dxa"/>
            </w:tcMar>
            <w:vAlign w:val="center"/>
          </w:tcPr>
          <w:p w14:paraId="7AB520D7" w14:textId="77777777" w:rsidR="009103CC" w:rsidRPr="00326C51" w:rsidRDefault="009103CC" w:rsidP="002718DF">
            <w:pPr>
              <w:pStyle w:val="Tabletext"/>
              <w:rPr>
                <w:b/>
                <w:bCs/>
              </w:rPr>
            </w:pPr>
          </w:p>
        </w:tc>
        <w:tc>
          <w:tcPr>
            <w:tcW w:w="689" w:type="pct"/>
            <w:tcMar>
              <w:top w:w="0" w:type="dxa"/>
              <w:left w:w="0" w:type="dxa"/>
              <w:bottom w:w="0" w:type="dxa"/>
              <w:right w:w="0" w:type="dxa"/>
            </w:tcMar>
            <w:vAlign w:val="center"/>
          </w:tcPr>
          <w:p w14:paraId="11B9E307" w14:textId="77777777" w:rsidR="009103CC" w:rsidRPr="00326C51" w:rsidRDefault="009103CC" w:rsidP="002718DF">
            <w:pPr>
              <w:pStyle w:val="Tabletext"/>
              <w:rPr>
                <w:b/>
                <w:bCs/>
              </w:rPr>
            </w:pPr>
          </w:p>
        </w:tc>
        <w:tc>
          <w:tcPr>
            <w:tcW w:w="689" w:type="pct"/>
            <w:tcMar>
              <w:top w:w="0" w:type="dxa"/>
              <w:left w:w="0" w:type="dxa"/>
              <w:bottom w:w="0" w:type="dxa"/>
              <w:right w:w="0" w:type="dxa"/>
            </w:tcMar>
            <w:vAlign w:val="center"/>
          </w:tcPr>
          <w:p w14:paraId="23472E08" w14:textId="77777777" w:rsidR="009103CC" w:rsidRPr="00326C51" w:rsidRDefault="009103CC" w:rsidP="002718DF">
            <w:pPr>
              <w:pStyle w:val="Tabletext"/>
              <w:rPr>
                <w:b/>
                <w:bCs/>
              </w:rPr>
            </w:pPr>
          </w:p>
        </w:tc>
      </w:tr>
      <w:tr w:rsidR="009103CC" w:rsidRPr="00326C51" w14:paraId="7B6E9DBF" w14:textId="77777777" w:rsidTr="002718DF">
        <w:trPr>
          <w:cantSplit/>
          <w:trHeight w:val="170"/>
          <w:tblHeader/>
        </w:trPr>
        <w:tc>
          <w:tcPr>
            <w:tcW w:w="868" w:type="pct"/>
            <w:tcMar>
              <w:top w:w="0" w:type="dxa"/>
              <w:left w:w="0" w:type="dxa"/>
              <w:bottom w:w="0" w:type="dxa"/>
              <w:right w:w="0" w:type="dxa"/>
            </w:tcMar>
            <w:vAlign w:val="center"/>
          </w:tcPr>
          <w:p w14:paraId="1116CDEC" w14:textId="77777777" w:rsidR="009103CC" w:rsidRPr="00326C51" w:rsidRDefault="009103CC" w:rsidP="002718DF">
            <w:pPr>
              <w:pStyle w:val="Tabletext"/>
              <w:rPr>
                <w:rFonts w:cs="Preston"/>
                <w:b/>
                <w:bCs/>
                <w:szCs w:val="18"/>
              </w:rPr>
            </w:pPr>
            <w:r w:rsidRPr="00326C51">
              <w:rPr>
                <w:rFonts w:cs="Preston"/>
                <w:b/>
                <w:bCs/>
                <w:szCs w:val="18"/>
              </w:rPr>
              <w:t>Source of funds</w:t>
            </w:r>
          </w:p>
        </w:tc>
        <w:tc>
          <w:tcPr>
            <w:tcW w:w="2066" w:type="pct"/>
            <w:gridSpan w:val="3"/>
            <w:tcMar>
              <w:top w:w="0" w:type="dxa"/>
              <w:left w:w="0" w:type="dxa"/>
              <w:bottom w:w="0" w:type="dxa"/>
              <w:right w:w="0" w:type="dxa"/>
            </w:tcMar>
            <w:vAlign w:val="center"/>
          </w:tcPr>
          <w:p w14:paraId="32E69E71" w14:textId="77777777" w:rsidR="009103CC" w:rsidRPr="00326C51" w:rsidRDefault="009103CC" w:rsidP="002718DF">
            <w:pPr>
              <w:pStyle w:val="Tabletext"/>
              <w:jc w:val="center"/>
              <w:rPr>
                <w:rFonts w:cs="Preston"/>
                <w:b/>
                <w:bCs/>
                <w:szCs w:val="18"/>
              </w:rPr>
            </w:pPr>
            <w:r w:rsidRPr="00326C51">
              <w:rPr>
                <w:rFonts w:cs="Preston"/>
                <w:b/>
                <w:bCs/>
                <w:szCs w:val="18"/>
              </w:rPr>
              <w:t>Consolidated entity</w:t>
            </w:r>
          </w:p>
        </w:tc>
        <w:tc>
          <w:tcPr>
            <w:tcW w:w="2066" w:type="pct"/>
            <w:gridSpan w:val="3"/>
            <w:tcMar>
              <w:top w:w="0" w:type="dxa"/>
              <w:left w:w="0" w:type="dxa"/>
              <w:bottom w:w="0" w:type="dxa"/>
              <w:right w:w="0" w:type="dxa"/>
            </w:tcMar>
            <w:vAlign w:val="center"/>
          </w:tcPr>
          <w:p w14:paraId="5459285F" w14:textId="77777777" w:rsidR="009103CC" w:rsidRPr="00326C51" w:rsidRDefault="009103CC" w:rsidP="002718DF">
            <w:pPr>
              <w:pStyle w:val="Tabletext"/>
              <w:jc w:val="center"/>
              <w:rPr>
                <w:rFonts w:cs="Preston"/>
                <w:b/>
                <w:bCs/>
                <w:szCs w:val="18"/>
              </w:rPr>
            </w:pPr>
            <w:r w:rsidRPr="00326C51">
              <w:rPr>
                <w:rFonts w:cs="Preston"/>
                <w:b/>
                <w:bCs/>
                <w:szCs w:val="18"/>
              </w:rPr>
              <w:t>Parent entity</w:t>
            </w:r>
          </w:p>
        </w:tc>
      </w:tr>
      <w:tr w:rsidR="009103CC" w:rsidRPr="00316B12" w14:paraId="3C9F0DFF" w14:textId="77777777" w:rsidTr="002718DF">
        <w:trPr>
          <w:cantSplit/>
          <w:trHeight w:val="113"/>
          <w:tblHeader/>
        </w:trPr>
        <w:tc>
          <w:tcPr>
            <w:tcW w:w="868" w:type="pct"/>
            <w:tcMar>
              <w:top w:w="0" w:type="dxa"/>
              <w:left w:w="0" w:type="dxa"/>
              <w:bottom w:w="0" w:type="dxa"/>
              <w:right w:w="0" w:type="dxa"/>
            </w:tcMar>
          </w:tcPr>
          <w:p w14:paraId="5DA6B566" w14:textId="77777777" w:rsidR="009103CC" w:rsidRPr="00316B12" w:rsidRDefault="009103CC" w:rsidP="002718DF">
            <w:pPr>
              <w:pStyle w:val="Tabletext"/>
              <w:rPr>
                <w:b/>
                <w:bCs/>
              </w:rPr>
            </w:pPr>
          </w:p>
        </w:tc>
        <w:tc>
          <w:tcPr>
            <w:tcW w:w="689" w:type="pct"/>
            <w:tcMar>
              <w:top w:w="0" w:type="dxa"/>
              <w:left w:w="0" w:type="dxa"/>
              <w:bottom w:w="0" w:type="dxa"/>
              <w:right w:w="0" w:type="dxa"/>
            </w:tcMar>
          </w:tcPr>
          <w:p w14:paraId="5F8A0490" w14:textId="77777777" w:rsidR="009103CC" w:rsidRPr="00316B12" w:rsidRDefault="009103CC" w:rsidP="002718DF">
            <w:pPr>
              <w:pStyle w:val="Tabletext"/>
              <w:jc w:val="right"/>
              <w:rPr>
                <w:rFonts w:cs="Preston"/>
                <w:b/>
                <w:bCs/>
                <w:szCs w:val="18"/>
              </w:rPr>
            </w:pPr>
            <w:r w:rsidRPr="00316B12">
              <w:rPr>
                <w:rFonts w:cs="Preston"/>
                <w:b/>
                <w:bCs/>
                <w:szCs w:val="18"/>
              </w:rPr>
              <w:t>Revenue from contracts with customers (AASB 15)</w:t>
            </w:r>
          </w:p>
        </w:tc>
        <w:tc>
          <w:tcPr>
            <w:tcW w:w="689" w:type="pct"/>
            <w:tcMar>
              <w:top w:w="0" w:type="dxa"/>
              <w:left w:w="0" w:type="dxa"/>
              <w:bottom w:w="0" w:type="dxa"/>
              <w:right w:w="0" w:type="dxa"/>
            </w:tcMar>
          </w:tcPr>
          <w:p w14:paraId="4CDDE17A" w14:textId="77777777" w:rsidR="009103CC" w:rsidRPr="00316B12" w:rsidRDefault="009103CC" w:rsidP="002718DF">
            <w:pPr>
              <w:pStyle w:val="Tabletext"/>
              <w:jc w:val="right"/>
              <w:rPr>
                <w:rFonts w:cs="Preston"/>
                <w:b/>
                <w:bCs/>
                <w:szCs w:val="18"/>
              </w:rPr>
            </w:pPr>
            <w:r w:rsidRPr="00316B12">
              <w:rPr>
                <w:rFonts w:cs="Preston"/>
                <w:b/>
                <w:bCs/>
                <w:szCs w:val="18"/>
              </w:rPr>
              <w:t xml:space="preserve">Revenue under </w:t>
            </w:r>
          </w:p>
          <w:p w14:paraId="771FE500" w14:textId="77777777" w:rsidR="009103CC" w:rsidRPr="00316B12" w:rsidRDefault="009103CC" w:rsidP="002718DF">
            <w:pPr>
              <w:pStyle w:val="Tabletext"/>
              <w:jc w:val="right"/>
              <w:rPr>
                <w:rFonts w:cs="Preston"/>
                <w:b/>
                <w:bCs/>
                <w:szCs w:val="18"/>
              </w:rPr>
            </w:pPr>
            <w:r w:rsidRPr="00316B12">
              <w:rPr>
                <w:rFonts w:cs="Preston"/>
                <w:b/>
                <w:bCs/>
                <w:szCs w:val="18"/>
              </w:rPr>
              <w:t>AASB 1058</w:t>
            </w:r>
          </w:p>
          <w:p w14:paraId="1DA12F7B" w14:textId="77777777" w:rsidR="009103CC" w:rsidRPr="00316B12" w:rsidRDefault="009103CC" w:rsidP="002718DF">
            <w:pPr>
              <w:pStyle w:val="Tabletext"/>
              <w:jc w:val="right"/>
              <w:rPr>
                <w:rFonts w:cs="Preston"/>
                <w:b/>
                <w:bCs/>
                <w:szCs w:val="18"/>
              </w:rPr>
            </w:pPr>
          </w:p>
          <w:p w14:paraId="4BA74C89" w14:textId="77777777" w:rsidR="009103CC" w:rsidRPr="00316B12" w:rsidRDefault="009103CC" w:rsidP="002718DF">
            <w:pPr>
              <w:pStyle w:val="Tabletext"/>
              <w:jc w:val="right"/>
              <w:rPr>
                <w:rFonts w:cs="Preston"/>
                <w:b/>
                <w:bCs/>
                <w:szCs w:val="18"/>
              </w:rPr>
            </w:pPr>
          </w:p>
        </w:tc>
        <w:tc>
          <w:tcPr>
            <w:tcW w:w="689" w:type="pct"/>
            <w:tcMar>
              <w:top w:w="0" w:type="dxa"/>
              <w:left w:w="0" w:type="dxa"/>
              <w:bottom w:w="0" w:type="dxa"/>
              <w:right w:w="0" w:type="dxa"/>
            </w:tcMar>
          </w:tcPr>
          <w:p w14:paraId="6C300F37" w14:textId="77777777" w:rsidR="009103CC" w:rsidRPr="00316B12" w:rsidRDefault="009103CC" w:rsidP="002718DF">
            <w:pPr>
              <w:pStyle w:val="Tabletext"/>
              <w:jc w:val="right"/>
              <w:rPr>
                <w:rFonts w:cs="Preston"/>
                <w:b/>
                <w:bCs/>
                <w:szCs w:val="18"/>
              </w:rPr>
            </w:pPr>
            <w:r w:rsidRPr="00316B12">
              <w:rPr>
                <w:rFonts w:cs="Preston"/>
                <w:b/>
                <w:bCs/>
                <w:szCs w:val="18"/>
              </w:rPr>
              <w:t>Total</w:t>
            </w:r>
          </w:p>
          <w:p w14:paraId="0AC49CF5" w14:textId="77777777" w:rsidR="009103CC" w:rsidRPr="00316B12" w:rsidRDefault="009103CC" w:rsidP="002718DF">
            <w:pPr>
              <w:pStyle w:val="Tabletext"/>
              <w:jc w:val="right"/>
              <w:rPr>
                <w:rFonts w:cs="Preston"/>
                <w:b/>
                <w:bCs/>
                <w:szCs w:val="18"/>
              </w:rPr>
            </w:pPr>
          </w:p>
          <w:p w14:paraId="33C60CBD" w14:textId="77777777" w:rsidR="009103CC" w:rsidRPr="00316B12" w:rsidRDefault="009103CC" w:rsidP="002718DF">
            <w:pPr>
              <w:pStyle w:val="Tabletext"/>
              <w:jc w:val="right"/>
              <w:rPr>
                <w:rFonts w:cs="Preston"/>
                <w:b/>
                <w:bCs/>
                <w:szCs w:val="18"/>
              </w:rPr>
            </w:pPr>
          </w:p>
          <w:p w14:paraId="4FE38F2B" w14:textId="77777777" w:rsidR="009103CC" w:rsidRPr="00316B12" w:rsidRDefault="009103CC" w:rsidP="002718DF">
            <w:pPr>
              <w:pStyle w:val="Tabletext"/>
              <w:jc w:val="right"/>
              <w:rPr>
                <w:rFonts w:cs="Preston"/>
                <w:b/>
                <w:bCs/>
                <w:szCs w:val="18"/>
              </w:rPr>
            </w:pPr>
          </w:p>
        </w:tc>
        <w:tc>
          <w:tcPr>
            <w:tcW w:w="689" w:type="pct"/>
            <w:tcMar>
              <w:top w:w="0" w:type="dxa"/>
              <w:left w:w="0" w:type="dxa"/>
              <w:bottom w:w="0" w:type="dxa"/>
              <w:right w:w="0" w:type="dxa"/>
            </w:tcMar>
          </w:tcPr>
          <w:p w14:paraId="67F83CA9" w14:textId="77777777" w:rsidR="009103CC" w:rsidRPr="00316B12" w:rsidRDefault="009103CC" w:rsidP="002718DF">
            <w:pPr>
              <w:pStyle w:val="Tabletext"/>
              <w:jc w:val="right"/>
              <w:rPr>
                <w:rFonts w:cs="Preston"/>
                <w:b/>
                <w:bCs/>
                <w:szCs w:val="18"/>
              </w:rPr>
            </w:pPr>
            <w:r w:rsidRPr="00316B12">
              <w:rPr>
                <w:rFonts w:cs="Preston"/>
                <w:b/>
                <w:bCs/>
                <w:szCs w:val="18"/>
              </w:rPr>
              <w:t>Revenue from contracts with customers (AASB 15</w:t>
            </w:r>
          </w:p>
        </w:tc>
        <w:tc>
          <w:tcPr>
            <w:tcW w:w="689" w:type="pct"/>
            <w:tcMar>
              <w:top w:w="0" w:type="dxa"/>
              <w:left w:w="0" w:type="dxa"/>
              <w:bottom w:w="0" w:type="dxa"/>
              <w:right w:w="0" w:type="dxa"/>
            </w:tcMar>
          </w:tcPr>
          <w:p w14:paraId="393C09A5" w14:textId="77777777" w:rsidR="009103CC" w:rsidRPr="00316B12" w:rsidRDefault="009103CC" w:rsidP="002718DF">
            <w:pPr>
              <w:pStyle w:val="Tabletext"/>
              <w:jc w:val="right"/>
              <w:rPr>
                <w:rFonts w:cs="Preston"/>
                <w:b/>
                <w:bCs/>
                <w:szCs w:val="18"/>
              </w:rPr>
            </w:pPr>
            <w:r w:rsidRPr="00316B12">
              <w:rPr>
                <w:rFonts w:cs="Preston"/>
                <w:b/>
                <w:bCs/>
                <w:szCs w:val="18"/>
              </w:rPr>
              <w:t>Revenue under AASB 1058</w:t>
            </w:r>
          </w:p>
          <w:p w14:paraId="4F4AC825" w14:textId="77777777" w:rsidR="009103CC" w:rsidRPr="00316B12" w:rsidRDefault="009103CC" w:rsidP="002718DF">
            <w:pPr>
              <w:pStyle w:val="Tabletext"/>
              <w:jc w:val="right"/>
              <w:rPr>
                <w:rFonts w:cs="Preston"/>
                <w:b/>
                <w:bCs/>
                <w:szCs w:val="18"/>
              </w:rPr>
            </w:pPr>
          </w:p>
          <w:p w14:paraId="02ED1F0B" w14:textId="77777777" w:rsidR="009103CC" w:rsidRPr="00316B12" w:rsidRDefault="009103CC" w:rsidP="002718DF">
            <w:pPr>
              <w:pStyle w:val="Tabletext"/>
              <w:jc w:val="right"/>
              <w:rPr>
                <w:rFonts w:cs="Preston"/>
                <w:b/>
                <w:bCs/>
                <w:szCs w:val="18"/>
              </w:rPr>
            </w:pPr>
          </w:p>
        </w:tc>
        <w:tc>
          <w:tcPr>
            <w:tcW w:w="689" w:type="pct"/>
            <w:tcMar>
              <w:top w:w="0" w:type="dxa"/>
              <w:left w:w="0" w:type="dxa"/>
              <w:bottom w:w="0" w:type="dxa"/>
              <w:right w:w="0" w:type="dxa"/>
            </w:tcMar>
          </w:tcPr>
          <w:p w14:paraId="5DCC962D" w14:textId="77777777" w:rsidR="009103CC" w:rsidRPr="00316B12" w:rsidRDefault="009103CC" w:rsidP="002718DF">
            <w:pPr>
              <w:pStyle w:val="Tabletext"/>
              <w:jc w:val="right"/>
              <w:rPr>
                <w:rFonts w:cs="Preston"/>
                <w:b/>
                <w:bCs/>
                <w:szCs w:val="18"/>
              </w:rPr>
            </w:pPr>
            <w:r w:rsidRPr="00316B12">
              <w:rPr>
                <w:rFonts w:cs="Preston"/>
                <w:b/>
                <w:bCs/>
                <w:szCs w:val="18"/>
              </w:rPr>
              <w:t>Total</w:t>
            </w:r>
          </w:p>
          <w:p w14:paraId="0CAA2A7F" w14:textId="77777777" w:rsidR="009103CC" w:rsidRPr="00316B12" w:rsidRDefault="009103CC" w:rsidP="002718DF">
            <w:pPr>
              <w:pStyle w:val="Tabletext"/>
              <w:jc w:val="right"/>
              <w:rPr>
                <w:rFonts w:cs="Preston"/>
                <w:b/>
                <w:bCs/>
                <w:szCs w:val="18"/>
              </w:rPr>
            </w:pPr>
          </w:p>
          <w:p w14:paraId="772D1510" w14:textId="77777777" w:rsidR="009103CC" w:rsidRPr="00316B12" w:rsidRDefault="009103CC" w:rsidP="002718DF">
            <w:pPr>
              <w:pStyle w:val="Tabletext"/>
              <w:jc w:val="right"/>
              <w:rPr>
                <w:rFonts w:cs="Preston"/>
                <w:b/>
                <w:bCs/>
                <w:szCs w:val="18"/>
              </w:rPr>
            </w:pPr>
          </w:p>
          <w:p w14:paraId="178DF93B" w14:textId="77777777" w:rsidR="009103CC" w:rsidRPr="00316B12" w:rsidRDefault="009103CC" w:rsidP="002718DF">
            <w:pPr>
              <w:pStyle w:val="Tabletext"/>
              <w:jc w:val="right"/>
              <w:rPr>
                <w:rFonts w:cs="Preston"/>
                <w:b/>
                <w:bCs/>
                <w:szCs w:val="18"/>
              </w:rPr>
            </w:pPr>
          </w:p>
        </w:tc>
      </w:tr>
      <w:tr w:rsidR="009103CC" w:rsidRPr="001814D2" w14:paraId="07A10C63" w14:textId="77777777" w:rsidTr="002718DF">
        <w:trPr>
          <w:cantSplit/>
          <w:trHeight w:val="170"/>
        </w:trPr>
        <w:tc>
          <w:tcPr>
            <w:tcW w:w="868" w:type="pct"/>
            <w:tcMar>
              <w:top w:w="0" w:type="dxa"/>
              <w:left w:w="0" w:type="dxa"/>
              <w:bottom w:w="0" w:type="dxa"/>
              <w:right w:w="0" w:type="dxa"/>
            </w:tcMar>
            <w:vAlign w:val="center"/>
          </w:tcPr>
          <w:p w14:paraId="3CE8C701" w14:textId="77777777" w:rsidR="009103CC" w:rsidRPr="001814D2" w:rsidRDefault="009103CC" w:rsidP="002718DF">
            <w:pPr>
              <w:pStyle w:val="Tabletext"/>
            </w:pPr>
            <w:r w:rsidRPr="001814D2">
              <w:t>Government</w:t>
            </w:r>
          </w:p>
        </w:tc>
        <w:tc>
          <w:tcPr>
            <w:tcW w:w="689" w:type="pct"/>
            <w:tcMar>
              <w:top w:w="0" w:type="dxa"/>
              <w:left w:w="0" w:type="dxa"/>
              <w:bottom w:w="0" w:type="dxa"/>
              <w:right w:w="0" w:type="dxa"/>
            </w:tcMar>
            <w:vAlign w:val="center"/>
          </w:tcPr>
          <w:p w14:paraId="49274342" w14:textId="77777777" w:rsidR="009103CC" w:rsidRPr="001814D2" w:rsidRDefault="009103CC" w:rsidP="002718DF">
            <w:pPr>
              <w:pStyle w:val="Tabletext"/>
              <w:jc w:val="right"/>
              <w:rPr>
                <w:rFonts w:cs="Preston"/>
                <w:szCs w:val="18"/>
              </w:rPr>
            </w:pPr>
            <w:r w:rsidRPr="001814D2">
              <w:rPr>
                <w:rFonts w:cs="Preston"/>
                <w:szCs w:val="18"/>
              </w:rPr>
              <w:t>-</w:t>
            </w:r>
          </w:p>
        </w:tc>
        <w:tc>
          <w:tcPr>
            <w:tcW w:w="689" w:type="pct"/>
            <w:tcMar>
              <w:top w:w="0" w:type="dxa"/>
              <w:left w:w="0" w:type="dxa"/>
              <w:bottom w:w="0" w:type="dxa"/>
              <w:right w:w="0" w:type="dxa"/>
            </w:tcMar>
            <w:vAlign w:val="center"/>
          </w:tcPr>
          <w:p w14:paraId="024C2946" w14:textId="77777777" w:rsidR="009103CC" w:rsidRPr="001814D2" w:rsidRDefault="009103CC" w:rsidP="002718DF">
            <w:pPr>
              <w:pStyle w:val="Tabletext"/>
              <w:jc w:val="right"/>
              <w:rPr>
                <w:rFonts w:cs="Preston"/>
                <w:szCs w:val="18"/>
              </w:rPr>
            </w:pPr>
            <w:r w:rsidRPr="001814D2">
              <w:rPr>
                <w:rFonts w:cs="Preston"/>
                <w:szCs w:val="18"/>
              </w:rPr>
              <w:t>146,163</w:t>
            </w:r>
          </w:p>
        </w:tc>
        <w:tc>
          <w:tcPr>
            <w:tcW w:w="689" w:type="pct"/>
            <w:tcMar>
              <w:top w:w="0" w:type="dxa"/>
              <w:left w:w="0" w:type="dxa"/>
              <w:bottom w:w="0" w:type="dxa"/>
              <w:right w:w="0" w:type="dxa"/>
            </w:tcMar>
            <w:vAlign w:val="center"/>
          </w:tcPr>
          <w:p w14:paraId="3ED8244B" w14:textId="77777777" w:rsidR="009103CC" w:rsidRPr="001814D2" w:rsidRDefault="009103CC" w:rsidP="002718DF">
            <w:pPr>
              <w:pStyle w:val="Tabletext"/>
              <w:jc w:val="right"/>
              <w:rPr>
                <w:rFonts w:cs="Preston"/>
                <w:szCs w:val="18"/>
              </w:rPr>
            </w:pPr>
            <w:r w:rsidRPr="001814D2">
              <w:rPr>
                <w:rFonts w:cs="Preston"/>
                <w:szCs w:val="18"/>
              </w:rPr>
              <w:t>146,163</w:t>
            </w:r>
          </w:p>
        </w:tc>
        <w:tc>
          <w:tcPr>
            <w:tcW w:w="689" w:type="pct"/>
            <w:tcMar>
              <w:top w:w="0" w:type="dxa"/>
              <w:left w:w="0" w:type="dxa"/>
              <w:bottom w:w="0" w:type="dxa"/>
              <w:right w:w="0" w:type="dxa"/>
            </w:tcMar>
            <w:vAlign w:val="center"/>
          </w:tcPr>
          <w:p w14:paraId="04F51E21" w14:textId="77777777" w:rsidR="009103CC" w:rsidRPr="001814D2" w:rsidRDefault="009103CC" w:rsidP="002718DF">
            <w:pPr>
              <w:pStyle w:val="Tabletext"/>
              <w:jc w:val="right"/>
              <w:rPr>
                <w:rFonts w:cs="Preston"/>
                <w:szCs w:val="18"/>
              </w:rPr>
            </w:pPr>
            <w:r w:rsidRPr="001814D2">
              <w:rPr>
                <w:rFonts w:cs="Preston"/>
                <w:szCs w:val="18"/>
              </w:rPr>
              <w:t>-</w:t>
            </w:r>
          </w:p>
        </w:tc>
        <w:tc>
          <w:tcPr>
            <w:tcW w:w="689" w:type="pct"/>
            <w:tcMar>
              <w:top w:w="0" w:type="dxa"/>
              <w:left w:w="0" w:type="dxa"/>
              <w:bottom w:w="0" w:type="dxa"/>
              <w:right w:w="0" w:type="dxa"/>
            </w:tcMar>
            <w:vAlign w:val="center"/>
          </w:tcPr>
          <w:p w14:paraId="4A918A0A" w14:textId="77777777" w:rsidR="009103CC" w:rsidRPr="001814D2" w:rsidRDefault="009103CC" w:rsidP="002718DF">
            <w:pPr>
              <w:pStyle w:val="Tabletext"/>
              <w:jc w:val="right"/>
              <w:rPr>
                <w:rFonts w:cs="Preston"/>
                <w:szCs w:val="18"/>
              </w:rPr>
            </w:pPr>
            <w:r w:rsidRPr="001814D2">
              <w:rPr>
                <w:rFonts w:cs="Preston"/>
                <w:szCs w:val="18"/>
              </w:rPr>
              <w:t>146,163</w:t>
            </w:r>
          </w:p>
        </w:tc>
        <w:tc>
          <w:tcPr>
            <w:tcW w:w="689" w:type="pct"/>
            <w:tcMar>
              <w:top w:w="0" w:type="dxa"/>
              <w:left w:w="0" w:type="dxa"/>
              <w:bottom w:w="0" w:type="dxa"/>
              <w:right w:w="0" w:type="dxa"/>
            </w:tcMar>
            <w:vAlign w:val="center"/>
          </w:tcPr>
          <w:p w14:paraId="4C69885C" w14:textId="77777777" w:rsidR="009103CC" w:rsidRPr="001814D2" w:rsidRDefault="009103CC" w:rsidP="002718DF">
            <w:pPr>
              <w:pStyle w:val="Tabletext"/>
              <w:jc w:val="right"/>
              <w:rPr>
                <w:rFonts w:cs="Preston"/>
                <w:szCs w:val="18"/>
              </w:rPr>
            </w:pPr>
            <w:r w:rsidRPr="001814D2">
              <w:rPr>
                <w:rFonts w:cs="Preston"/>
                <w:szCs w:val="18"/>
              </w:rPr>
              <w:t>146,163</w:t>
            </w:r>
          </w:p>
        </w:tc>
      </w:tr>
      <w:tr w:rsidR="009103CC" w:rsidRPr="001814D2" w14:paraId="172878F0" w14:textId="77777777" w:rsidTr="002718DF">
        <w:trPr>
          <w:cantSplit/>
          <w:trHeight w:val="170"/>
        </w:trPr>
        <w:tc>
          <w:tcPr>
            <w:tcW w:w="868" w:type="pct"/>
            <w:tcMar>
              <w:top w:w="0" w:type="dxa"/>
              <w:left w:w="0" w:type="dxa"/>
              <w:bottom w:w="0" w:type="dxa"/>
              <w:right w:w="0" w:type="dxa"/>
            </w:tcMar>
            <w:vAlign w:val="center"/>
          </w:tcPr>
          <w:p w14:paraId="4864F912" w14:textId="77777777" w:rsidR="009103CC" w:rsidRPr="001814D2" w:rsidRDefault="009103CC" w:rsidP="002718DF">
            <w:pPr>
              <w:pStyle w:val="Tabletext"/>
            </w:pPr>
            <w:r w:rsidRPr="001814D2">
              <w:t>Philanthropy</w:t>
            </w:r>
          </w:p>
        </w:tc>
        <w:tc>
          <w:tcPr>
            <w:tcW w:w="689" w:type="pct"/>
            <w:tcMar>
              <w:top w:w="0" w:type="dxa"/>
              <w:left w:w="0" w:type="dxa"/>
              <w:bottom w:w="0" w:type="dxa"/>
              <w:right w:w="0" w:type="dxa"/>
            </w:tcMar>
            <w:vAlign w:val="center"/>
          </w:tcPr>
          <w:p w14:paraId="64B40FD6" w14:textId="77777777" w:rsidR="009103CC" w:rsidRPr="001814D2" w:rsidRDefault="009103CC" w:rsidP="002718DF">
            <w:pPr>
              <w:pStyle w:val="Tabletext"/>
              <w:jc w:val="right"/>
              <w:rPr>
                <w:rFonts w:cs="Preston"/>
                <w:szCs w:val="18"/>
              </w:rPr>
            </w:pPr>
            <w:r w:rsidRPr="001814D2">
              <w:rPr>
                <w:rFonts w:cs="Preston"/>
                <w:szCs w:val="18"/>
              </w:rPr>
              <w:t>-</w:t>
            </w:r>
          </w:p>
        </w:tc>
        <w:tc>
          <w:tcPr>
            <w:tcW w:w="689" w:type="pct"/>
            <w:tcMar>
              <w:top w:w="0" w:type="dxa"/>
              <w:left w:w="0" w:type="dxa"/>
              <w:bottom w:w="0" w:type="dxa"/>
              <w:right w:w="0" w:type="dxa"/>
            </w:tcMar>
            <w:vAlign w:val="center"/>
          </w:tcPr>
          <w:p w14:paraId="6AD07EF3" w14:textId="77777777" w:rsidR="009103CC" w:rsidRPr="001814D2" w:rsidRDefault="009103CC" w:rsidP="002718DF">
            <w:pPr>
              <w:pStyle w:val="Tabletext"/>
              <w:jc w:val="right"/>
              <w:rPr>
                <w:rFonts w:cs="Preston"/>
                <w:szCs w:val="18"/>
              </w:rPr>
            </w:pPr>
            <w:r w:rsidRPr="001814D2">
              <w:rPr>
                <w:rFonts w:cs="Preston"/>
                <w:szCs w:val="18"/>
              </w:rPr>
              <w:t>39,729</w:t>
            </w:r>
          </w:p>
        </w:tc>
        <w:tc>
          <w:tcPr>
            <w:tcW w:w="689" w:type="pct"/>
            <w:tcMar>
              <w:top w:w="0" w:type="dxa"/>
              <w:left w:w="0" w:type="dxa"/>
              <w:bottom w:w="0" w:type="dxa"/>
              <w:right w:w="0" w:type="dxa"/>
            </w:tcMar>
            <w:vAlign w:val="center"/>
          </w:tcPr>
          <w:p w14:paraId="5BA313EE" w14:textId="77777777" w:rsidR="009103CC" w:rsidRPr="001814D2" w:rsidRDefault="009103CC" w:rsidP="002718DF">
            <w:pPr>
              <w:pStyle w:val="Tabletext"/>
              <w:jc w:val="right"/>
              <w:rPr>
                <w:rFonts w:cs="Preston"/>
                <w:szCs w:val="18"/>
              </w:rPr>
            </w:pPr>
            <w:r w:rsidRPr="001814D2">
              <w:rPr>
                <w:rFonts w:cs="Preston"/>
                <w:szCs w:val="18"/>
              </w:rPr>
              <w:t>39,729</w:t>
            </w:r>
          </w:p>
        </w:tc>
        <w:tc>
          <w:tcPr>
            <w:tcW w:w="689" w:type="pct"/>
            <w:tcMar>
              <w:top w:w="0" w:type="dxa"/>
              <w:left w:w="0" w:type="dxa"/>
              <w:bottom w:w="0" w:type="dxa"/>
              <w:right w:w="0" w:type="dxa"/>
            </w:tcMar>
            <w:vAlign w:val="center"/>
          </w:tcPr>
          <w:p w14:paraId="1A4081C8" w14:textId="77777777" w:rsidR="009103CC" w:rsidRPr="001814D2" w:rsidRDefault="009103CC" w:rsidP="002718DF">
            <w:pPr>
              <w:pStyle w:val="Tabletext"/>
              <w:jc w:val="right"/>
              <w:rPr>
                <w:rFonts w:cs="Preston"/>
                <w:szCs w:val="18"/>
              </w:rPr>
            </w:pPr>
            <w:r w:rsidRPr="001814D2">
              <w:rPr>
                <w:rFonts w:cs="Preston"/>
                <w:szCs w:val="18"/>
              </w:rPr>
              <w:t>-</w:t>
            </w:r>
          </w:p>
        </w:tc>
        <w:tc>
          <w:tcPr>
            <w:tcW w:w="689" w:type="pct"/>
            <w:tcMar>
              <w:top w:w="0" w:type="dxa"/>
              <w:left w:w="0" w:type="dxa"/>
              <w:bottom w:w="0" w:type="dxa"/>
              <w:right w:w="0" w:type="dxa"/>
            </w:tcMar>
            <w:vAlign w:val="center"/>
          </w:tcPr>
          <w:p w14:paraId="37BF93D9" w14:textId="77777777" w:rsidR="009103CC" w:rsidRPr="001814D2" w:rsidRDefault="009103CC" w:rsidP="002718DF">
            <w:pPr>
              <w:pStyle w:val="Tabletext"/>
              <w:jc w:val="right"/>
              <w:rPr>
                <w:rFonts w:cs="Preston"/>
                <w:szCs w:val="18"/>
              </w:rPr>
            </w:pPr>
            <w:r w:rsidRPr="001814D2">
              <w:rPr>
                <w:rFonts w:cs="Preston"/>
                <w:szCs w:val="18"/>
              </w:rPr>
              <w:t>39,581</w:t>
            </w:r>
          </w:p>
        </w:tc>
        <w:tc>
          <w:tcPr>
            <w:tcW w:w="689" w:type="pct"/>
            <w:tcMar>
              <w:top w:w="0" w:type="dxa"/>
              <w:left w:w="0" w:type="dxa"/>
              <w:bottom w:w="0" w:type="dxa"/>
              <w:right w:w="0" w:type="dxa"/>
            </w:tcMar>
            <w:vAlign w:val="center"/>
          </w:tcPr>
          <w:p w14:paraId="4B97BC88" w14:textId="77777777" w:rsidR="009103CC" w:rsidRPr="001814D2" w:rsidRDefault="009103CC" w:rsidP="002718DF">
            <w:pPr>
              <w:pStyle w:val="Tabletext"/>
              <w:jc w:val="right"/>
              <w:rPr>
                <w:rFonts w:cs="Preston"/>
                <w:szCs w:val="18"/>
              </w:rPr>
            </w:pPr>
            <w:r w:rsidRPr="001814D2">
              <w:rPr>
                <w:rFonts w:cs="Preston"/>
                <w:szCs w:val="18"/>
              </w:rPr>
              <w:t>39,581</w:t>
            </w:r>
          </w:p>
        </w:tc>
      </w:tr>
      <w:tr w:rsidR="009103CC" w:rsidRPr="001814D2" w14:paraId="784DFA9C" w14:textId="77777777" w:rsidTr="002718DF">
        <w:trPr>
          <w:cantSplit/>
          <w:trHeight w:val="170"/>
        </w:trPr>
        <w:tc>
          <w:tcPr>
            <w:tcW w:w="868" w:type="pct"/>
            <w:tcMar>
              <w:top w:w="0" w:type="dxa"/>
              <w:left w:w="0" w:type="dxa"/>
              <w:bottom w:w="0" w:type="dxa"/>
              <w:right w:w="0" w:type="dxa"/>
            </w:tcMar>
            <w:vAlign w:val="center"/>
          </w:tcPr>
          <w:p w14:paraId="06B44643" w14:textId="77777777" w:rsidR="009103CC" w:rsidRPr="001814D2" w:rsidRDefault="009103CC" w:rsidP="002718DF">
            <w:pPr>
              <w:pStyle w:val="Tabletext"/>
            </w:pPr>
            <w:r w:rsidRPr="001814D2">
              <w:t xml:space="preserve">Corporate </w:t>
            </w:r>
            <w:r w:rsidRPr="001814D2">
              <w:br/>
              <w:t>sponsorship</w:t>
            </w:r>
          </w:p>
        </w:tc>
        <w:tc>
          <w:tcPr>
            <w:tcW w:w="689" w:type="pct"/>
            <w:tcMar>
              <w:top w:w="0" w:type="dxa"/>
              <w:left w:w="0" w:type="dxa"/>
              <w:bottom w:w="0" w:type="dxa"/>
              <w:right w:w="0" w:type="dxa"/>
            </w:tcMar>
            <w:vAlign w:val="center"/>
          </w:tcPr>
          <w:p w14:paraId="4CF83F39" w14:textId="77777777" w:rsidR="009103CC" w:rsidRPr="001814D2" w:rsidRDefault="009103CC" w:rsidP="002718DF">
            <w:pPr>
              <w:pStyle w:val="Tabletext"/>
              <w:jc w:val="right"/>
              <w:rPr>
                <w:rFonts w:cs="Preston"/>
                <w:szCs w:val="18"/>
              </w:rPr>
            </w:pPr>
            <w:r w:rsidRPr="001814D2">
              <w:rPr>
                <w:rFonts w:cs="Preston"/>
                <w:szCs w:val="18"/>
              </w:rPr>
              <w:t>-</w:t>
            </w:r>
          </w:p>
          <w:p w14:paraId="6A9E411A" w14:textId="77777777" w:rsidR="009103CC" w:rsidRPr="001814D2" w:rsidRDefault="009103CC" w:rsidP="002718DF">
            <w:pPr>
              <w:pStyle w:val="Tabletext"/>
              <w:jc w:val="right"/>
              <w:rPr>
                <w:rFonts w:cs="Preston"/>
                <w:szCs w:val="18"/>
              </w:rPr>
            </w:pPr>
          </w:p>
        </w:tc>
        <w:tc>
          <w:tcPr>
            <w:tcW w:w="689" w:type="pct"/>
            <w:tcMar>
              <w:top w:w="0" w:type="dxa"/>
              <w:left w:w="0" w:type="dxa"/>
              <w:bottom w:w="0" w:type="dxa"/>
              <w:right w:w="0" w:type="dxa"/>
            </w:tcMar>
            <w:vAlign w:val="center"/>
          </w:tcPr>
          <w:p w14:paraId="543462A7" w14:textId="77777777" w:rsidR="009103CC" w:rsidRPr="001814D2" w:rsidRDefault="009103CC" w:rsidP="002718DF">
            <w:pPr>
              <w:pStyle w:val="Tabletext"/>
              <w:jc w:val="right"/>
              <w:rPr>
                <w:rFonts w:cs="Preston"/>
                <w:szCs w:val="18"/>
              </w:rPr>
            </w:pPr>
            <w:r w:rsidRPr="001814D2">
              <w:rPr>
                <w:rFonts w:cs="Preston"/>
                <w:szCs w:val="18"/>
              </w:rPr>
              <w:t>3,722</w:t>
            </w:r>
          </w:p>
          <w:p w14:paraId="78B98332" w14:textId="77777777" w:rsidR="009103CC" w:rsidRPr="001814D2" w:rsidRDefault="009103CC" w:rsidP="002718DF">
            <w:pPr>
              <w:pStyle w:val="Tabletext"/>
              <w:jc w:val="right"/>
              <w:rPr>
                <w:rFonts w:cs="Preston"/>
                <w:szCs w:val="18"/>
              </w:rPr>
            </w:pPr>
          </w:p>
        </w:tc>
        <w:tc>
          <w:tcPr>
            <w:tcW w:w="689" w:type="pct"/>
            <w:tcMar>
              <w:top w:w="0" w:type="dxa"/>
              <w:left w:w="0" w:type="dxa"/>
              <w:bottom w:w="0" w:type="dxa"/>
              <w:right w:w="0" w:type="dxa"/>
            </w:tcMar>
            <w:vAlign w:val="center"/>
          </w:tcPr>
          <w:p w14:paraId="7FEB0FE5" w14:textId="77777777" w:rsidR="009103CC" w:rsidRPr="001814D2" w:rsidRDefault="009103CC" w:rsidP="002718DF">
            <w:pPr>
              <w:pStyle w:val="Tabletext"/>
              <w:jc w:val="right"/>
              <w:rPr>
                <w:rFonts w:cs="Preston"/>
                <w:szCs w:val="18"/>
              </w:rPr>
            </w:pPr>
            <w:r w:rsidRPr="001814D2">
              <w:rPr>
                <w:rFonts w:cs="Preston"/>
                <w:szCs w:val="18"/>
              </w:rPr>
              <w:t>3,722</w:t>
            </w:r>
          </w:p>
          <w:p w14:paraId="77CDB268" w14:textId="77777777" w:rsidR="009103CC" w:rsidRPr="001814D2" w:rsidRDefault="009103CC" w:rsidP="002718DF">
            <w:pPr>
              <w:pStyle w:val="Tabletext"/>
              <w:jc w:val="right"/>
              <w:rPr>
                <w:rFonts w:cs="Preston"/>
                <w:szCs w:val="18"/>
              </w:rPr>
            </w:pPr>
          </w:p>
        </w:tc>
        <w:tc>
          <w:tcPr>
            <w:tcW w:w="689" w:type="pct"/>
            <w:tcMar>
              <w:top w:w="0" w:type="dxa"/>
              <w:left w:w="0" w:type="dxa"/>
              <w:bottom w:w="0" w:type="dxa"/>
              <w:right w:w="0" w:type="dxa"/>
            </w:tcMar>
            <w:vAlign w:val="center"/>
          </w:tcPr>
          <w:p w14:paraId="2942477A" w14:textId="77777777" w:rsidR="009103CC" w:rsidRPr="001814D2" w:rsidRDefault="009103CC" w:rsidP="002718DF">
            <w:pPr>
              <w:pStyle w:val="Tabletext"/>
              <w:jc w:val="right"/>
              <w:rPr>
                <w:rFonts w:cs="Preston"/>
                <w:szCs w:val="18"/>
              </w:rPr>
            </w:pPr>
            <w:r w:rsidRPr="001814D2">
              <w:rPr>
                <w:rFonts w:cs="Preston"/>
                <w:szCs w:val="18"/>
              </w:rPr>
              <w:t>-</w:t>
            </w:r>
          </w:p>
          <w:p w14:paraId="6EBCEB5C" w14:textId="77777777" w:rsidR="009103CC" w:rsidRPr="001814D2" w:rsidRDefault="009103CC" w:rsidP="002718DF">
            <w:pPr>
              <w:pStyle w:val="Tabletext"/>
              <w:jc w:val="right"/>
              <w:rPr>
                <w:rFonts w:cs="Preston"/>
                <w:szCs w:val="18"/>
              </w:rPr>
            </w:pPr>
          </w:p>
        </w:tc>
        <w:tc>
          <w:tcPr>
            <w:tcW w:w="689" w:type="pct"/>
            <w:tcMar>
              <w:top w:w="0" w:type="dxa"/>
              <w:left w:w="0" w:type="dxa"/>
              <w:bottom w:w="0" w:type="dxa"/>
              <w:right w:w="0" w:type="dxa"/>
            </w:tcMar>
            <w:vAlign w:val="center"/>
          </w:tcPr>
          <w:p w14:paraId="609E12AB" w14:textId="77777777" w:rsidR="009103CC" w:rsidRPr="001814D2" w:rsidRDefault="009103CC" w:rsidP="002718DF">
            <w:pPr>
              <w:pStyle w:val="Tabletext"/>
              <w:jc w:val="right"/>
              <w:rPr>
                <w:rFonts w:cs="Preston"/>
                <w:szCs w:val="18"/>
              </w:rPr>
            </w:pPr>
            <w:r w:rsidRPr="001814D2">
              <w:rPr>
                <w:rFonts w:cs="Preston"/>
                <w:szCs w:val="18"/>
              </w:rPr>
              <w:t>3,722</w:t>
            </w:r>
          </w:p>
          <w:p w14:paraId="2B3F19D7" w14:textId="77777777" w:rsidR="009103CC" w:rsidRPr="001814D2" w:rsidRDefault="009103CC" w:rsidP="002718DF">
            <w:pPr>
              <w:pStyle w:val="Tabletext"/>
              <w:jc w:val="right"/>
              <w:rPr>
                <w:rFonts w:cs="Preston"/>
                <w:szCs w:val="18"/>
              </w:rPr>
            </w:pPr>
          </w:p>
        </w:tc>
        <w:tc>
          <w:tcPr>
            <w:tcW w:w="689" w:type="pct"/>
            <w:tcMar>
              <w:top w:w="0" w:type="dxa"/>
              <w:left w:w="0" w:type="dxa"/>
              <w:bottom w:w="0" w:type="dxa"/>
              <w:right w:w="0" w:type="dxa"/>
            </w:tcMar>
            <w:vAlign w:val="center"/>
          </w:tcPr>
          <w:p w14:paraId="2ECF2047" w14:textId="77777777" w:rsidR="009103CC" w:rsidRPr="001814D2" w:rsidRDefault="009103CC" w:rsidP="002718DF">
            <w:pPr>
              <w:pStyle w:val="Tabletext"/>
              <w:jc w:val="right"/>
              <w:rPr>
                <w:rFonts w:cs="Preston"/>
                <w:szCs w:val="18"/>
              </w:rPr>
            </w:pPr>
            <w:r w:rsidRPr="001814D2">
              <w:rPr>
                <w:rFonts w:cs="Preston"/>
                <w:szCs w:val="18"/>
              </w:rPr>
              <w:t>3,722</w:t>
            </w:r>
          </w:p>
          <w:p w14:paraId="5B160F18" w14:textId="77777777" w:rsidR="009103CC" w:rsidRPr="001814D2" w:rsidRDefault="009103CC" w:rsidP="002718DF">
            <w:pPr>
              <w:pStyle w:val="Tabletext"/>
              <w:jc w:val="right"/>
              <w:rPr>
                <w:rFonts w:cs="Preston"/>
                <w:szCs w:val="18"/>
              </w:rPr>
            </w:pPr>
          </w:p>
        </w:tc>
      </w:tr>
      <w:tr w:rsidR="009103CC" w:rsidRPr="001814D2" w14:paraId="297CC8B4" w14:textId="77777777" w:rsidTr="002718DF">
        <w:trPr>
          <w:cantSplit/>
          <w:trHeight w:val="170"/>
        </w:trPr>
        <w:tc>
          <w:tcPr>
            <w:tcW w:w="868" w:type="pct"/>
            <w:tcBorders>
              <w:bottom w:val="single" w:sz="4" w:space="0" w:color="auto"/>
            </w:tcBorders>
            <w:tcMar>
              <w:top w:w="0" w:type="dxa"/>
              <w:left w:w="0" w:type="dxa"/>
              <w:bottom w:w="0" w:type="dxa"/>
              <w:right w:w="0" w:type="dxa"/>
            </w:tcMar>
            <w:vAlign w:val="center"/>
          </w:tcPr>
          <w:p w14:paraId="62942C47" w14:textId="77777777" w:rsidR="009103CC" w:rsidRPr="001814D2" w:rsidRDefault="009103CC" w:rsidP="002718DF">
            <w:pPr>
              <w:pStyle w:val="Tabletext"/>
            </w:pPr>
            <w:r w:rsidRPr="001814D2">
              <w:t>Other</w:t>
            </w:r>
          </w:p>
        </w:tc>
        <w:tc>
          <w:tcPr>
            <w:tcW w:w="689" w:type="pct"/>
            <w:tcBorders>
              <w:bottom w:val="single" w:sz="4" w:space="0" w:color="auto"/>
            </w:tcBorders>
            <w:tcMar>
              <w:top w:w="0" w:type="dxa"/>
              <w:left w:w="0" w:type="dxa"/>
              <w:bottom w:w="0" w:type="dxa"/>
              <w:right w:w="0" w:type="dxa"/>
            </w:tcMar>
            <w:vAlign w:val="center"/>
          </w:tcPr>
          <w:p w14:paraId="69739880" w14:textId="77777777" w:rsidR="009103CC" w:rsidRPr="001814D2" w:rsidRDefault="009103CC" w:rsidP="002718DF">
            <w:pPr>
              <w:pStyle w:val="Tabletext"/>
              <w:jc w:val="right"/>
              <w:rPr>
                <w:rFonts w:cs="Preston"/>
                <w:szCs w:val="18"/>
              </w:rPr>
            </w:pPr>
            <w:r w:rsidRPr="001814D2">
              <w:rPr>
                <w:rFonts w:cs="Preston"/>
                <w:szCs w:val="18"/>
              </w:rPr>
              <w:t>7,055</w:t>
            </w:r>
          </w:p>
        </w:tc>
        <w:tc>
          <w:tcPr>
            <w:tcW w:w="689" w:type="pct"/>
            <w:tcBorders>
              <w:bottom w:val="single" w:sz="4" w:space="0" w:color="auto"/>
            </w:tcBorders>
            <w:tcMar>
              <w:top w:w="0" w:type="dxa"/>
              <w:left w:w="0" w:type="dxa"/>
              <w:bottom w:w="0" w:type="dxa"/>
              <w:right w:w="0" w:type="dxa"/>
            </w:tcMar>
            <w:vAlign w:val="center"/>
          </w:tcPr>
          <w:p w14:paraId="12AE583F" w14:textId="77777777" w:rsidR="009103CC" w:rsidRPr="001814D2" w:rsidRDefault="009103CC" w:rsidP="002718DF">
            <w:pPr>
              <w:pStyle w:val="Tabletext"/>
              <w:jc w:val="right"/>
              <w:rPr>
                <w:rFonts w:cs="Preston"/>
                <w:szCs w:val="18"/>
              </w:rPr>
            </w:pPr>
            <w:r w:rsidRPr="001814D2">
              <w:rPr>
                <w:rFonts w:cs="Preston"/>
                <w:szCs w:val="18"/>
              </w:rPr>
              <w:t>159</w:t>
            </w:r>
          </w:p>
        </w:tc>
        <w:tc>
          <w:tcPr>
            <w:tcW w:w="689" w:type="pct"/>
            <w:tcBorders>
              <w:bottom w:val="single" w:sz="4" w:space="0" w:color="auto"/>
            </w:tcBorders>
            <w:tcMar>
              <w:top w:w="0" w:type="dxa"/>
              <w:left w:w="0" w:type="dxa"/>
              <w:bottom w:w="0" w:type="dxa"/>
              <w:right w:w="0" w:type="dxa"/>
            </w:tcMar>
            <w:vAlign w:val="center"/>
          </w:tcPr>
          <w:p w14:paraId="457C1206" w14:textId="77777777" w:rsidR="009103CC" w:rsidRPr="001814D2" w:rsidRDefault="009103CC" w:rsidP="002718DF">
            <w:pPr>
              <w:pStyle w:val="Tabletext"/>
              <w:jc w:val="right"/>
              <w:rPr>
                <w:rFonts w:cs="Preston"/>
                <w:szCs w:val="18"/>
              </w:rPr>
            </w:pPr>
            <w:r w:rsidRPr="001814D2">
              <w:rPr>
                <w:rFonts w:cs="Preston"/>
                <w:szCs w:val="18"/>
              </w:rPr>
              <w:t>7,214</w:t>
            </w:r>
          </w:p>
        </w:tc>
        <w:tc>
          <w:tcPr>
            <w:tcW w:w="689" w:type="pct"/>
            <w:tcBorders>
              <w:bottom w:val="single" w:sz="4" w:space="0" w:color="auto"/>
            </w:tcBorders>
            <w:tcMar>
              <w:top w:w="0" w:type="dxa"/>
              <w:left w:w="0" w:type="dxa"/>
              <w:bottom w:w="0" w:type="dxa"/>
              <w:right w:w="0" w:type="dxa"/>
            </w:tcMar>
            <w:vAlign w:val="center"/>
          </w:tcPr>
          <w:p w14:paraId="43CC3F4E" w14:textId="77777777" w:rsidR="009103CC" w:rsidRPr="001814D2" w:rsidRDefault="009103CC" w:rsidP="002718DF">
            <w:pPr>
              <w:pStyle w:val="Tabletext"/>
              <w:jc w:val="right"/>
              <w:rPr>
                <w:rFonts w:cs="Preston"/>
                <w:szCs w:val="18"/>
              </w:rPr>
            </w:pPr>
            <w:r w:rsidRPr="001814D2">
              <w:rPr>
                <w:rFonts w:cs="Preston"/>
                <w:szCs w:val="18"/>
              </w:rPr>
              <w:t>7,055</w:t>
            </w:r>
          </w:p>
        </w:tc>
        <w:tc>
          <w:tcPr>
            <w:tcW w:w="689" w:type="pct"/>
            <w:tcBorders>
              <w:bottom w:val="single" w:sz="4" w:space="0" w:color="auto"/>
            </w:tcBorders>
            <w:tcMar>
              <w:top w:w="0" w:type="dxa"/>
              <w:left w:w="0" w:type="dxa"/>
              <w:bottom w:w="0" w:type="dxa"/>
              <w:right w:w="0" w:type="dxa"/>
            </w:tcMar>
            <w:vAlign w:val="center"/>
          </w:tcPr>
          <w:p w14:paraId="0DA565FC" w14:textId="77777777" w:rsidR="009103CC" w:rsidRPr="001814D2" w:rsidRDefault="009103CC" w:rsidP="002718DF">
            <w:pPr>
              <w:pStyle w:val="Tabletext"/>
              <w:jc w:val="right"/>
              <w:rPr>
                <w:rFonts w:cs="Preston"/>
                <w:szCs w:val="18"/>
              </w:rPr>
            </w:pPr>
            <w:r w:rsidRPr="001814D2">
              <w:rPr>
                <w:rFonts w:cs="Preston"/>
                <w:szCs w:val="18"/>
              </w:rPr>
              <w:t>159</w:t>
            </w:r>
          </w:p>
        </w:tc>
        <w:tc>
          <w:tcPr>
            <w:tcW w:w="689" w:type="pct"/>
            <w:tcBorders>
              <w:bottom w:val="single" w:sz="4" w:space="0" w:color="auto"/>
            </w:tcBorders>
            <w:tcMar>
              <w:top w:w="0" w:type="dxa"/>
              <w:left w:w="0" w:type="dxa"/>
              <w:bottom w:w="0" w:type="dxa"/>
              <w:right w:w="0" w:type="dxa"/>
            </w:tcMar>
            <w:vAlign w:val="center"/>
          </w:tcPr>
          <w:p w14:paraId="1D463570" w14:textId="77777777" w:rsidR="009103CC" w:rsidRPr="001814D2" w:rsidRDefault="009103CC" w:rsidP="002718DF">
            <w:pPr>
              <w:pStyle w:val="Tabletext"/>
              <w:jc w:val="right"/>
              <w:rPr>
                <w:rFonts w:cs="Preston"/>
                <w:szCs w:val="18"/>
              </w:rPr>
            </w:pPr>
            <w:r w:rsidRPr="001814D2">
              <w:rPr>
                <w:rFonts w:cs="Preston"/>
                <w:szCs w:val="18"/>
              </w:rPr>
              <w:t>7,214</w:t>
            </w:r>
          </w:p>
        </w:tc>
      </w:tr>
      <w:tr w:rsidR="009103CC" w:rsidRPr="001814D2" w14:paraId="49E1B8E8" w14:textId="77777777" w:rsidTr="002718DF">
        <w:trPr>
          <w:cantSplit/>
          <w:trHeight w:val="170"/>
        </w:trPr>
        <w:tc>
          <w:tcPr>
            <w:tcW w:w="868" w:type="pct"/>
            <w:tcBorders>
              <w:top w:val="single" w:sz="4" w:space="0" w:color="auto"/>
              <w:bottom w:val="single" w:sz="4" w:space="0" w:color="auto"/>
            </w:tcBorders>
            <w:tcMar>
              <w:top w:w="0" w:type="dxa"/>
              <w:left w:w="0" w:type="dxa"/>
              <w:bottom w:w="0" w:type="dxa"/>
              <w:right w:w="0" w:type="dxa"/>
            </w:tcMar>
            <w:vAlign w:val="center"/>
          </w:tcPr>
          <w:p w14:paraId="332C7204" w14:textId="77777777" w:rsidR="009103CC" w:rsidRPr="001814D2" w:rsidRDefault="009103CC" w:rsidP="002718DF">
            <w:pPr>
              <w:pStyle w:val="Tabletext"/>
            </w:pPr>
          </w:p>
        </w:tc>
        <w:tc>
          <w:tcPr>
            <w:tcW w:w="689" w:type="pct"/>
            <w:tcBorders>
              <w:top w:val="single" w:sz="4" w:space="0" w:color="auto"/>
              <w:bottom w:val="single" w:sz="4" w:space="0" w:color="auto"/>
            </w:tcBorders>
            <w:tcMar>
              <w:top w:w="0" w:type="dxa"/>
              <w:left w:w="0" w:type="dxa"/>
              <w:bottom w:w="0" w:type="dxa"/>
              <w:right w:w="0" w:type="dxa"/>
            </w:tcMar>
            <w:vAlign w:val="center"/>
          </w:tcPr>
          <w:p w14:paraId="4B1EC803" w14:textId="77777777" w:rsidR="009103CC" w:rsidRPr="001814D2" w:rsidRDefault="009103CC" w:rsidP="002718DF">
            <w:pPr>
              <w:pStyle w:val="Tabletext"/>
              <w:jc w:val="right"/>
              <w:rPr>
                <w:rFonts w:cs="Preston"/>
                <w:szCs w:val="18"/>
              </w:rPr>
            </w:pPr>
            <w:r w:rsidRPr="001814D2">
              <w:rPr>
                <w:rFonts w:cs="Preston"/>
                <w:szCs w:val="18"/>
              </w:rPr>
              <w:t>7,055</w:t>
            </w:r>
          </w:p>
        </w:tc>
        <w:tc>
          <w:tcPr>
            <w:tcW w:w="689" w:type="pct"/>
            <w:tcBorders>
              <w:top w:val="single" w:sz="4" w:space="0" w:color="auto"/>
              <w:bottom w:val="single" w:sz="4" w:space="0" w:color="auto"/>
            </w:tcBorders>
            <w:tcMar>
              <w:top w:w="0" w:type="dxa"/>
              <w:left w:w="0" w:type="dxa"/>
              <w:bottom w:w="0" w:type="dxa"/>
              <w:right w:w="0" w:type="dxa"/>
            </w:tcMar>
            <w:vAlign w:val="center"/>
          </w:tcPr>
          <w:p w14:paraId="76EBFCA5" w14:textId="77777777" w:rsidR="009103CC" w:rsidRPr="001814D2" w:rsidRDefault="009103CC" w:rsidP="002718DF">
            <w:pPr>
              <w:pStyle w:val="Tabletext"/>
              <w:jc w:val="right"/>
              <w:rPr>
                <w:rFonts w:cs="Preston"/>
                <w:szCs w:val="18"/>
              </w:rPr>
            </w:pPr>
            <w:r w:rsidRPr="001814D2">
              <w:rPr>
                <w:rFonts w:cs="Preston"/>
                <w:szCs w:val="18"/>
              </w:rPr>
              <w:t>189,773</w:t>
            </w:r>
          </w:p>
        </w:tc>
        <w:tc>
          <w:tcPr>
            <w:tcW w:w="689" w:type="pct"/>
            <w:tcBorders>
              <w:top w:val="single" w:sz="4" w:space="0" w:color="auto"/>
              <w:bottom w:val="single" w:sz="4" w:space="0" w:color="auto"/>
            </w:tcBorders>
            <w:tcMar>
              <w:top w:w="0" w:type="dxa"/>
              <w:left w:w="0" w:type="dxa"/>
              <w:bottom w:w="0" w:type="dxa"/>
              <w:right w:w="0" w:type="dxa"/>
            </w:tcMar>
            <w:vAlign w:val="center"/>
          </w:tcPr>
          <w:p w14:paraId="564832D0" w14:textId="77777777" w:rsidR="009103CC" w:rsidRPr="001814D2" w:rsidRDefault="009103CC" w:rsidP="002718DF">
            <w:pPr>
              <w:pStyle w:val="Tabletext"/>
              <w:jc w:val="right"/>
              <w:rPr>
                <w:rFonts w:cs="Preston"/>
                <w:szCs w:val="18"/>
              </w:rPr>
            </w:pPr>
            <w:r w:rsidRPr="001814D2">
              <w:rPr>
                <w:rFonts w:cs="Preston"/>
                <w:szCs w:val="18"/>
              </w:rPr>
              <w:t>196,828</w:t>
            </w:r>
          </w:p>
        </w:tc>
        <w:tc>
          <w:tcPr>
            <w:tcW w:w="689" w:type="pct"/>
            <w:tcBorders>
              <w:top w:val="single" w:sz="4" w:space="0" w:color="auto"/>
              <w:bottom w:val="single" w:sz="4" w:space="0" w:color="auto"/>
            </w:tcBorders>
            <w:tcMar>
              <w:top w:w="0" w:type="dxa"/>
              <w:left w:w="0" w:type="dxa"/>
              <w:bottom w:w="0" w:type="dxa"/>
              <w:right w:w="0" w:type="dxa"/>
            </w:tcMar>
            <w:vAlign w:val="center"/>
          </w:tcPr>
          <w:p w14:paraId="2AD22C8E" w14:textId="77777777" w:rsidR="009103CC" w:rsidRPr="001814D2" w:rsidRDefault="009103CC" w:rsidP="002718DF">
            <w:pPr>
              <w:pStyle w:val="Tabletext"/>
              <w:jc w:val="right"/>
              <w:rPr>
                <w:rFonts w:cs="Preston"/>
                <w:szCs w:val="18"/>
              </w:rPr>
            </w:pPr>
            <w:r w:rsidRPr="001814D2">
              <w:rPr>
                <w:rFonts w:cs="Preston"/>
                <w:szCs w:val="18"/>
              </w:rPr>
              <w:t>7,055</w:t>
            </w:r>
          </w:p>
        </w:tc>
        <w:tc>
          <w:tcPr>
            <w:tcW w:w="689" w:type="pct"/>
            <w:tcBorders>
              <w:top w:val="single" w:sz="4" w:space="0" w:color="auto"/>
              <w:bottom w:val="single" w:sz="4" w:space="0" w:color="auto"/>
            </w:tcBorders>
            <w:tcMar>
              <w:top w:w="0" w:type="dxa"/>
              <w:left w:w="0" w:type="dxa"/>
              <w:bottom w:w="0" w:type="dxa"/>
              <w:right w:w="0" w:type="dxa"/>
            </w:tcMar>
            <w:vAlign w:val="center"/>
          </w:tcPr>
          <w:p w14:paraId="5C041901" w14:textId="77777777" w:rsidR="009103CC" w:rsidRPr="001814D2" w:rsidRDefault="009103CC" w:rsidP="002718DF">
            <w:pPr>
              <w:pStyle w:val="Tabletext"/>
              <w:jc w:val="right"/>
              <w:rPr>
                <w:rFonts w:cs="Preston"/>
                <w:szCs w:val="18"/>
              </w:rPr>
            </w:pPr>
            <w:r w:rsidRPr="001814D2">
              <w:rPr>
                <w:rFonts w:cs="Preston"/>
                <w:szCs w:val="18"/>
              </w:rPr>
              <w:t>189,625</w:t>
            </w:r>
          </w:p>
        </w:tc>
        <w:tc>
          <w:tcPr>
            <w:tcW w:w="689" w:type="pct"/>
            <w:tcBorders>
              <w:top w:val="single" w:sz="4" w:space="0" w:color="auto"/>
              <w:bottom w:val="single" w:sz="4" w:space="0" w:color="auto"/>
            </w:tcBorders>
            <w:tcMar>
              <w:top w:w="0" w:type="dxa"/>
              <w:left w:w="0" w:type="dxa"/>
              <w:bottom w:w="0" w:type="dxa"/>
              <w:right w:w="0" w:type="dxa"/>
            </w:tcMar>
            <w:vAlign w:val="center"/>
          </w:tcPr>
          <w:p w14:paraId="244017E7" w14:textId="77777777" w:rsidR="009103CC" w:rsidRPr="001814D2" w:rsidRDefault="009103CC" w:rsidP="002718DF">
            <w:pPr>
              <w:pStyle w:val="Tabletext"/>
              <w:jc w:val="right"/>
              <w:rPr>
                <w:rFonts w:cs="Preston"/>
                <w:szCs w:val="18"/>
              </w:rPr>
            </w:pPr>
            <w:r w:rsidRPr="001814D2">
              <w:rPr>
                <w:rFonts w:cs="Preston"/>
                <w:szCs w:val="18"/>
              </w:rPr>
              <w:t>196,680</w:t>
            </w:r>
          </w:p>
        </w:tc>
      </w:tr>
    </w:tbl>
    <w:p w14:paraId="737F7AC3" w14:textId="77777777" w:rsidR="009103CC" w:rsidRDefault="009103CC" w:rsidP="009103CC">
      <w:pPr>
        <w:pStyle w:val="Tabletext"/>
      </w:pPr>
    </w:p>
    <w:p w14:paraId="7C958CE9" w14:textId="77777777" w:rsidR="009103CC" w:rsidRDefault="009103CC" w:rsidP="009103CC">
      <w:pPr>
        <w:pStyle w:val="Tabletext"/>
      </w:pPr>
      <w:r>
        <w:br w:type="page"/>
      </w:r>
    </w:p>
    <w:p w14:paraId="104BD370" w14:textId="77777777" w:rsidR="009103CC" w:rsidRPr="001814D2" w:rsidRDefault="009103CC" w:rsidP="009103CC">
      <w:pPr>
        <w:pStyle w:val="Tabletext"/>
      </w:pPr>
    </w:p>
    <w:tbl>
      <w:tblPr>
        <w:tblW w:w="5000" w:type="pct"/>
        <w:tblCellMar>
          <w:left w:w="0" w:type="dxa"/>
          <w:right w:w="0" w:type="dxa"/>
        </w:tblCellMar>
        <w:tblLook w:val="0000" w:firstRow="0" w:lastRow="0" w:firstColumn="0" w:lastColumn="0" w:noHBand="0" w:noVBand="0"/>
        <w:tblCaption w:val="2 Revenue"/>
        <w:tblDescription w:val="This table provides figures for 2020 and 2021 for both the consolidated entity and parent entity, based on type of good or service, among other items."/>
      </w:tblPr>
      <w:tblGrid>
        <w:gridCol w:w="3937"/>
        <w:gridCol w:w="1284"/>
        <w:gridCol w:w="1284"/>
        <w:gridCol w:w="1284"/>
        <w:gridCol w:w="1281"/>
      </w:tblGrid>
      <w:tr w:rsidR="009103CC" w:rsidRPr="00326C51" w14:paraId="67AC9B0D" w14:textId="77777777" w:rsidTr="002718DF">
        <w:trPr>
          <w:cantSplit/>
          <w:trHeight w:hRule="exact" w:val="332"/>
          <w:tblHeader/>
        </w:trPr>
        <w:tc>
          <w:tcPr>
            <w:tcW w:w="2170" w:type="pct"/>
            <w:tcBorders>
              <w:bottom w:val="single" w:sz="4" w:space="0" w:color="auto"/>
            </w:tcBorders>
            <w:tcMar>
              <w:top w:w="0" w:type="dxa"/>
              <w:left w:w="0" w:type="dxa"/>
              <w:bottom w:w="0" w:type="dxa"/>
              <w:right w:w="0" w:type="dxa"/>
            </w:tcMar>
            <w:vAlign w:val="center"/>
          </w:tcPr>
          <w:p w14:paraId="47FB2EDA" w14:textId="77777777" w:rsidR="009103CC" w:rsidRPr="00326C51" w:rsidRDefault="009103CC" w:rsidP="002718DF">
            <w:pPr>
              <w:pStyle w:val="Tabletext"/>
              <w:jc w:val="center"/>
              <w:rPr>
                <w:b/>
                <w:bCs/>
              </w:rPr>
            </w:pPr>
          </w:p>
        </w:tc>
        <w:tc>
          <w:tcPr>
            <w:tcW w:w="1416" w:type="pct"/>
            <w:gridSpan w:val="2"/>
            <w:tcBorders>
              <w:bottom w:val="single" w:sz="4" w:space="0" w:color="auto"/>
            </w:tcBorders>
            <w:tcMar>
              <w:top w:w="0" w:type="dxa"/>
              <w:left w:w="0" w:type="dxa"/>
              <w:bottom w:w="0" w:type="dxa"/>
              <w:right w:w="0" w:type="dxa"/>
            </w:tcMar>
            <w:vAlign w:val="center"/>
          </w:tcPr>
          <w:p w14:paraId="0A413FC2" w14:textId="77777777" w:rsidR="009103CC" w:rsidRPr="00326C51" w:rsidRDefault="009103CC" w:rsidP="002718DF">
            <w:pPr>
              <w:pStyle w:val="Tabletext"/>
              <w:jc w:val="center"/>
              <w:rPr>
                <w:rFonts w:cs="Preston"/>
                <w:b/>
                <w:bCs/>
                <w:szCs w:val="18"/>
              </w:rPr>
            </w:pPr>
            <w:r w:rsidRPr="00326C51">
              <w:rPr>
                <w:rFonts w:cs="Preston"/>
                <w:b/>
                <w:bCs/>
                <w:szCs w:val="18"/>
              </w:rPr>
              <w:t>Consolidated entity</w:t>
            </w:r>
          </w:p>
        </w:tc>
        <w:tc>
          <w:tcPr>
            <w:tcW w:w="1414" w:type="pct"/>
            <w:gridSpan w:val="2"/>
            <w:tcBorders>
              <w:bottom w:val="single" w:sz="4" w:space="0" w:color="auto"/>
            </w:tcBorders>
            <w:tcMar>
              <w:top w:w="0" w:type="dxa"/>
              <w:left w:w="0" w:type="dxa"/>
              <w:bottom w:w="0" w:type="dxa"/>
              <w:right w:w="0" w:type="dxa"/>
            </w:tcMar>
            <w:vAlign w:val="center"/>
          </w:tcPr>
          <w:p w14:paraId="0437B1CC" w14:textId="77777777" w:rsidR="009103CC" w:rsidRPr="00326C51" w:rsidRDefault="009103CC" w:rsidP="002718DF">
            <w:pPr>
              <w:pStyle w:val="Tabletext"/>
              <w:jc w:val="center"/>
              <w:rPr>
                <w:rFonts w:cs="Preston"/>
                <w:b/>
                <w:bCs/>
                <w:szCs w:val="18"/>
              </w:rPr>
            </w:pPr>
            <w:r w:rsidRPr="00326C51">
              <w:rPr>
                <w:rFonts w:cs="Preston"/>
                <w:b/>
                <w:bCs/>
                <w:szCs w:val="18"/>
              </w:rPr>
              <w:t>Parent entity</w:t>
            </w:r>
          </w:p>
        </w:tc>
      </w:tr>
      <w:tr w:rsidR="009103CC" w:rsidRPr="00326C51" w14:paraId="4E84CE3C" w14:textId="77777777" w:rsidTr="002718DF">
        <w:trPr>
          <w:cantSplit/>
          <w:trHeight w:hRule="exact" w:val="553"/>
          <w:tblHeader/>
        </w:trPr>
        <w:tc>
          <w:tcPr>
            <w:tcW w:w="2170" w:type="pct"/>
            <w:tcBorders>
              <w:top w:val="single" w:sz="4" w:space="0" w:color="auto"/>
              <w:bottom w:val="single" w:sz="4" w:space="0" w:color="auto"/>
            </w:tcBorders>
            <w:tcMar>
              <w:top w:w="0" w:type="dxa"/>
              <w:left w:w="0" w:type="dxa"/>
              <w:bottom w:w="0" w:type="dxa"/>
              <w:right w:w="0" w:type="dxa"/>
            </w:tcMar>
            <w:vAlign w:val="center"/>
          </w:tcPr>
          <w:p w14:paraId="63C5278C" w14:textId="77777777" w:rsidR="009103CC" w:rsidRPr="00326C51" w:rsidRDefault="009103CC" w:rsidP="002718DF">
            <w:pPr>
              <w:pStyle w:val="Tabletext"/>
              <w:rPr>
                <w:rFonts w:cs="Preston"/>
                <w:b/>
                <w:bCs/>
                <w:szCs w:val="18"/>
              </w:rPr>
            </w:pPr>
            <w:r w:rsidRPr="00326C51">
              <w:rPr>
                <w:rFonts w:cs="Preston"/>
                <w:b/>
                <w:bCs/>
                <w:szCs w:val="18"/>
              </w:rPr>
              <w:t>2 Revenue</w:t>
            </w:r>
          </w:p>
          <w:p w14:paraId="1D8B204B" w14:textId="77777777" w:rsidR="009103CC" w:rsidRPr="00326C51" w:rsidRDefault="009103CC" w:rsidP="002718DF">
            <w:pPr>
              <w:pStyle w:val="Tabletext"/>
              <w:rPr>
                <w:rFonts w:cs="Preston"/>
                <w:b/>
                <w:bCs/>
                <w:szCs w:val="18"/>
              </w:rPr>
            </w:pPr>
          </w:p>
        </w:tc>
        <w:tc>
          <w:tcPr>
            <w:tcW w:w="708" w:type="pct"/>
            <w:tcBorders>
              <w:top w:val="single" w:sz="4" w:space="0" w:color="auto"/>
              <w:bottom w:val="single" w:sz="4" w:space="0" w:color="auto"/>
            </w:tcBorders>
            <w:tcMar>
              <w:top w:w="0" w:type="dxa"/>
              <w:left w:w="0" w:type="dxa"/>
              <w:bottom w:w="0" w:type="dxa"/>
              <w:right w:w="0" w:type="dxa"/>
            </w:tcMar>
            <w:vAlign w:val="center"/>
          </w:tcPr>
          <w:p w14:paraId="7D62AF70" w14:textId="77777777" w:rsidR="009103CC" w:rsidRPr="00326C51" w:rsidRDefault="009103CC" w:rsidP="002718DF">
            <w:pPr>
              <w:pStyle w:val="Tabletext"/>
              <w:jc w:val="right"/>
              <w:rPr>
                <w:rFonts w:cs="Preston"/>
                <w:b/>
                <w:bCs/>
                <w:szCs w:val="18"/>
              </w:rPr>
            </w:pPr>
            <w:r w:rsidRPr="00326C51">
              <w:rPr>
                <w:rFonts w:cs="Preston"/>
                <w:b/>
                <w:bCs/>
                <w:szCs w:val="18"/>
              </w:rPr>
              <w:t>2021</w:t>
            </w:r>
          </w:p>
          <w:p w14:paraId="4DF165DB" w14:textId="77777777" w:rsidR="009103CC" w:rsidRPr="00326C51" w:rsidRDefault="009103CC" w:rsidP="002718DF">
            <w:pPr>
              <w:pStyle w:val="Tabletext"/>
              <w:jc w:val="right"/>
              <w:rPr>
                <w:rFonts w:cs="Preston"/>
                <w:b/>
                <w:bCs/>
                <w:szCs w:val="18"/>
              </w:rPr>
            </w:pPr>
            <w:r w:rsidRPr="00326C51">
              <w:rPr>
                <w:rFonts w:cs="Preston"/>
                <w:b/>
                <w:bCs/>
                <w:szCs w:val="18"/>
              </w:rPr>
              <w:t>$'000</w:t>
            </w:r>
          </w:p>
        </w:tc>
        <w:tc>
          <w:tcPr>
            <w:tcW w:w="708" w:type="pct"/>
            <w:tcBorders>
              <w:top w:val="single" w:sz="4" w:space="0" w:color="auto"/>
              <w:bottom w:val="single" w:sz="4" w:space="0" w:color="auto"/>
            </w:tcBorders>
            <w:tcMar>
              <w:top w:w="0" w:type="dxa"/>
              <w:left w:w="0" w:type="dxa"/>
              <w:bottom w:w="0" w:type="dxa"/>
              <w:right w:w="0" w:type="dxa"/>
            </w:tcMar>
            <w:vAlign w:val="center"/>
          </w:tcPr>
          <w:p w14:paraId="40DD5A4D" w14:textId="77777777" w:rsidR="009103CC" w:rsidRPr="00326C51" w:rsidRDefault="009103CC" w:rsidP="002718DF">
            <w:pPr>
              <w:pStyle w:val="Tabletext"/>
              <w:jc w:val="right"/>
              <w:rPr>
                <w:rFonts w:cs="Preston"/>
                <w:b/>
                <w:bCs/>
                <w:szCs w:val="18"/>
              </w:rPr>
            </w:pPr>
            <w:r w:rsidRPr="00326C51">
              <w:rPr>
                <w:rFonts w:cs="Preston"/>
                <w:b/>
                <w:bCs/>
                <w:szCs w:val="18"/>
              </w:rPr>
              <w:t>2020</w:t>
            </w:r>
          </w:p>
          <w:p w14:paraId="06DE0A5A" w14:textId="77777777" w:rsidR="009103CC" w:rsidRPr="00326C51" w:rsidRDefault="009103CC" w:rsidP="002718DF">
            <w:pPr>
              <w:pStyle w:val="Tabletext"/>
              <w:jc w:val="right"/>
              <w:rPr>
                <w:rFonts w:cs="Preston"/>
                <w:b/>
                <w:bCs/>
                <w:szCs w:val="18"/>
              </w:rPr>
            </w:pPr>
            <w:r w:rsidRPr="00326C51">
              <w:rPr>
                <w:rFonts w:cs="Preston"/>
                <w:b/>
                <w:bCs/>
                <w:szCs w:val="18"/>
              </w:rPr>
              <w:t>$'000</w:t>
            </w:r>
          </w:p>
        </w:tc>
        <w:tc>
          <w:tcPr>
            <w:tcW w:w="708" w:type="pct"/>
            <w:tcBorders>
              <w:top w:val="single" w:sz="4" w:space="0" w:color="auto"/>
              <w:bottom w:val="single" w:sz="4" w:space="0" w:color="auto"/>
            </w:tcBorders>
            <w:tcMar>
              <w:top w:w="0" w:type="dxa"/>
              <w:left w:w="0" w:type="dxa"/>
              <w:bottom w:w="0" w:type="dxa"/>
              <w:right w:w="0" w:type="dxa"/>
            </w:tcMar>
            <w:vAlign w:val="center"/>
          </w:tcPr>
          <w:p w14:paraId="0F3FD206" w14:textId="77777777" w:rsidR="009103CC" w:rsidRPr="00326C51" w:rsidRDefault="009103CC" w:rsidP="002718DF">
            <w:pPr>
              <w:pStyle w:val="Tabletext"/>
              <w:jc w:val="right"/>
              <w:rPr>
                <w:rFonts w:cs="Preston"/>
                <w:b/>
                <w:bCs/>
                <w:szCs w:val="18"/>
              </w:rPr>
            </w:pPr>
            <w:r w:rsidRPr="00326C51">
              <w:rPr>
                <w:rFonts w:cs="Preston"/>
                <w:b/>
                <w:bCs/>
                <w:szCs w:val="18"/>
              </w:rPr>
              <w:t>2021</w:t>
            </w:r>
          </w:p>
          <w:p w14:paraId="1E68F3EB" w14:textId="77777777" w:rsidR="009103CC" w:rsidRPr="00326C51" w:rsidRDefault="009103CC" w:rsidP="002718DF">
            <w:pPr>
              <w:pStyle w:val="Tabletext"/>
              <w:jc w:val="right"/>
              <w:rPr>
                <w:rFonts w:cs="Preston"/>
                <w:b/>
                <w:bCs/>
                <w:szCs w:val="18"/>
              </w:rPr>
            </w:pPr>
            <w:r w:rsidRPr="00326C51">
              <w:rPr>
                <w:rFonts w:cs="Preston"/>
                <w:b/>
                <w:bCs/>
                <w:szCs w:val="18"/>
              </w:rPr>
              <w:t>$'000</w:t>
            </w:r>
          </w:p>
          <w:p w14:paraId="3B6239A4" w14:textId="77777777" w:rsidR="009103CC" w:rsidRPr="00326C51" w:rsidRDefault="009103CC" w:rsidP="002718DF">
            <w:pPr>
              <w:pStyle w:val="Tabletext"/>
              <w:jc w:val="right"/>
              <w:rPr>
                <w:rFonts w:cs="Preston"/>
                <w:b/>
                <w:bCs/>
                <w:szCs w:val="18"/>
              </w:rPr>
            </w:pPr>
          </w:p>
        </w:tc>
        <w:tc>
          <w:tcPr>
            <w:tcW w:w="706" w:type="pct"/>
            <w:tcBorders>
              <w:top w:val="single" w:sz="4" w:space="0" w:color="auto"/>
              <w:bottom w:val="single" w:sz="4" w:space="0" w:color="auto"/>
            </w:tcBorders>
            <w:tcMar>
              <w:top w:w="0" w:type="dxa"/>
              <w:left w:w="0" w:type="dxa"/>
              <w:bottom w:w="0" w:type="dxa"/>
              <w:right w:w="0" w:type="dxa"/>
            </w:tcMar>
            <w:vAlign w:val="center"/>
          </w:tcPr>
          <w:p w14:paraId="424A160E" w14:textId="77777777" w:rsidR="009103CC" w:rsidRPr="00326C51" w:rsidRDefault="009103CC" w:rsidP="002718DF">
            <w:pPr>
              <w:pStyle w:val="Tabletext"/>
              <w:jc w:val="right"/>
              <w:rPr>
                <w:rFonts w:cs="Preston"/>
                <w:b/>
                <w:bCs/>
                <w:szCs w:val="18"/>
              </w:rPr>
            </w:pPr>
            <w:r w:rsidRPr="00326C51">
              <w:rPr>
                <w:rFonts w:cs="Preston"/>
                <w:b/>
                <w:bCs/>
                <w:szCs w:val="18"/>
              </w:rPr>
              <w:t>2020</w:t>
            </w:r>
          </w:p>
          <w:p w14:paraId="2F3CE9E2" w14:textId="77777777" w:rsidR="009103CC" w:rsidRPr="00326C51" w:rsidRDefault="009103CC" w:rsidP="002718DF">
            <w:pPr>
              <w:pStyle w:val="Tabletext"/>
              <w:jc w:val="right"/>
              <w:rPr>
                <w:rFonts w:cs="Preston"/>
                <w:b/>
                <w:bCs/>
                <w:szCs w:val="18"/>
              </w:rPr>
            </w:pPr>
            <w:r w:rsidRPr="00326C51">
              <w:rPr>
                <w:rFonts w:cs="Preston"/>
                <w:b/>
                <w:bCs/>
                <w:szCs w:val="18"/>
              </w:rPr>
              <w:t>$'000</w:t>
            </w:r>
          </w:p>
          <w:p w14:paraId="4EE551ED" w14:textId="77777777" w:rsidR="009103CC" w:rsidRPr="00326C51" w:rsidRDefault="009103CC" w:rsidP="002718DF">
            <w:pPr>
              <w:pStyle w:val="Tabletext"/>
              <w:jc w:val="right"/>
              <w:rPr>
                <w:rFonts w:cs="Preston"/>
                <w:b/>
                <w:bCs/>
                <w:szCs w:val="18"/>
              </w:rPr>
            </w:pPr>
          </w:p>
        </w:tc>
      </w:tr>
      <w:tr w:rsidR="009103CC" w:rsidRPr="001814D2" w14:paraId="11EEE07B"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57E8A52B" w14:textId="77777777" w:rsidR="009103CC" w:rsidRPr="001814D2" w:rsidRDefault="009103CC" w:rsidP="002718DF">
            <w:pPr>
              <w:pStyle w:val="Tabletext"/>
              <w:rPr>
                <w:rFonts w:cs="Preston"/>
                <w:szCs w:val="18"/>
              </w:rPr>
            </w:pPr>
            <w:r w:rsidRPr="001814D2">
              <w:rPr>
                <w:rFonts w:cs="Preston"/>
                <w:szCs w:val="18"/>
              </w:rPr>
              <w:t>Type of good or service</w:t>
            </w:r>
          </w:p>
        </w:tc>
        <w:tc>
          <w:tcPr>
            <w:tcW w:w="708" w:type="pct"/>
            <w:tcBorders>
              <w:top w:val="single" w:sz="4" w:space="0" w:color="auto"/>
              <w:bottom w:val="single" w:sz="4" w:space="0" w:color="auto"/>
            </w:tcBorders>
            <w:tcMar>
              <w:top w:w="0" w:type="dxa"/>
              <w:left w:w="0" w:type="dxa"/>
              <w:bottom w:w="0" w:type="dxa"/>
              <w:right w:w="0" w:type="dxa"/>
            </w:tcMar>
            <w:vAlign w:val="center"/>
          </w:tcPr>
          <w:p w14:paraId="13154681" w14:textId="77777777" w:rsidR="009103CC" w:rsidRPr="001814D2" w:rsidRDefault="009103CC" w:rsidP="002718DF">
            <w:pPr>
              <w:pStyle w:val="Tabletext"/>
              <w:jc w:val="right"/>
            </w:pPr>
          </w:p>
        </w:tc>
        <w:tc>
          <w:tcPr>
            <w:tcW w:w="708" w:type="pct"/>
            <w:tcBorders>
              <w:top w:val="single" w:sz="4" w:space="0" w:color="auto"/>
              <w:bottom w:val="single" w:sz="4" w:space="0" w:color="auto"/>
            </w:tcBorders>
            <w:tcMar>
              <w:top w:w="0" w:type="dxa"/>
              <w:left w:w="0" w:type="dxa"/>
              <w:bottom w:w="0" w:type="dxa"/>
              <w:right w:w="0" w:type="dxa"/>
            </w:tcMar>
            <w:vAlign w:val="center"/>
          </w:tcPr>
          <w:p w14:paraId="323E7B36" w14:textId="77777777" w:rsidR="009103CC" w:rsidRPr="001814D2" w:rsidRDefault="009103CC" w:rsidP="002718DF">
            <w:pPr>
              <w:pStyle w:val="Tabletext"/>
              <w:jc w:val="right"/>
            </w:pPr>
          </w:p>
        </w:tc>
        <w:tc>
          <w:tcPr>
            <w:tcW w:w="708" w:type="pct"/>
            <w:tcBorders>
              <w:top w:val="single" w:sz="4" w:space="0" w:color="auto"/>
              <w:bottom w:val="single" w:sz="4" w:space="0" w:color="auto"/>
            </w:tcBorders>
            <w:tcMar>
              <w:top w:w="0" w:type="dxa"/>
              <w:left w:w="0" w:type="dxa"/>
              <w:bottom w:w="0" w:type="dxa"/>
              <w:right w:w="0" w:type="dxa"/>
            </w:tcMar>
            <w:vAlign w:val="center"/>
          </w:tcPr>
          <w:p w14:paraId="220990E0" w14:textId="77777777" w:rsidR="009103CC" w:rsidRPr="001814D2" w:rsidRDefault="009103CC" w:rsidP="002718DF">
            <w:pPr>
              <w:pStyle w:val="Tabletext"/>
              <w:jc w:val="right"/>
            </w:pPr>
          </w:p>
        </w:tc>
        <w:tc>
          <w:tcPr>
            <w:tcW w:w="706" w:type="pct"/>
            <w:tcBorders>
              <w:top w:val="single" w:sz="4" w:space="0" w:color="auto"/>
              <w:bottom w:val="single" w:sz="4" w:space="0" w:color="auto"/>
            </w:tcBorders>
            <w:tcMar>
              <w:top w:w="0" w:type="dxa"/>
              <w:left w:w="0" w:type="dxa"/>
              <w:bottom w:w="0" w:type="dxa"/>
              <w:right w:w="0" w:type="dxa"/>
            </w:tcMar>
            <w:vAlign w:val="center"/>
          </w:tcPr>
          <w:p w14:paraId="64079513" w14:textId="77777777" w:rsidR="009103CC" w:rsidRPr="001814D2" w:rsidRDefault="009103CC" w:rsidP="002718DF">
            <w:pPr>
              <w:pStyle w:val="Tabletext"/>
              <w:jc w:val="right"/>
            </w:pPr>
          </w:p>
        </w:tc>
      </w:tr>
      <w:tr w:rsidR="009103CC" w:rsidRPr="001814D2" w14:paraId="1DADB00F"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14269BB6" w14:textId="77777777" w:rsidR="009103CC" w:rsidRPr="001814D2" w:rsidRDefault="009103CC" w:rsidP="002718DF">
            <w:pPr>
              <w:pStyle w:val="Tabletext"/>
            </w:pPr>
            <w:r w:rsidRPr="001814D2">
              <w:t>Sale of merchandise, book and publication sales</w:t>
            </w:r>
          </w:p>
        </w:tc>
        <w:tc>
          <w:tcPr>
            <w:tcW w:w="708" w:type="pct"/>
            <w:tcBorders>
              <w:top w:val="single" w:sz="4" w:space="0" w:color="auto"/>
              <w:bottom w:val="single" w:sz="4" w:space="0" w:color="auto"/>
            </w:tcBorders>
            <w:tcMar>
              <w:top w:w="0" w:type="dxa"/>
              <w:left w:w="0" w:type="dxa"/>
              <w:bottom w:w="0" w:type="dxa"/>
              <w:right w:w="0" w:type="dxa"/>
            </w:tcMar>
            <w:vAlign w:val="center"/>
          </w:tcPr>
          <w:p w14:paraId="28306478" w14:textId="77777777" w:rsidR="009103CC" w:rsidRPr="001814D2" w:rsidRDefault="009103CC" w:rsidP="002718DF">
            <w:pPr>
              <w:pStyle w:val="Tabletext"/>
              <w:jc w:val="right"/>
              <w:rPr>
                <w:rFonts w:cs="Preston"/>
                <w:szCs w:val="18"/>
              </w:rPr>
            </w:pPr>
            <w:r w:rsidRPr="001814D2">
              <w:rPr>
                <w:rFonts w:cs="Preston"/>
                <w:szCs w:val="18"/>
              </w:rPr>
              <w:t>2,773</w:t>
            </w:r>
          </w:p>
        </w:tc>
        <w:tc>
          <w:tcPr>
            <w:tcW w:w="708" w:type="pct"/>
            <w:tcBorders>
              <w:top w:val="single" w:sz="4" w:space="0" w:color="auto"/>
              <w:bottom w:val="single" w:sz="4" w:space="0" w:color="auto"/>
            </w:tcBorders>
            <w:tcMar>
              <w:top w:w="0" w:type="dxa"/>
              <w:left w:w="0" w:type="dxa"/>
              <w:bottom w:w="0" w:type="dxa"/>
              <w:right w:w="0" w:type="dxa"/>
            </w:tcMar>
            <w:vAlign w:val="center"/>
          </w:tcPr>
          <w:p w14:paraId="638B10C8" w14:textId="77777777" w:rsidR="009103CC" w:rsidRPr="001814D2" w:rsidRDefault="009103CC" w:rsidP="002718DF">
            <w:pPr>
              <w:pStyle w:val="Tabletext"/>
              <w:jc w:val="right"/>
              <w:rPr>
                <w:rFonts w:cs="Preston"/>
                <w:szCs w:val="18"/>
              </w:rPr>
            </w:pPr>
            <w:r w:rsidRPr="001814D2">
              <w:rPr>
                <w:rFonts w:cs="Preston"/>
                <w:szCs w:val="18"/>
              </w:rPr>
              <w:t>3,588</w:t>
            </w:r>
          </w:p>
        </w:tc>
        <w:tc>
          <w:tcPr>
            <w:tcW w:w="708" w:type="pct"/>
            <w:tcBorders>
              <w:top w:val="single" w:sz="4" w:space="0" w:color="auto"/>
              <w:bottom w:val="single" w:sz="4" w:space="0" w:color="auto"/>
            </w:tcBorders>
            <w:tcMar>
              <w:top w:w="0" w:type="dxa"/>
              <w:left w:w="0" w:type="dxa"/>
              <w:bottom w:w="0" w:type="dxa"/>
              <w:right w:w="0" w:type="dxa"/>
            </w:tcMar>
            <w:vAlign w:val="center"/>
          </w:tcPr>
          <w:p w14:paraId="690FA38B" w14:textId="77777777" w:rsidR="009103CC" w:rsidRPr="001814D2" w:rsidRDefault="009103CC" w:rsidP="002718DF">
            <w:pPr>
              <w:pStyle w:val="Tabletext"/>
              <w:jc w:val="right"/>
              <w:rPr>
                <w:rFonts w:cs="Preston"/>
                <w:szCs w:val="18"/>
              </w:rPr>
            </w:pPr>
            <w:r w:rsidRPr="001814D2">
              <w:rPr>
                <w:rFonts w:cs="Preston"/>
                <w:szCs w:val="18"/>
              </w:rPr>
              <w:t>2,773</w:t>
            </w:r>
          </w:p>
        </w:tc>
        <w:tc>
          <w:tcPr>
            <w:tcW w:w="706" w:type="pct"/>
            <w:tcBorders>
              <w:top w:val="single" w:sz="4" w:space="0" w:color="auto"/>
              <w:bottom w:val="single" w:sz="4" w:space="0" w:color="auto"/>
            </w:tcBorders>
            <w:tcMar>
              <w:top w:w="0" w:type="dxa"/>
              <w:left w:w="0" w:type="dxa"/>
              <w:bottom w:w="0" w:type="dxa"/>
              <w:right w:w="0" w:type="dxa"/>
            </w:tcMar>
            <w:vAlign w:val="center"/>
          </w:tcPr>
          <w:p w14:paraId="1801F200" w14:textId="77777777" w:rsidR="009103CC" w:rsidRPr="001814D2" w:rsidRDefault="009103CC" w:rsidP="002718DF">
            <w:pPr>
              <w:pStyle w:val="Tabletext"/>
              <w:jc w:val="right"/>
              <w:rPr>
                <w:rFonts w:cs="Preston"/>
                <w:szCs w:val="18"/>
              </w:rPr>
            </w:pPr>
            <w:r w:rsidRPr="001814D2">
              <w:rPr>
                <w:rFonts w:cs="Preston"/>
                <w:szCs w:val="18"/>
              </w:rPr>
              <w:t>3,588</w:t>
            </w:r>
          </w:p>
        </w:tc>
      </w:tr>
      <w:tr w:rsidR="009103CC" w:rsidRPr="001814D2" w14:paraId="6636AF9D"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2B4802EC" w14:textId="77777777" w:rsidR="009103CC" w:rsidRPr="001814D2" w:rsidRDefault="009103CC" w:rsidP="002718DF">
            <w:pPr>
              <w:pStyle w:val="Tabletext"/>
            </w:pPr>
            <w:r w:rsidRPr="001814D2">
              <w:t>Admission fees</w:t>
            </w:r>
          </w:p>
        </w:tc>
        <w:tc>
          <w:tcPr>
            <w:tcW w:w="708" w:type="pct"/>
            <w:tcBorders>
              <w:top w:val="single" w:sz="4" w:space="0" w:color="auto"/>
              <w:bottom w:val="single" w:sz="4" w:space="0" w:color="auto"/>
            </w:tcBorders>
            <w:tcMar>
              <w:top w:w="0" w:type="dxa"/>
              <w:left w:w="0" w:type="dxa"/>
              <w:bottom w:w="0" w:type="dxa"/>
              <w:right w:w="0" w:type="dxa"/>
            </w:tcMar>
            <w:vAlign w:val="center"/>
          </w:tcPr>
          <w:p w14:paraId="04A4D88D" w14:textId="77777777" w:rsidR="009103CC" w:rsidRPr="001814D2" w:rsidRDefault="009103CC" w:rsidP="002718DF">
            <w:pPr>
              <w:pStyle w:val="Tabletext"/>
              <w:jc w:val="right"/>
              <w:rPr>
                <w:rFonts w:cs="Preston"/>
                <w:szCs w:val="18"/>
              </w:rPr>
            </w:pPr>
            <w:r w:rsidRPr="001814D2">
              <w:rPr>
                <w:rFonts w:cs="Preston"/>
                <w:szCs w:val="18"/>
              </w:rPr>
              <w:t>3,200</w:t>
            </w:r>
          </w:p>
        </w:tc>
        <w:tc>
          <w:tcPr>
            <w:tcW w:w="708" w:type="pct"/>
            <w:tcBorders>
              <w:top w:val="single" w:sz="4" w:space="0" w:color="auto"/>
              <w:bottom w:val="single" w:sz="4" w:space="0" w:color="auto"/>
            </w:tcBorders>
            <w:tcMar>
              <w:top w:w="0" w:type="dxa"/>
              <w:left w:w="0" w:type="dxa"/>
              <w:bottom w:w="0" w:type="dxa"/>
              <w:right w:w="0" w:type="dxa"/>
            </w:tcMar>
            <w:vAlign w:val="center"/>
          </w:tcPr>
          <w:p w14:paraId="43145145" w14:textId="77777777" w:rsidR="009103CC" w:rsidRPr="001814D2" w:rsidRDefault="009103CC" w:rsidP="002718DF">
            <w:pPr>
              <w:pStyle w:val="Tabletext"/>
              <w:jc w:val="right"/>
              <w:rPr>
                <w:rFonts w:cs="Preston"/>
                <w:szCs w:val="18"/>
              </w:rPr>
            </w:pPr>
            <w:r w:rsidRPr="001814D2">
              <w:rPr>
                <w:rFonts w:cs="Preston"/>
                <w:szCs w:val="18"/>
              </w:rPr>
              <w:t>4,065</w:t>
            </w:r>
          </w:p>
        </w:tc>
        <w:tc>
          <w:tcPr>
            <w:tcW w:w="708" w:type="pct"/>
            <w:tcBorders>
              <w:top w:val="single" w:sz="4" w:space="0" w:color="auto"/>
              <w:bottom w:val="single" w:sz="4" w:space="0" w:color="auto"/>
            </w:tcBorders>
            <w:tcMar>
              <w:top w:w="0" w:type="dxa"/>
              <w:left w:w="0" w:type="dxa"/>
              <w:bottom w:w="0" w:type="dxa"/>
              <w:right w:w="0" w:type="dxa"/>
            </w:tcMar>
            <w:vAlign w:val="center"/>
          </w:tcPr>
          <w:p w14:paraId="7D7E98CF" w14:textId="77777777" w:rsidR="009103CC" w:rsidRPr="001814D2" w:rsidRDefault="009103CC" w:rsidP="002718DF">
            <w:pPr>
              <w:pStyle w:val="Tabletext"/>
              <w:jc w:val="right"/>
              <w:rPr>
                <w:rFonts w:cs="Preston"/>
                <w:szCs w:val="18"/>
              </w:rPr>
            </w:pPr>
            <w:r w:rsidRPr="001814D2">
              <w:rPr>
                <w:rFonts w:cs="Preston"/>
                <w:szCs w:val="18"/>
              </w:rPr>
              <w:t>3,200</w:t>
            </w:r>
          </w:p>
        </w:tc>
        <w:tc>
          <w:tcPr>
            <w:tcW w:w="706" w:type="pct"/>
            <w:tcBorders>
              <w:top w:val="single" w:sz="4" w:space="0" w:color="auto"/>
              <w:bottom w:val="single" w:sz="4" w:space="0" w:color="auto"/>
            </w:tcBorders>
            <w:tcMar>
              <w:top w:w="0" w:type="dxa"/>
              <w:left w:w="0" w:type="dxa"/>
              <w:bottom w:w="0" w:type="dxa"/>
              <w:right w:w="0" w:type="dxa"/>
            </w:tcMar>
            <w:vAlign w:val="center"/>
          </w:tcPr>
          <w:p w14:paraId="7CB927BE" w14:textId="77777777" w:rsidR="009103CC" w:rsidRPr="001814D2" w:rsidRDefault="009103CC" w:rsidP="002718DF">
            <w:pPr>
              <w:pStyle w:val="Tabletext"/>
              <w:jc w:val="right"/>
              <w:rPr>
                <w:rFonts w:cs="Preston"/>
                <w:szCs w:val="18"/>
              </w:rPr>
            </w:pPr>
            <w:r w:rsidRPr="001814D2">
              <w:rPr>
                <w:rFonts w:cs="Preston"/>
                <w:szCs w:val="18"/>
              </w:rPr>
              <w:t>4,065</w:t>
            </w:r>
          </w:p>
        </w:tc>
      </w:tr>
      <w:tr w:rsidR="009103CC" w:rsidRPr="001814D2" w14:paraId="73728C4A"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5AFC0329" w14:textId="77777777" w:rsidR="009103CC" w:rsidRPr="001814D2" w:rsidRDefault="009103CC" w:rsidP="002718DF">
            <w:pPr>
              <w:pStyle w:val="Tabletext"/>
            </w:pPr>
            <w:r w:rsidRPr="001814D2">
              <w:t>Venue hire and catering</w:t>
            </w:r>
          </w:p>
        </w:tc>
        <w:tc>
          <w:tcPr>
            <w:tcW w:w="708" w:type="pct"/>
            <w:tcBorders>
              <w:top w:val="single" w:sz="4" w:space="0" w:color="auto"/>
              <w:bottom w:val="single" w:sz="4" w:space="0" w:color="auto"/>
            </w:tcBorders>
            <w:tcMar>
              <w:top w:w="0" w:type="dxa"/>
              <w:left w:w="0" w:type="dxa"/>
              <w:bottom w:w="0" w:type="dxa"/>
              <w:right w:w="0" w:type="dxa"/>
            </w:tcMar>
            <w:vAlign w:val="center"/>
          </w:tcPr>
          <w:p w14:paraId="11120FAB" w14:textId="77777777" w:rsidR="009103CC" w:rsidRPr="001814D2" w:rsidRDefault="009103CC" w:rsidP="002718DF">
            <w:pPr>
              <w:pStyle w:val="Tabletext"/>
              <w:jc w:val="right"/>
              <w:rPr>
                <w:rFonts w:cs="Preston"/>
                <w:szCs w:val="18"/>
              </w:rPr>
            </w:pPr>
            <w:r w:rsidRPr="001814D2">
              <w:rPr>
                <w:rFonts w:cs="Preston"/>
                <w:szCs w:val="18"/>
              </w:rPr>
              <w:t>349</w:t>
            </w:r>
          </w:p>
        </w:tc>
        <w:tc>
          <w:tcPr>
            <w:tcW w:w="708" w:type="pct"/>
            <w:tcBorders>
              <w:top w:val="single" w:sz="4" w:space="0" w:color="auto"/>
              <w:bottom w:val="single" w:sz="4" w:space="0" w:color="auto"/>
            </w:tcBorders>
            <w:tcMar>
              <w:top w:w="0" w:type="dxa"/>
              <w:left w:w="0" w:type="dxa"/>
              <w:bottom w:w="0" w:type="dxa"/>
              <w:right w:w="0" w:type="dxa"/>
            </w:tcMar>
            <w:vAlign w:val="center"/>
          </w:tcPr>
          <w:p w14:paraId="7CEFC971" w14:textId="77777777" w:rsidR="009103CC" w:rsidRPr="001814D2" w:rsidRDefault="009103CC" w:rsidP="002718DF">
            <w:pPr>
              <w:pStyle w:val="Tabletext"/>
              <w:jc w:val="right"/>
              <w:rPr>
                <w:rFonts w:cs="Preston"/>
                <w:szCs w:val="18"/>
              </w:rPr>
            </w:pPr>
            <w:r w:rsidRPr="001814D2">
              <w:rPr>
                <w:rFonts w:cs="Preston"/>
                <w:szCs w:val="18"/>
              </w:rPr>
              <w:t>1,413</w:t>
            </w:r>
          </w:p>
        </w:tc>
        <w:tc>
          <w:tcPr>
            <w:tcW w:w="708" w:type="pct"/>
            <w:tcBorders>
              <w:top w:val="single" w:sz="4" w:space="0" w:color="auto"/>
              <w:bottom w:val="single" w:sz="4" w:space="0" w:color="auto"/>
            </w:tcBorders>
            <w:tcMar>
              <w:top w:w="0" w:type="dxa"/>
              <w:left w:w="0" w:type="dxa"/>
              <w:bottom w:w="0" w:type="dxa"/>
              <w:right w:w="0" w:type="dxa"/>
            </w:tcMar>
            <w:vAlign w:val="center"/>
          </w:tcPr>
          <w:p w14:paraId="160FE858" w14:textId="77777777" w:rsidR="009103CC" w:rsidRPr="001814D2" w:rsidRDefault="009103CC" w:rsidP="002718DF">
            <w:pPr>
              <w:pStyle w:val="Tabletext"/>
              <w:jc w:val="right"/>
              <w:rPr>
                <w:rFonts w:cs="Preston"/>
                <w:szCs w:val="18"/>
              </w:rPr>
            </w:pPr>
            <w:r w:rsidRPr="001814D2">
              <w:rPr>
                <w:rFonts w:cs="Preston"/>
                <w:szCs w:val="18"/>
              </w:rPr>
              <w:t>349</w:t>
            </w:r>
          </w:p>
        </w:tc>
        <w:tc>
          <w:tcPr>
            <w:tcW w:w="706" w:type="pct"/>
            <w:tcBorders>
              <w:top w:val="single" w:sz="4" w:space="0" w:color="auto"/>
              <w:bottom w:val="single" w:sz="4" w:space="0" w:color="auto"/>
            </w:tcBorders>
            <w:tcMar>
              <w:top w:w="0" w:type="dxa"/>
              <w:left w:w="0" w:type="dxa"/>
              <w:bottom w:w="0" w:type="dxa"/>
              <w:right w:w="0" w:type="dxa"/>
            </w:tcMar>
            <w:vAlign w:val="center"/>
          </w:tcPr>
          <w:p w14:paraId="7B5127D8" w14:textId="77777777" w:rsidR="009103CC" w:rsidRPr="001814D2" w:rsidRDefault="009103CC" w:rsidP="002718DF">
            <w:pPr>
              <w:pStyle w:val="Tabletext"/>
              <w:jc w:val="right"/>
              <w:rPr>
                <w:rFonts w:cs="Preston"/>
                <w:szCs w:val="18"/>
              </w:rPr>
            </w:pPr>
            <w:r w:rsidRPr="001814D2">
              <w:rPr>
                <w:rFonts w:cs="Preston"/>
                <w:szCs w:val="18"/>
              </w:rPr>
              <w:t>1,413</w:t>
            </w:r>
          </w:p>
        </w:tc>
      </w:tr>
      <w:tr w:rsidR="009103CC" w:rsidRPr="001814D2" w14:paraId="0380BC94"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0C7CF8C8" w14:textId="77777777" w:rsidR="009103CC" w:rsidRPr="001814D2" w:rsidRDefault="009103CC" w:rsidP="002718DF">
            <w:pPr>
              <w:pStyle w:val="Tabletext"/>
            </w:pPr>
            <w:r w:rsidRPr="001814D2">
              <w:t>Other</w:t>
            </w:r>
          </w:p>
        </w:tc>
        <w:tc>
          <w:tcPr>
            <w:tcW w:w="708" w:type="pct"/>
            <w:tcBorders>
              <w:top w:val="single" w:sz="4" w:space="0" w:color="auto"/>
              <w:bottom w:val="single" w:sz="4" w:space="0" w:color="auto"/>
            </w:tcBorders>
            <w:tcMar>
              <w:top w:w="0" w:type="dxa"/>
              <w:left w:w="0" w:type="dxa"/>
              <w:bottom w:w="0" w:type="dxa"/>
              <w:right w:w="0" w:type="dxa"/>
            </w:tcMar>
            <w:vAlign w:val="center"/>
          </w:tcPr>
          <w:p w14:paraId="3160DAE9" w14:textId="77777777" w:rsidR="009103CC" w:rsidRPr="001814D2" w:rsidRDefault="009103CC" w:rsidP="002718DF">
            <w:pPr>
              <w:pStyle w:val="Tabletext"/>
              <w:jc w:val="right"/>
              <w:rPr>
                <w:rFonts w:cs="Preston"/>
                <w:szCs w:val="18"/>
              </w:rPr>
            </w:pPr>
            <w:r w:rsidRPr="001814D2">
              <w:rPr>
                <w:rFonts w:cs="Preston"/>
                <w:szCs w:val="18"/>
              </w:rPr>
              <w:t>733</w:t>
            </w:r>
          </w:p>
        </w:tc>
        <w:tc>
          <w:tcPr>
            <w:tcW w:w="708" w:type="pct"/>
            <w:tcBorders>
              <w:top w:val="single" w:sz="4" w:space="0" w:color="auto"/>
              <w:bottom w:val="single" w:sz="4" w:space="0" w:color="auto"/>
            </w:tcBorders>
            <w:tcMar>
              <w:top w:w="0" w:type="dxa"/>
              <w:left w:w="0" w:type="dxa"/>
              <w:bottom w:w="0" w:type="dxa"/>
              <w:right w:w="0" w:type="dxa"/>
            </w:tcMar>
            <w:vAlign w:val="center"/>
          </w:tcPr>
          <w:p w14:paraId="6BBAF6B5" w14:textId="77777777" w:rsidR="009103CC" w:rsidRPr="001814D2" w:rsidRDefault="009103CC" w:rsidP="002718DF">
            <w:pPr>
              <w:pStyle w:val="Tabletext"/>
              <w:jc w:val="right"/>
              <w:rPr>
                <w:rFonts w:cs="Preston"/>
                <w:szCs w:val="18"/>
              </w:rPr>
            </w:pPr>
            <w:r w:rsidRPr="001814D2">
              <w:rPr>
                <w:rFonts w:cs="Preston"/>
                <w:szCs w:val="18"/>
              </w:rPr>
              <w:t>869</w:t>
            </w:r>
          </w:p>
        </w:tc>
        <w:tc>
          <w:tcPr>
            <w:tcW w:w="708" w:type="pct"/>
            <w:tcBorders>
              <w:top w:val="single" w:sz="4" w:space="0" w:color="auto"/>
              <w:bottom w:val="single" w:sz="4" w:space="0" w:color="auto"/>
            </w:tcBorders>
            <w:tcMar>
              <w:top w:w="0" w:type="dxa"/>
              <w:left w:w="0" w:type="dxa"/>
              <w:bottom w:w="0" w:type="dxa"/>
              <w:right w:w="0" w:type="dxa"/>
            </w:tcMar>
            <w:vAlign w:val="center"/>
          </w:tcPr>
          <w:p w14:paraId="7E976454" w14:textId="77777777" w:rsidR="009103CC" w:rsidRPr="001814D2" w:rsidRDefault="009103CC" w:rsidP="002718DF">
            <w:pPr>
              <w:pStyle w:val="Tabletext"/>
              <w:jc w:val="right"/>
              <w:rPr>
                <w:rFonts w:cs="Preston"/>
                <w:szCs w:val="18"/>
              </w:rPr>
            </w:pPr>
            <w:r w:rsidRPr="001814D2">
              <w:rPr>
                <w:rFonts w:cs="Preston"/>
                <w:szCs w:val="18"/>
              </w:rPr>
              <w:t>733</w:t>
            </w:r>
          </w:p>
        </w:tc>
        <w:tc>
          <w:tcPr>
            <w:tcW w:w="706" w:type="pct"/>
            <w:tcBorders>
              <w:top w:val="single" w:sz="4" w:space="0" w:color="auto"/>
              <w:bottom w:val="single" w:sz="4" w:space="0" w:color="auto"/>
            </w:tcBorders>
            <w:tcMar>
              <w:top w:w="0" w:type="dxa"/>
              <w:left w:w="0" w:type="dxa"/>
              <w:bottom w:w="0" w:type="dxa"/>
              <w:right w:w="0" w:type="dxa"/>
            </w:tcMar>
            <w:vAlign w:val="center"/>
          </w:tcPr>
          <w:p w14:paraId="10F0DDFC" w14:textId="77777777" w:rsidR="009103CC" w:rsidRPr="001814D2" w:rsidRDefault="009103CC" w:rsidP="002718DF">
            <w:pPr>
              <w:pStyle w:val="Tabletext"/>
              <w:jc w:val="right"/>
              <w:rPr>
                <w:rFonts w:cs="Preston"/>
                <w:szCs w:val="18"/>
              </w:rPr>
            </w:pPr>
            <w:r w:rsidRPr="001814D2">
              <w:rPr>
                <w:rFonts w:cs="Preston"/>
                <w:szCs w:val="18"/>
              </w:rPr>
              <w:t>869</w:t>
            </w:r>
          </w:p>
        </w:tc>
      </w:tr>
      <w:tr w:rsidR="009103CC" w:rsidRPr="001814D2" w14:paraId="102031AD"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7CCF3DCC" w14:textId="77777777" w:rsidR="009103CC" w:rsidRPr="001814D2" w:rsidRDefault="009103CC" w:rsidP="002718DF">
            <w:pPr>
              <w:pStyle w:val="Tabletext"/>
            </w:pPr>
          </w:p>
        </w:tc>
        <w:tc>
          <w:tcPr>
            <w:tcW w:w="708" w:type="pct"/>
            <w:tcBorders>
              <w:top w:val="single" w:sz="4" w:space="0" w:color="auto"/>
              <w:bottom w:val="single" w:sz="4" w:space="0" w:color="auto"/>
            </w:tcBorders>
            <w:tcMar>
              <w:top w:w="0" w:type="dxa"/>
              <w:left w:w="0" w:type="dxa"/>
              <w:bottom w:w="0" w:type="dxa"/>
              <w:right w:w="0" w:type="dxa"/>
            </w:tcMar>
            <w:vAlign w:val="center"/>
          </w:tcPr>
          <w:p w14:paraId="3582B89D" w14:textId="77777777" w:rsidR="009103CC" w:rsidRPr="001814D2" w:rsidRDefault="009103CC" w:rsidP="002718DF">
            <w:pPr>
              <w:pStyle w:val="Tabletext"/>
              <w:jc w:val="right"/>
              <w:rPr>
                <w:rFonts w:cs="Preston"/>
                <w:szCs w:val="18"/>
              </w:rPr>
            </w:pPr>
            <w:r w:rsidRPr="001814D2">
              <w:rPr>
                <w:rFonts w:cs="Preston"/>
                <w:szCs w:val="18"/>
              </w:rPr>
              <w:t>7,055</w:t>
            </w:r>
          </w:p>
        </w:tc>
        <w:tc>
          <w:tcPr>
            <w:tcW w:w="708" w:type="pct"/>
            <w:tcBorders>
              <w:top w:val="single" w:sz="4" w:space="0" w:color="auto"/>
              <w:bottom w:val="single" w:sz="4" w:space="0" w:color="auto"/>
            </w:tcBorders>
            <w:tcMar>
              <w:top w:w="0" w:type="dxa"/>
              <w:left w:w="0" w:type="dxa"/>
              <w:bottom w:w="0" w:type="dxa"/>
              <w:right w:w="0" w:type="dxa"/>
            </w:tcMar>
            <w:vAlign w:val="center"/>
          </w:tcPr>
          <w:p w14:paraId="72F14276" w14:textId="77777777" w:rsidR="009103CC" w:rsidRPr="001814D2" w:rsidRDefault="009103CC" w:rsidP="002718DF">
            <w:pPr>
              <w:pStyle w:val="Tabletext"/>
              <w:jc w:val="right"/>
              <w:rPr>
                <w:rFonts w:cs="Preston"/>
                <w:szCs w:val="18"/>
              </w:rPr>
            </w:pPr>
            <w:r w:rsidRPr="001814D2">
              <w:rPr>
                <w:rFonts w:cs="Preston"/>
                <w:szCs w:val="18"/>
              </w:rPr>
              <w:t>9,935</w:t>
            </w:r>
          </w:p>
        </w:tc>
        <w:tc>
          <w:tcPr>
            <w:tcW w:w="708" w:type="pct"/>
            <w:tcBorders>
              <w:top w:val="single" w:sz="4" w:space="0" w:color="auto"/>
              <w:bottom w:val="single" w:sz="4" w:space="0" w:color="auto"/>
            </w:tcBorders>
            <w:tcMar>
              <w:top w:w="0" w:type="dxa"/>
              <w:left w:w="0" w:type="dxa"/>
              <w:bottom w:w="0" w:type="dxa"/>
              <w:right w:w="0" w:type="dxa"/>
            </w:tcMar>
            <w:vAlign w:val="center"/>
          </w:tcPr>
          <w:p w14:paraId="2C8FAA7F" w14:textId="77777777" w:rsidR="009103CC" w:rsidRPr="001814D2" w:rsidRDefault="009103CC" w:rsidP="002718DF">
            <w:pPr>
              <w:pStyle w:val="Tabletext"/>
              <w:jc w:val="right"/>
              <w:rPr>
                <w:rFonts w:cs="Preston"/>
                <w:szCs w:val="18"/>
              </w:rPr>
            </w:pPr>
            <w:r w:rsidRPr="001814D2">
              <w:rPr>
                <w:rFonts w:cs="Preston"/>
                <w:szCs w:val="18"/>
              </w:rPr>
              <w:t>7,055</w:t>
            </w:r>
          </w:p>
        </w:tc>
        <w:tc>
          <w:tcPr>
            <w:tcW w:w="706" w:type="pct"/>
            <w:tcBorders>
              <w:top w:val="single" w:sz="4" w:space="0" w:color="auto"/>
              <w:bottom w:val="single" w:sz="4" w:space="0" w:color="auto"/>
            </w:tcBorders>
            <w:tcMar>
              <w:top w:w="0" w:type="dxa"/>
              <w:left w:w="0" w:type="dxa"/>
              <w:bottom w:w="0" w:type="dxa"/>
              <w:right w:w="0" w:type="dxa"/>
            </w:tcMar>
            <w:vAlign w:val="center"/>
          </w:tcPr>
          <w:p w14:paraId="1E8C86E8" w14:textId="77777777" w:rsidR="009103CC" w:rsidRPr="001814D2" w:rsidRDefault="009103CC" w:rsidP="002718DF">
            <w:pPr>
              <w:pStyle w:val="Tabletext"/>
              <w:jc w:val="right"/>
              <w:rPr>
                <w:rFonts w:cs="Preston"/>
                <w:szCs w:val="18"/>
              </w:rPr>
            </w:pPr>
            <w:r w:rsidRPr="001814D2">
              <w:rPr>
                <w:rFonts w:cs="Preston"/>
                <w:szCs w:val="18"/>
              </w:rPr>
              <w:t>9,935</w:t>
            </w:r>
          </w:p>
        </w:tc>
      </w:tr>
      <w:tr w:rsidR="009103CC" w:rsidRPr="001814D2" w14:paraId="0551B0C1"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3E1E6096" w14:textId="77777777" w:rsidR="009103CC" w:rsidRPr="001814D2" w:rsidRDefault="009103CC" w:rsidP="002718DF">
            <w:pPr>
              <w:pStyle w:val="Tabletext"/>
            </w:pPr>
            <w:r w:rsidRPr="001814D2">
              <w:t>Revenue recognised under AASB 1058</w:t>
            </w:r>
          </w:p>
        </w:tc>
        <w:tc>
          <w:tcPr>
            <w:tcW w:w="708" w:type="pct"/>
            <w:tcBorders>
              <w:top w:val="single" w:sz="4" w:space="0" w:color="auto"/>
              <w:bottom w:val="single" w:sz="4" w:space="0" w:color="auto"/>
            </w:tcBorders>
            <w:tcMar>
              <w:top w:w="0" w:type="dxa"/>
              <w:left w:w="0" w:type="dxa"/>
              <w:bottom w:w="0" w:type="dxa"/>
              <w:right w:w="0" w:type="dxa"/>
            </w:tcMar>
            <w:vAlign w:val="center"/>
          </w:tcPr>
          <w:p w14:paraId="2E6C30D0" w14:textId="77777777" w:rsidR="009103CC" w:rsidRPr="001814D2" w:rsidRDefault="009103CC" w:rsidP="002718DF">
            <w:pPr>
              <w:pStyle w:val="Tabletext"/>
              <w:jc w:val="right"/>
              <w:rPr>
                <w:rFonts w:cs="Preston"/>
                <w:szCs w:val="18"/>
              </w:rPr>
            </w:pPr>
            <w:r w:rsidRPr="001814D2">
              <w:rPr>
                <w:rFonts w:cs="Preston"/>
                <w:szCs w:val="18"/>
              </w:rPr>
              <w:t>189,773</w:t>
            </w:r>
          </w:p>
        </w:tc>
        <w:tc>
          <w:tcPr>
            <w:tcW w:w="708" w:type="pct"/>
            <w:tcBorders>
              <w:top w:val="single" w:sz="4" w:space="0" w:color="auto"/>
              <w:bottom w:val="single" w:sz="4" w:space="0" w:color="auto"/>
            </w:tcBorders>
            <w:tcMar>
              <w:top w:w="0" w:type="dxa"/>
              <w:left w:w="0" w:type="dxa"/>
              <w:bottom w:w="0" w:type="dxa"/>
              <w:right w:w="0" w:type="dxa"/>
            </w:tcMar>
            <w:vAlign w:val="center"/>
          </w:tcPr>
          <w:p w14:paraId="079958A2" w14:textId="77777777" w:rsidR="009103CC" w:rsidRPr="001814D2" w:rsidRDefault="009103CC" w:rsidP="002718DF">
            <w:pPr>
              <w:pStyle w:val="Tabletext"/>
              <w:jc w:val="right"/>
              <w:rPr>
                <w:rFonts w:cs="Preston"/>
                <w:szCs w:val="18"/>
              </w:rPr>
            </w:pPr>
            <w:r w:rsidRPr="001814D2">
              <w:rPr>
                <w:rFonts w:cs="Preston"/>
                <w:szCs w:val="18"/>
              </w:rPr>
              <w:t>125,802</w:t>
            </w:r>
          </w:p>
        </w:tc>
        <w:tc>
          <w:tcPr>
            <w:tcW w:w="708" w:type="pct"/>
            <w:tcBorders>
              <w:top w:val="single" w:sz="4" w:space="0" w:color="auto"/>
              <w:bottom w:val="single" w:sz="4" w:space="0" w:color="auto"/>
            </w:tcBorders>
            <w:tcMar>
              <w:top w:w="0" w:type="dxa"/>
              <w:left w:w="0" w:type="dxa"/>
              <w:bottom w:w="0" w:type="dxa"/>
              <w:right w:w="0" w:type="dxa"/>
            </w:tcMar>
            <w:vAlign w:val="center"/>
          </w:tcPr>
          <w:p w14:paraId="20E9F3C1" w14:textId="77777777" w:rsidR="009103CC" w:rsidRPr="001814D2" w:rsidRDefault="009103CC" w:rsidP="002718DF">
            <w:pPr>
              <w:pStyle w:val="Tabletext"/>
              <w:jc w:val="right"/>
              <w:rPr>
                <w:rFonts w:cs="Preston"/>
                <w:szCs w:val="18"/>
              </w:rPr>
            </w:pPr>
            <w:r w:rsidRPr="001814D2">
              <w:rPr>
                <w:rFonts w:cs="Preston"/>
                <w:szCs w:val="18"/>
              </w:rPr>
              <w:t>189,625</w:t>
            </w:r>
          </w:p>
        </w:tc>
        <w:tc>
          <w:tcPr>
            <w:tcW w:w="706" w:type="pct"/>
            <w:tcBorders>
              <w:top w:val="single" w:sz="4" w:space="0" w:color="auto"/>
              <w:bottom w:val="single" w:sz="4" w:space="0" w:color="auto"/>
            </w:tcBorders>
            <w:tcMar>
              <w:top w:w="0" w:type="dxa"/>
              <w:left w:w="0" w:type="dxa"/>
              <w:bottom w:w="0" w:type="dxa"/>
              <w:right w:w="0" w:type="dxa"/>
            </w:tcMar>
            <w:vAlign w:val="center"/>
          </w:tcPr>
          <w:p w14:paraId="4A38EFBB" w14:textId="77777777" w:rsidR="009103CC" w:rsidRPr="001814D2" w:rsidRDefault="009103CC" w:rsidP="002718DF">
            <w:pPr>
              <w:pStyle w:val="Tabletext"/>
              <w:jc w:val="right"/>
              <w:rPr>
                <w:rFonts w:cs="Preston"/>
                <w:szCs w:val="18"/>
              </w:rPr>
            </w:pPr>
            <w:r w:rsidRPr="001814D2">
              <w:rPr>
                <w:rFonts w:cs="Preston"/>
                <w:szCs w:val="18"/>
              </w:rPr>
              <w:t>130,649</w:t>
            </w:r>
          </w:p>
        </w:tc>
      </w:tr>
      <w:tr w:rsidR="009103CC" w:rsidRPr="001814D2" w14:paraId="2E02834E"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29F68B18" w14:textId="77777777" w:rsidR="009103CC" w:rsidRPr="001814D2" w:rsidRDefault="009103CC" w:rsidP="002718DF">
            <w:pPr>
              <w:pStyle w:val="Tabletext"/>
            </w:pPr>
            <w:r w:rsidRPr="001814D2">
              <w:t>Revenue from continuing operations</w:t>
            </w:r>
          </w:p>
        </w:tc>
        <w:tc>
          <w:tcPr>
            <w:tcW w:w="708" w:type="pct"/>
            <w:tcBorders>
              <w:top w:val="single" w:sz="4" w:space="0" w:color="auto"/>
              <w:bottom w:val="single" w:sz="4" w:space="0" w:color="auto"/>
            </w:tcBorders>
            <w:tcMar>
              <w:top w:w="0" w:type="dxa"/>
              <w:left w:w="0" w:type="dxa"/>
              <w:bottom w:w="0" w:type="dxa"/>
              <w:right w:w="0" w:type="dxa"/>
            </w:tcMar>
            <w:vAlign w:val="center"/>
          </w:tcPr>
          <w:p w14:paraId="7242ED49" w14:textId="77777777" w:rsidR="009103CC" w:rsidRPr="001814D2" w:rsidRDefault="009103CC" w:rsidP="002718DF">
            <w:pPr>
              <w:pStyle w:val="Tabletext"/>
              <w:jc w:val="right"/>
              <w:rPr>
                <w:rFonts w:cs="Preston"/>
                <w:szCs w:val="18"/>
              </w:rPr>
            </w:pPr>
            <w:r w:rsidRPr="001814D2">
              <w:rPr>
                <w:rFonts w:cs="Preston"/>
                <w:szCs w:val="18"/>
              </w:rPr>
              <w:t>196,828</w:t>
            </w:r>
          </w:p>
        </w:tc>
        <w:tc>
          <w:tcPr>
            <w:tcW w:w="708" w:type="pct"/>
            <w:tcBorders>
              <w:top w:val="single" w:sz="4" w:space="0" w:color="auto"/>
              <w:bottom w:val="single" w:sz="4" w:space="0" w:color="auto"/>
            </w:tcBorders>
            <w:tcMar>
              <w:top w:w="0" w:type="dxa"/>
              <w:left w:w="0" w:type="dxa"/>
              <w:bottom w:w="0" w:type="dxa"/>
              <w:right w:w="0" w:type="dxa"/>
            </w:tcMar>
            <w:vAlign w:val="center"/>
          </w:tcPr>
          <w:p w14:paraId="0C95F3FF" w14:textId="77777777" w:rsidR="009103CC" w:rsidRPr="001814D2" w:rsidRDefault="009103CC" w:rsidP="002718DF">
            <w:pPr>
              <w:pStyle w:val="Tabletext"/>
              <w:jc w:val="right"/>
              <w:rPr>
                <w:rFonts w:cs="Preston"/>
                <w:szCs w:val="18"/>
              </w:rPr>
            </w:pPr>
            <w:r w:rsidRPr="001814D2">
              <w:rPr>
                <w:rFonts w:cs="Preston"/>
                <w:szCs w:val="18"/>
              </w:rPr>
              <w:t>135,737</w:t>
            </w:r>
          </w:p>
        </w:tc>
        <w:tc>
          <w:tcPr>
            <w:tcW w:w="708" w:type="pct"/>
            <w:tcBorders>
              <w:top w:val="single" w:sz="4" w:space="0" w:color="auto"/>
              <w:bottom w:val="single" w:sz="4" w:space="0" w:color="auto"/>
            </w:tcBorders>
            <w:tcMar>
              <w:top w:w="0" w:type="dxa"/>
              <w:left w:w="0" w:type="dxa"/>
              <w:bottom w:w="0" w:type="dxa"/>
              <w:right w:w="0" w:type="dxa"/>
            </w:tcMar>
            <w:vAlign w:val="center"/>
          </w:tcPr>
          <w:p w14:paraId="6FBE3575" w14:textId="77777777" w:rsidR="009103CC" w:rsidRPr="001814D2" w:rsidRDefault="009103CC" w:rsidP="002718DF">
            <w:pPr>
              <w:pStyle w:val="Tabletext"/>
              <w:jc w:val="right"/>
              <w:rPr>
                <w:rFonts w:cs="Preston"/>
                <w:szCs w:val="18"/>
              </w:rPr>
            </w:pPr>
            <w:r w:rsidRPr="001814D2">
              <w:rPr>
                <w:rFonts w:cs="Preston"/>
                <w:szCs w:val="18"/>
              </w:rPr>
              <w:t>196,680</w:t>
            </w:r>
          </w:p>
        </w:tc>
        <w:tc>
          <w:tcPr>
            <w:tcW w:w="706" w:type="pct"/>
            <w:tcBorders>
              <w:top w:val="single" w:sz="4" w:space="0" w:color="auto"/>
              <w:bottom w:val="single" w:sz="4" w:space="0" w:color="auto"/>
            </w:tcBorders>
            <w:tcMar>
              <w:top w:w="0" w:type="dxa"/>
              <w:left w:w="0" w:type="dxa"/>
              <w:bottom w:w="0" w:type="dxa"/>
              <w:right w:w="0" w:type="dxa"/>
            </w:tcMar>
            <w:vAlign w:val="center"/>
          </w:tcPr>
          <w:p w14:paraId="6F15AFB4" w14:textId="77777777" w:rsidR="009103CC" w:rsidRPr="001814D2" w:rsidRDefault="009103CC" w:rsidP="002718DF">
            <w:pPr>
              <w:pStyle w:val="Tabletext"/>
              <w:jc w:val="right"/>
              <w:rPr>
                <w:rFonts w:cs="Preston"/>
                <w:szCs w:val="18"/>
              </w:rPr>
            </w:pPr>
            <w:r w:rsidRPr="001814D2">
              <w:rPr>
                <w:rFonts w:cs="Preston"/>
                <w:szCs w:val="18"/>
              </w:rPr>
              <w:t>140,584</w:t>
            </w:r>
          </w:p>
        </w:tc>
      </w:tr>
    </w:tbl>
    <w:p w14:paraId="31740501" w14:textId="77777777" w:rsidR="009103CC" w:rsidRPr="001814D2" w:rsidRDefault="009103CC" w:rsidP="009103CC">
      <w:pPr>
        <w:pStyle w:val="Tabletext"/>
      </w:pPr>
    </w:p>
    <w:tbl>
      <w:tblPr>
        <w:tblW w:w="5000" w:type="pct"/>
        <w:tblCellMar>
          <w:left w:w="0" w:type="dxa"/>
          <w:right w:w="0" w:type="dxa"/>
        </w:tblCellMar>
        <w:tblLook w:val="0000" w:firstRow="0" w:lastRow="0" w:firstColumn="0" w:lastColumn="0" w:noHBand="0" w:noVBand="0"/>
        <w:tblCaption w:val="Movement of Section 4.7 GSF Act – Deemed Appropriations"/>
        <w:tblDescription w:val="This table provides figures for 2020 and 2021."/>
      </w:tblPr>
      <w:tblGrid>
        <w:gridCol w:w="3937"/>
        <w:gridCol w:w="1284"/>
        <w:gridCol w:w="1284"/>
        <w:gridCol w:w="1284"/>
        <w:gridCol w:w="1281"/>
      </w:tblGrid>
      <w:tr w:rsidR="009103CC" w:rsidRPr="001814D2" w14:paraId="385191B9" w14:textId="77777777" w:rsidTr="002718DF">
        <w:trPr>
          <w:cantSplit/>
          <w:trHeight w:hRule="exact" w:val="553"/>
          <w:tblHeader/>
        </w:trPr>
        <w:tc>
          <w:tcPr>
            <w:tcW w:w="2170" w:type="pct"/>
            <w:tcMar>
              <w:top w:w="0" w:type="dxa"/>
              <w:left w:w="0" w:type="dxa"/>
              <w:bottom w:w="0" w:type="dxa"/>
              <w:right w:w="0" w:type="dxa"/>
            </w:tcMar>
            <w:vAlign w:val="center"/>
          </w:tcPr>
          <w:p w14:paraId="4AF0BDA5"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10A84B52"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235E3D3E"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71602CB1" w14:textId="77777777" w:rsidR="009103CC" w:rsidRPr="001814D2" w:rsidRDefault="009103CC" w:rsidP="002718DF">
            <w:pPr>
              <w:pStyle w:val="Tabletext"/>
              <w:jc w:val="right"/>
              <w:rPr>
                <w:rFonts w:cs="Preston"/>
                <w:b/>
                <w:bCs/>
                <w:szCs w:val="18"/>
              </w:rPr>
            </w:pPr>
            <w:r w:rsidRPr="001814D2">
              <w:rPr>
                <w:rFonts w:cs="Preston"/>
                <w:b/>
                <w:bCs/>
                <w:szCs w:val="18"/>
              </w:rPr>
              <w:t>2021</w:t>
            </w:r>
          </w:p>
          <w:p w14:paraId="119F72D9"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2D059BB7" w14:textId="77777777" w:rsidR="009103CC" w:rsidRPr="001814D2" w:rsidRDefault="009103CC" w:rsidP="002718DF">
            <w:pPr>
              <w:pStyle w:val="Tabletext"/>
              <w:jc w:val="right"/>
              <w:rPr>
                <w:rFonts w:cs="Preston"/>
                <w:b/>
                <w:bCs/>
                <w:szCs w:val="18"/>
              </w:rPr>
            </w:pPr>
          </w:p>
        </w:tc>
        <w:tc>
          <w:tcPr>
            <w:tcW w:w="706" w:type="pct"/>
            <w:tcMar>
              <w:top w:w="0" w:type="dxa"/>
              <w:left w:w="0" w:type="dxa"/>
              <w:bottom w:w="0" w:type="dxa"/>
              <w:right w:w="0" w:type="dxa"/>
            </w:tcMar>
            <w:vAlign w:val="center"/>
          </w:tcPr>
          <w:p w14:paraId="4B338DC0" w14:textId="77777777" w:rsidR="009103CC" w:rsidRPr="001814D2" w:rsidRDefault="009103CC" w:rsidP="002718DF">
            <w:pPr>
              <w:pStyle w:val="Tabletext"/>
              <w:jc w:val="right"/>
              <w:rPr>
                <w:rFonts w:cs="Preston"/>
                <w:szCs w:val="18"/>
              </w:rPr>
            </w:pPr>
            <w:r w:rsidRPr="001814D2">
              <w:rPr>
                <w:rFonts w:cs="Preston"/>
                <w:szCs w:val="18"/>
              </w:rPr>
              <w:t>2020</w:t>
            </w:r>
          </w:p>
          <w:p w14:paraId="13D1E987" w14:textId="77777777" w:rsidR="009103CC" w:rsidRPr="001814D2" w:rsidRDefault="009103CC" w:rsidP="002718DF">
            <w:pPr>
              <w:pStyle w:val="Tabletext"/>
              <w:jc w:val="right"/>
              <w:rPr>
                <w:rFonts w:cs="Preston"/>
                <w:szCs w:val="18"/>
              </w:rPr>
            </w:pPr>
            <w:r w:rsidRPr="001814D2">
              <w:rPr>
                <w:rFonts w:cs="Preston"/>
                <w:szCs w:val="18"/>
              </w:rPr>
              <w:t>$'000</w:t>
            </w:r>
          </w:p>
          <w:p w14:paraId="76F88D4C" w14:textId="77777777" w:rsidR="009103CC" w:rsidRPr="001814D2" w:rsidRDefault="009103CC" w:rsidP="002718DF">
            <w:pPr>
              <w:pStyle w:val="Tabletext"/>
              <w:jc w:val="right"/>
              <w:rPr>
                <w:rFonts w:cs="Preston"/>
                <w:szCs w:val="18"/>
              </w:rPr>
            </w:pPr>
          </w:p>
        </w:tc>
      </w:tr>
      <w:tr w:rsidR="009103CC" w:rsidRPr="001814D2" w14:paraId="00F50AC9" w14:textId="77777777" w:rsidTr="002718DF">
        <w:trPr>
          <w:cantSplit/>
          <w:trHeight w:hRule="exact" w:val="332"/>
          <w:tblHeader/>
        </w:trPr>
        <w:tc>
          <w:tcPr>
            <w:tcW w:w="2878" w:type="pct"/>
            <w:gridSpan w:val="2"/>
            <w:tcBorders>
              <w:bottom w:val="single" w:sz="4" w:space="0" w:color="auto"/>
            </w:tcBorders>
            <w:tcMar>
              <w:top w:w="0" w:type="dxa"/>
              <w:left w:w="0" w:type="dxa"/>
              <w:bottom w:w="0" w:type="dxa"/>
              <w:right w:w="0" w:type="dxa"/>
            </w:tcMar>
            <w:vAlign w:val="center"/>
          </w:tcPr>
          <w:p w14:paraId="2C503C73" w14:textId="77777777" w:rsidR="009103CC" w:rsidRPr="001814D2" w:rsidRDefault="009103CC" w:rsidP="002718DF">
            <w:pPr>
              <w:pStyle w:val="Tabletext"/>
              <w:rPr>
                <w:rFonts w:cs="Preston"/>
                <w:b/>
                <w:bCs/>
                <w:szCs w:val="18"/>
              </w:rPr>
            </w:pPr>
            <w:r w:rsidRPr="001814D2">
              <w:rPr>
                <w:rFonts w:cs="Preston"/>
                <w:b/>
                <w:bCs/>
                <w:szCs w:val="18"/>
              </w:rPr>
              <w:t>Movement of Section 4.7 GSF Act – Deemed Appropriations</w:t>
            </w:r>
          </w:p>
        </w:tc>
        <w:tc>
          <w:tcPr>
            <w:tcW w:w="708" w:type="pct"/>
            <w:tcBorders>
              <w:bottom w:val="single" w:sz="4" w:space="0" w:color="auto"/>
            </w:tcBorders>
            <w:tcMar>
              <w:top w:w="0" w:type="dxa"/>
              <w:left w:w="0" w:type="dxa"/>
              <w:bottom w:w="0" w:type="dxa"/>
              <w:right w:w="0" w:type="dxa"/>
            </w:tcMar>
            <w:vAlign w:val="center"/>
          </w:tcPr>
          <w:p w14:paraId="1D2BE43E" w14:textId="77777777" w:rsidR="009103CC" w:rsidRPr="001814D2" w:rsidRDefault="009103CC" w:rsidP="002718DF">
            <w:pPr>
              <w:pStyle w:val="Tabletext"/>
              <w:rPr>
                <w:b/>
                <w:bCs/>
              </w:rPr>
            </w:pPr>
          </w:p>
        </w:tc>
        <w:tc>
          <w:tcPr>
            <w:tcW w:w="708" w:type="pct"/>
            <w:tcBorders>
              <w:bottom w:val="single" w:sz="4" w:space="0" w:color="auto"/>
            </w:tcBorders>
            <w:tcMar>
              <w:top w:w="0" w:type="dxa"/>
              <w:left w:w="0" w:type="dxa"/>
              <w:bottom w:w="0" w:type="dxa"/>
              <w:right w:w="0" w:type="dxa"/>
            </w:tcMar>
            <w:vAlign w:val="center"/>
          </w:tcPr>
          <w:p w14:paraId="37DFD78B" w14:textId="77777777" w:rsidR="009103CC" w:rsidRPr="001814D2" w:rsidRDefault="009103CC" w:rsidP="002718DF">
            <w:pPr>
              <w:pStyle w:val="Tabletext"/>
              <w:jc w:val="right"/>
              <w:rPr>
                <w:b/>
                <w:bCs/>
              </w:rPr>
            </w:pPr>
          </w:p>
        </w:tc>
        <w:tc>
          <w:tcPr>
            <w:tcW w:w="706" w:type="pct"/>
            <w:tcBorders>
              <w:bottom w:val="single" w:sz="4" w:space="0" w:color="auto"/>
            </w:tcBorders>
            <w:tcMar>
              <w:top w:w="0" w:type="dxa"/>
              <w:left w:w="0" w:type="dxa"/>
              <w:bottom w:w="0" w:type="dxa"/>
              <w:right w:w="0" w:type="dxa"/>
            </w:tcMar>
            <w:vAlign w:val="center"/>
          </w:tcPr>
          <w:p w14:paraId="215CD21B" w14:textId="77777777" w:rsidR="009103CC" w:rsidRPr="001814D2" w:rsidRDefault="009103CC" w:rsidP="002718DF">
            <w:pPr>
              <w:pStyle w:val="Tabletext"/>
              <w:jc w:val="right"/>
              <w:rPr>
                <w:b/>
                <w:bCs/>
              </w:rPr>
            </w:pPr>
          </w:p>
        </w:tc>
      </w:tr>
      <w:tr w:rsidR="009103CC" w:rsidRPr="001814D2" w14:paraId="1BBA8CDC" w14:textId="77777777" w:rsidTr="002718DF">
        <w:trPr>
          <w:cantSplit/>
          <w:trHeight w:hRule="exact" w:val="332"/>
        </w:trPr>
        <w:tc>
          <w:tcPr>
            <w:tcW w:w="2878" w:type="pct"/>
            <w:gridSpan w:val="2"/>
            <w:tcBorders>
              <w:top w:val="single" w:sz="4" w:space="0" w:color="auto"/>
              <w:bottom w:val="single" w:sz="4" w:space="0" w:color="auto"/>
            </w:tcBorders>
            <w:tcMar>
              <w:top w:w="0" w:type="dxa"/>
              <w:left w:w="0" w:type="dxa"/>
              <w:bottom w:w="0" w:type="dxa"/>
              <w:right w:w="0" w:type="dxa"/>
            </w:tcMar>
            <w:vAlign w:val="center"/>
          </w:tcPr>
          <w:p w14:paraId="53AB849B" w14:textId="77777777" w:rsidR="009103CC" w:rsidRPr="001814D2" w:rsidRDefault="009103CC" w:rsidP="002718DF">
            <w:pPr>
              <w:pStyle w:val="Tabletext"/>
            </w:pPr>
            <w:r w:rsidRPr="001814D2">
              <w:t>Opening balance</w:t>
            </w:r>
          </w:p>
        </w:tc>
        <w:tc>
          <w:tcPr>
            <w:tcW w:w="708" w:type="pct"/>
            <w:tcBorders>
              <w:top w:val="single" w:sz="4" w:space="0" w:color="auto"/>
              <w:bottom w:val="single" w:sz="4" w:space="0" w:color="auto"/>
            </w:tcBorders>
            <w:tcMar>
              <w:top w:w="0" w:type="dxa"/>
              <w:left w:w="0" w:type="dxa"/>
              <w:bottom w:w="0" w:type="dxa"/>
              <w:right w:w="0" w:type="dxa"/>
            </w:tcMar>
            <w:vAlign w:val="center"/>
          </w:tcPr>
          <w:p w14:paraId="760B0200" w14:textId="77777777" w:rsidR="009103CC" w:rsidRPr="001814D2" w:rsidRDefault="009103CC" w:rsidP="002718DF">
            <w:pPr>
              <w:pStyle w:val="Tabletext"/>
            </w:pPr>
          </w:p>
        </w:tc>
        <w:tc>
          <w:tcPr>
            <w:tcW w:w="708" w:type="pct"/>
            <w:tcBorders>
              <w:top w:val="single" w:sz="4" w:space="0" w:color="auto"/>
              <w:bottom w:val="single" w:sz="4" w:space="0" w:color="auto"/>
            </w:tcBorders>
            <w:tcMar>
              <w:top w:w="0" w:type="dxa"/>
              <w:left w:w="0" w:type="dxa"/>
              <w:bottom w:w="0" w:type="dxa"/>
              <w:right w:w="0" w:type="dxa"/>
            </w:tcMar>
            <w:vAlign w:val="center"/>
          </w:tcPr>
          <w:p w14:paraId="1F58C18C" w14:textId="77777777" w:rsidR="009103CC" w:rsidRPr="001814D2" w:rsidRDefault="009103CC" w:rsidP="002718DF">
            <w:pPr>
              <w:pStyle w:val="Tabletext"/>
              <w:jc w:val="right"/>
              <w:rPr>
                <w:rFonts w:cs="Preston"/>
                <w:b/>
                <w:bCs/>
                <w:szCs w:val="18"/>
              </w:rPr>
            </w:pPr>
            <w:r w:rsidRPr="001814D2">
              <w:rPr>
                <w:rFonts w:cs="Preston"/>
                <w:b/>
                <w:bCs/>
                <w:szCs w:val="18"/>
              </w:rPr>
              <w:t>3,950</w:t>
            </w:r>
          </w:p>
        </w:tc>
        <w:tc>
          <w:tcPr>
            <w:tcW w:w="706" w:type="pct"/>
            <w:tcBorders>
              <w:top w:val="single" w:sz="4" w:space="0" w:color="auto"/>
              <w:bottom w:val="single" w:sz="4" w:space="0" w:color="auto"/>
            </w:tcBorders>
            <w:tcMar>
              <w:top w:w="0" w:type="dxa"/>
              <w:left w:w="0" w:type="dxa"/>
              <w:bottom w:w="0" w:type="dxa"/>
              <w:right w:w="0" w:type="dxa"/>
            </w:tcMar>
            <w:vAlign w:val="center"/>
          </w:tcPr>
          <w:p w14:paraId="2B05E1F7" w14:textId="77777777" w:rsidR="009103CC" w:rsidRPr="001814D2" w:rsidRDefault="009103CC" w:rsidP="002718DF">
            <w:pPr>
              <w:pStyle w:val="Tabletext"/>
              <w:jc w:val="right"/>
              <w:rPr>
                <w:rFonts w:cs="Preston"/>
                <w:szCs w:val="18"/>
              </w:rPr>
            </w:pPr>
            <w:r w:rsidRPr="001814D2">
              <w:rPr>
                <w:rFonts w:cs="Preston"/>
                <w:szCs w:val="18"/>
              </w:rPr>
              <w:t>27,463</w:t>
            </w:r>
          </w:p>
        </w:tc>
      </w:tr>
      <w:tr w:rsidR="009103CC" w:rsidRPr="001814D2" w14:paraId="72C2724A" w14:textId="77777777" w:rsidTr="002718DF">
        <w:trPr>
          <w:cantSplit/>
          <w:trHeight w:hRule="exact" w:val="332"/>
        </w:trPr>
        <w:tc>
          <w:tcPr>
            <w:tcW w:w="2878" w:type="pct"/>
            <w:gridSpan w:val="2"/>
            <w:tcBorders>
              <w:top w:val="single" w:sz="4" w:space="0" w:color="auto"/>
              <w:bottom w:val="single" w:sz="4" w:space="0" w:color="auto"/>
            </w:tcBorders>
            <w:tcMar>
              <w:top w:w="0" w:type="dxa"/>
              <w:left w:w="0" w:type="dxa"/>
              <w:bottom w:w="0" w:type="dxa"/>
              <w:right w:w="0" w:type="dxa"/>
            </w:tcMar>
            <w:vAlign w:val="center"/>
          </w:tcPr>
          <w:p w14:paraId="5EBA9C60" w14:textId="77777777" w:rsidR="009103CC" w:rsidRPr="001814D2" w:rsidRDefault="009103CC" w:rsidP="002718DF">
            <w:pPr>
              <w:pStyle w:val="Tabletext"/>
            </w:pPr>
            <w:r w:rsidRPr="001814D2">
              <w:t>Add: additions of deemed appropriations</w:t>
            </w:r>
          </w:p>
        </w:tc>
        <w:tc>
          <w:tcPr>
            <w:tcW w:w="708" w:type="pct"/>
            <w:tcBorders>
              <w:top w:val="single" w:sz="4" w:space="0" w:color="auto"/>
              <w:bottom w:val="single" w:sz="4" w:space="0" w:color="auto"/>
            </w:tcBorders>
            <w:tcMar>
              <w:top w:w="0" w:type="dxa"/>
              <w:left w:w="0" w:type="dxa"/>
              <w:bottom w:w="0" w:type="dxa"/>
              <w:right w:w="0" w:type="dxa"/>
            </w:tcMar>
            <w:vAlign w:val="center"/>
          </w:tcPr>
          <w:p w14:paraId="380E0184" w14:textId="77777777" w:rsidR="009103CC" w:rsidRPr="001814D2" w:rsidRDefault="009103CC" w:rsidP="002718DF">
            <w:pPr>
              <w:pStyle w:val="Tabletext"/>
            </w:pPr>
          </w:p>
        </w:tc>
        <w:tc>
          <w:tcPr>
            <w:tcW w:w="708" w:type="pct"/>
            <w:tcBorders>
              <w:top w:val="single" w:sz="4" w:space="0" w:color="auto"/>
              <w:bottom w:val="single" w:sz="4" w:space="0" w:color="auto"/>
            </w:tcBorders>
            <w:tcMar>
              <w:top w:w="0" w:type="dxa"/>
              <w:left w:w="0" w:type="dxa"/>
              <w:bottom w:w="0" w:type="dxa"/>
              <w:right w:w="0" w:type="dxa"/>
            </w:tcMar>
            <w:vAlign w:val="center"/>
          </w:tcPr>
          <w:p w14:paraId="0C5CFB59" w14:textId="77777777" w:rsidR="009103CC" w:rsidRPr="001814D2" w:rsidRDefault="009103CC" w:rsidP="002718DF">
            <w:pPr>
              <w:pStyle w:val="Tabletext"/>
              <w:jc w:val="right"/>
              <w:rPr>
                <w:rFonts w:cs="Preston"/>
                <w:b/>
                <w:bCs/>
                <w:szCs w:val="18"/>
              </w:rPr>
            </w:pPr>
            <w:r w:rsidRPr="001814D2">
              <w:rPr>
                <w:rFonts w:cs="Preston"/>
                <w:b/>
                <w:bCs/>
                <w:szCs w:val="18"/>
              </w:rPr>
              <w:t>190,466</w:t>
            </w:r>
          </w:p>
        </w:tc>
        <w:tc>
          <w:tcPr>
            <w:tcW w:w="706" w:type="pct"/>
            <w:tcBorders>
              <w:top w:val="single" w:sz="4" w:space="0" w:color="auto"/>
              <w:bottom w:val="single" w:sz="4" w:space="0" w:color="auto"/>
            </w:tcBorders>
            <w:tcMar>
              <w:top w:w="0" w:type="dxa"/>
              <w:left w:w="0" w:type="dxa"/>
              <w:bottom w:w="0" w:type="dxa"/>
              <w:right w:w="0" w:type="dxa"/>
            </w:tcMar>
            <w:vAlign w:val="center"/>
          </w:tcPr>
          <w:p w14:paraId="6623495D" w14:textId="77777777" w:rsidR="009103CC" w:rsidRPr="001814D2" w:rsidRDefault="009103CC" w:rsidP="002718DF">
            <w:pPr>
              <w:pStyle w:val="Tabletext"/>
              <w:jc w:val="right"/>
              <w:rPr>
                <w:rFonts w:cs="Preston"/>
                <w:szCs w:val="18"/>
              </w:rPr>
            </w:pPr>
            <w:r w:rsidRPr="001814D2">
              <w:rPr>
                <w:rFonts w:cs="Preston"/>
                <w:szCs w:val="18"/>
              </w:rPr>
              <w:t>129,612</w:t>
            </w:r>
          </w:p>
        </w:tc>
      </w:tr>
      <w:tr w:rsidR="009103CC" w:rsidRPr="001814D2" w14:paraId="02794701" w14:textId="77777777" w:rsidTr="002718DF">
        <w:trPr>
          <w:cantSplit/>
          <w:trHeight w:hRule="exact" w:val="332"/>
        </w:trPr>
        <w:tc>
          <w:tcPr>
            <w:tcW w:w="2878" w:type="pct"/>
            <w:gridSpan w:val="2"/>
            <w:tcBorders>
              <w:top w:val="single" w:sz="4" w:space="0" w:color="auto"/>
              <w:bottom w:val="single" w:sz="4" w:space="0" w:color="auto"/>
            </w:tcBorders>
            <w:tcMar>
              <w:top w:w="0" w:type="dxa"/>
              <w:left w:w="0" w:type="dxa"/>
              <w:bottom w:w="0" w:type="dxa"/>
              <w:right w:w="0" w:type="dxa"/>
            </w:tcMar>
            <w:vAlign w:val="center"/>
          </w:tcPr>
          <w:p w14:paraId="28A7643D" w14:textId="77777777" w:rsidR="009103CC" w:rsidRPr="001814D2" w:rsidRDefault="009103CC" w:rsidP="002718DF">
            <w:pPr>
              <w:pStyle w:val="Tabletext"/>
            </w:pPr>
            <w:r w:rsidRPr="001814D2">
              <w:t>Less: expenditure charged against deemed appropriations</w:t>
            </w:r>
          </w:p>
        </w:tc>
        <w:tc>
          <w:tcPr>
            <w:tcW w:w="708" w:type="pct"/>
            <w:tcBorders>
              <w:top w:val="single" w:sz="4" w:space="0" w:color="auto"/>
              <w:bottom w:val="single" w:sz="4" w:space="0" w:color="auto"/>
            </w:tcBorders>
            <w:tcMar>
              <w:top w:w="0" w:type="dxa"/>
              <w:left w:w="0" w:type="dxa"/>
              <w:bottom w:w="0" w:type="dxa"/>
              <w:right w:w="0" w:type="dxa"/>
            </w:tcMar>
            <w:vAlign w:val="center"/>
          </w:tcPr>
          <w:p w14:paraId="38BD4C9B" w14:textId="77777777" w:rsidR="009103CC" w:rsidRPr="001814D2" w:rsidRDefault="009103CC" w:rsidP="002718DF">
            <w:pPr>
              <w:pStyle w:val="Tabletext"/>
            </w:pPr>
          </w:p>
        </w:tc>
        <w:tc>
          <w:tcPr>
            <w:tcW w:w="708" w:type="pct"/>
            <w:tcBorders>
              <w:top w:val="single" w:sz="4" w:space="0" w:color="auto"/>
              <w:bottom w:val="single" w:sz="4" w:space="0" w:color="auto"/>
            </w:tcBorders>
            <w:tcMar>
              <w:top w:w="0" w:type="dxa"/>
              <w:left w:w="0" w:type="dxa"/>
              <w:bottom w:w="0" w:type="dxa"/>
              <w:right w:w="0" w:type="dxa"/>
            </w:tcMar>
            <w:vAlign w:val="center"/>
          </w:tcPr>
          <w:p w14:paraId="5130A4FC" w14:textId="77777777" w:rsidR="009103CC" w:rsidRPr="001814D2" w:rsidRDefault="009103CC" w:rsidP="002718DF">
            <w:pPr>
              <w:pStyle w:val="Tabletext"/>
              <w:jc w:val="right"/>
              <w:rPr>
                <w:rFonts w:cs="Preston"/>
                <w:b/>
                <w:bCs/>
                <w:szCs w:val="18"/>
              </w:rPr>
            </w:pPr>
            <w:r w:rsidRPr="001814D2">
              <w:rPr>
                <w:rFonts w:cs="Preston"/>
                <w:b/>
                <w:bCs/>
                <w:szCs w:val="18"/>
              </w:rPr>
              <w:t>(190,867)</w:t>
            </w:r>
          </w:p>
        </w:tc>
        <w:tc>
          <w:tcPr>
            <w:tcW w:w="706" w:type="pct"/>
            <w:tcBorders>
              <w:top w:val="single" w:sz="4" w:space="0" w:color="auto"/>
              <w:bottom w:val="single" w:sz="4" w:space="0" w:color="auto"/>
            </w:tcBorders>
            <w:tcMar>
              <w:top w:w="0" w:type="dxa"/>
              <w:left w:w="0" w:type="dxa"/>
              <w:bottom w:w="0" w:type="dxa"/>
              <w:right w:w="0" w:type="dxa"/>
            </w:tcMar>
            <w:vAlign w:val="center"/>
          </w:tcPr>
          <w:p w14:paraId="523626BF" w14:textId="77777777" w:rsidR="009103CC" w:rsidRPr="001814D2" w:rsidRDefault="009103CC" w:rsidP="002718DF">
            <w:pPr>
              <w:pStyle w:val="Tabletext"/>
              <w:jc w:val="right"/>
              <w:rPr>
                <w:rFonts w:cs="Preston"/>
                <w:szCs w:val="18"/>
              </w:rPr>
            </w:pPr>
            <w:r w:rsidRPr="001814D2">
              <w:rPr>
                <w:rFonts w:cs="Preston"/>
                <w:szCs w:val="18"/>
              </w:rPr>
              <w:t>(153,125)</w:t>
            </w:r>
          </w:p>
        </w:tc>
      </w:tr>
      <w:tr w:rsidR="009103CC" w:rsidRPr="00326C51" w14:paraId="37FEF49C" w14:textId="77777777" w:rsidTr="002718DF">
        <w:trPr>
          <w:cantSplit/>
          <w:trHeight w:hRule="exact" w:val="332"/>
        </w:trPr>
        <w:tc>
          <w:tcPr>
            <w:tcW w:w="2878" w:type="pct"/>
            <w:gridSpan w:val="2"/>
            <w:tcBorders>
              <w:top w:val="single" w:sz="4" w:space="0" w:color="auto"/>
              <w:bottom w:val="single" w:sz="4" w:space="0" w:color="auto"/>
            </w:tcBorders>
            <w:tcMar>
              <w:top w:w="0" w:type="dxa"/>
              <w:left w:w="0" w:type="dxa"/>
              <w:bottom w:w="0" w:type="dxa"/>
              <w:right w:w="0" w:type="dxa"/>
            </w:tcMar>
            <w:vAlign w:val="center"/>
          </w:tcPr>
          <w:p w14:paraId="01A5AE22" w14:textId="77777777" w:rsidR="009103CC" w:rsidRPr="00326C51" w:rsidRDefault="009103CC" w:rsidP="002718DF">
            <w:pPr>
              <w:pStyle w:val="Tabletext"/>
              <w:rPr>
                <w:rFonts w:cs="Preston"/>
                <w:szCs w:val="18"/>
              </w:rPr>
            </w:pPr>
            <w:r w:rsidRPr="00326C51">
              <w:rPr>
                <w:rFonts w:cs="Preston"/>
                <w:szCs w:val="18"/>
              </w:rPr>
              <w:t>Closing balance</w:t>
            </w:r>
          </w:p>
        </w:tc>
        <w:tc>
          <w:tcPr>
            <w:tcW w:w="708" w:type="pct"/>
            <w:tcBorders>
              <w:top w:val="single" w:sz="4" w:space="0" w:color="auto"/>
              <w:bottom w:val="single" w:sz="4" w:space="0" w:color="auto"/>
            </w:tcBorders>
            <w:tcMar>
              <w:top w:w="0" w:type="dxa"/>
              <w:left w:w="0" w:type="dxa"/>
              <w:bottom w:w="0" w:type="dxa"/>
              <w:right w:w="0" w:type="dxa"/>
            </w:tcMar>
            <w:vAlign w:val="center"/>
          </w:tcPr>
          <w:p w14:paraId="4C160DBE" w14:textId="77777777" w:rsidR="009103CC" w:rsidRPr="00326C51" w:rsidRDefault="009103CC" w:rsidP="002718DF">
            <w:pPr>
              <w:pStyle w:val="Tabletext"/>
            </w:pPr>
          </w:p>
        </w:tc>
        <w:tc>
          <w:tcPr>
            <w:tcW w:w="708" w:type="pct"/>
            <w:tcBorders>
              <w:top w:val="single" w:sz="4" w:space="0" w:color="auto"/>
              <w:bottom w:val="single" w:sz="4" w:space="0" w:color="auto"/>
            </w:tcBorders>
            <w:tcMar>
              <w:top w:w="0" w:type="dxa"/>
              <w:left w:w="0" w:type="dxa"/>
              <w:bottom w:w="0" w:type="dxa"/>
              <w:right w:w="0" w:type="dxa"/>
            </w:tcMar>
            <w:vAlign w:val="center"/>
          </w:tcPr>
          <w:p w14:paraId="051A1620" w14:textId="77777777" w:rsidR="009103CC" w:rsidRPr="00326C51" w:rsidRDefault="009103CC" w:rsidP="002718DF">
            <w:pPr>
              <w:pStyle w:val="Tabletext"/>
              <w:jc w:val="right"/>
              <w:rPr>
                <w:rFonts w:cs="Preston"/>
                <w:szCs w:val="18"/>
              </w:rPr>
            </w:pPr>
            <w:r w:rsidRPr="00326C51">
              <w:rPr>
                <w:rFonts w:cs="Preston"/>
                <w:szCs w:val="18"/>
              </w:rPr>
              <w:t>3,549</w:t>
            </w:r>
          </w:p>
        </w:tc>
        <w:tc>
          <w:tcPr>
            <w:tcW w:w="706" w:type="pct"/>
            <w:tcBorders>
              <w:top w:val="single" w:sz="4" w:space="0" w:color="auto"/>
              <w:bottom w:val="single" w:sz="4" w:space="0" w:color="auto"/>
            </w:tcBorders>
            <w:tcMar>
              <w:top w:w="0" w:type="dxa"/>
              <w:left w:w="0" w:type="dxa"/>
              <w:bottom w:w="0" w:type="dxa"/>
              <w:right w:w="0" w:type="dxa"/>
            </w:tcMar>
            <w:vAlign w:val="center"/>
          </w:tcPr>
          <w:p w14:paraId="54CF83C5" w14:textId="77777777" w:rsidR="009103CC" w:rsidRPr="00326C51" w:rsidRDefault="009103CC" w:rsidP="002718DF">
            <w:pPr>
              <w:pStyle w:val="Tabletext"/>
              <w:jc w:val="right"/>
              <w:rPr>
                <w:rFonts w:cs="Preston"/>
                <w:szCs w:val="18"/>
              </w:rPr>
            </w:pPr>
            <w:r w:rsidRPr="00326C51">
              <w:rPr>
                <w:rFonts w:cs="Preston"/>
                <w:szCs w:val="18"/>
              </w:rPr>
              <w:t>3,950</w:t>
            </w:r>
          </w:p>
        </w:tc>
      </w:tr>
    </w:tbl>
    <w:p w14:paraId="4AFAC88E" w14:textId="77777777" w:rsidR="009103CC" w:rsidRPr="001814D2" w:rsidRDefault="009103CC" w:rsidP="009103CC">
      <w:pPr>
        <w:pStyle w:val="Tabletext"/>
      </w:pPr>
    </w:p>
    <w:p w14:paraId="11ECDF28" w14:textId="77777777" w:rsidR="009103CC" w:rsidRPr="005D5C97" w:rsidRDefault="009103CC" w:rsidP="009103CC">
      <w:pPr>
        <w:pStyle w:val="ARbody"/>
      </w:pPr>
      <w:r w:rsidRPr="005D5C97">
        <w:t>Deemed appropriations is money that a GSF agency receives that forms part of the Consolidated Fund and is not appropriated under the Authority of an Act.</w:t>
      </w:r>
    </w:p>
    <w:p w14:paraId="4739C6C4" w14:textId="77777777" w:rsidR="009103CC" w:rsidRPr="001037E4" w:rsidRDefault="009103CC" w:rsidP="009103CC">
      <w:pPr>
        <w:pStyle w:val="ARbody"/>
        <w:rPr>
          <w:b/>
          <w:bCs/>
        </w:rPr>
      </w:pPr>
      <w:r w:rsidRPr="001037E4">
        <w:rPr>
          <w:b/>
          <w:bCs/>
        </w:rPr>
        <w:t>Recognition and measurement</w:t>
      </w:r>
    </w:p>
    <w:p w14:paraId="0E8B20C0" w14:textId="77777777" w:rsidR="009103CC" w:rsidRPr="00F677EB" w:rsidRDefault="009103CC" w:rsidP="009103CC">
      <w:pPr>
        <w:pStyle w:val="ARbody"/>
        <w:rPr>
          <w:b/>
          <w:bCs/>
        </w:rPr>
      </w:pPr>
      <w:r w:rsidRPr="00F677EB">
        <w:rPr>
          <w:b/>
          <w:bCs/>
        </w:rPr>
        <w:t>Revenue recognition and measurement under AASB 15</w:t>
      </w:r>
    </w:p>
    <w:p w14:paraId="0A742D89" w14:textId="77777777" w:rsidR="009103CC" w:rsidRPr="00F677EB" w:rsidRDefault="009103CC" w:rsidP="009103CC">
      <w:pPr>
        <w:pStyle w:val="ARbody"/>
        <w:rPr>
          <w:b/>
          <w:bCs/>
        </w:rPr>
      </w:pPr>
      <w:r w:rsidRPr="00F677EB">
        <w:rPr>
          <w:b/>
          <w:bCs/>
        </w:rPr>
        <w:t>Sales of goods</w:t>
      </w:r>
    </w:p>
    <w:p w14:paraId="260394B2" w14:textId="77777777" w:rsidR="009103CC" w:rsidRPr="001814D2" w:rsidRDefault="009103CC" w:rsidP="009103CC">
      <w:pPr>
        <w:pStyle w:val="ARbody"/>
      </w:pPr>
      <w:r w:rsidRPr="001814D2">
        <w:t>Revenue from the sale of goods is recognised when the Gallery satisfies the performance obligation by transferring the promised goods. Revenue is recognised at the price specified in the contract (where applicable) and only to the extent that it is highly probably a significant reversal will not occur. No element of financing is deemed present as sales are made with a short credit term.</w:t>
      </w:r>
    </w:p>
    <w:p w14:paraId="726C45C8" w14:textId="77777777" w:rsidR="009103CC" w:rsidRPr="00F677EB" w:rsidRDefault="009103CC" w:rsidP="009103CC">
      <w:pPr>
        <w:pStyle w:val="ARbody"/>
        <w:rPr>
          <w:b/>
          <w:bCs/>
        </w:rPr>
      </w:pPr>
      <w:r w:rsidRPr="00F677EB">
        <w:rPr>
          <w:b/>
          <w:bCs/>
        </w:rPr>
        <w:t>Rendering of services</w:t>
      </w:r>
    </w:p>
    <w:p w14:paraId="3EBDF0AF" w14:textId="77777777" w:rsidR="009103CC" w:rsidRPr="001814D2" w:rsidRDefault="009103CC" w:rsidP="009103CC">
      <w:pPr>
        <w:pStyle w:val="ARbody"/>
      </w:pPr>
      <w:r w:rsidRPr="001814D2">
        <w:t>Service revenue arising from an agreement which contains enforceable and sufficiently specific performance obligations is recognised when those obligations are satisfied. The Gallery recognises contract liabilities for consideration received in respect of unsatisfied performance obligations and reports these amounts as other liabilities in the statement of financial position. Refer to Note 11</w:t>
      </w:r>
    </w:p>
    <w:p w14:paraId="17C73A20" w14:textId="77777777" w:rsidR="009103CC" w:rsidRPr="00F677EB" w:rsidRDefault="009103CC" w:rsidP="009103CC">
      <w:pPr>
        <w:pStyle w:val="ARbody"/>
        <w:rPr>
          <w:b/>
          <w:bCs/>
        </w:rPr>
      </w:pPr>
      <w:r w:rsidRPr="00F677EB">
        <w:rPr>
          <w:b/>
          <w:bCs/>
        </w:rPr>
        <w:t>Revenue recognition under AASB 1058</w:t>
      </w:r>
    </w:p>
    <w:p w14:paraId="510D9B37" w14:textId="77777777" w:rsidR="009103CC" w:rsidRPr="00F677EB" w:rsidRDefault="009103CC" w:rsidP="009103CC">
      <w:pPr>
        <w:pStyle w:val="ARbody"/>
        <w:rPr>
          <w:b/>
          <w:bCs/>
        </w:rPr>
      </w:pPr>
      <w:r w:rsidRPr="00F677EB">
        <w:rPr>
          <w:b/>
          <w:bCs/>
        </w:rPr>
        <w:t>Grants</w:t>
      </w:r>
    </w:p>
    <w:p w14:paraId="120872A9" w14:textId="77777777" w:rsidR="009103CC" w:rsidRPr="001814D2" w:rsidRDefault="009103CC" w:rsidP="009103CC">
      <w:pPr>
        <w:pStyle w:val="ARbody"/>
      </w:pPr>
      <w:r w:rsidRPr="001814D2">
        <w:t>Income from grants to enable the Gallery to acquire or construction an item of property, plant and equipment which will be controlled by the Gallery (once complete) are recognised as revenue as and when the obligation to construct or purchase is completed. For construction projects this is generally as the construction progresses in accordance with costs incurred since this is deemed to be the most appropriate measure of the completeness of the construction project. Income from grants without sufficiently specific performance obligations is recognised when the Gallery obtains control over the granted assets (e.g. cash).</w:t>
      </w:r>
    </w:p>
    <w:p w14:paraId="69238386" w14:textId="77777777" w:rsidR="009103CC" w:rsidRPr="00F677EB" w:rsidRDefault="009103CC" w:rsidP="009103CC">
      <w:pPr>
        <w:pStyle w:val="ARbody"/>
        <w:rPr>
          <w:b/>
          <w:bCs/>
        </w:rPr>
      </w:pPr>
      <w:r w:rsidRPr="00F677EB">
        <w:rPr>
          <w:b/>
          <w:bCs/>
        </w:rPr>
        <w:t>Donations and volunteer services</w:t>
      </w:r>
    </w:p>
    <w:p w14:paraId="1279AC7C" w14:textId="77777777" w:rsidR="009103CC" w:rsidRPr="001814D2" w:rsidRDefault="009103CC" w:rsidP="009103CC">
      <w:pPr>
        <w:pStyle w:val="ARbody"/>
      </w:pPr>
      <w:r w:rsidRPr="001814D2">
        <w:t>Donations collected, including cash and goods are recognised as revenue when the Gallery gains control of the asset. Bequests are recognised when the Gallery is notified of an impending distribution or the bequest is received, whichever occurs earlier. Receipt of volunteer services is recognised when and only when the fair value of those services can be reliably determined and the services would have been purchased if not donated.</w:t>
      </w:r>
    </w:p>
    <w:tbl>
      <w:tblPr>
        <w:tblW w:w="5000" w:type="pct"/>
        <w:tblCellMar>
          <w:left w:w="0" w:type="dxa"/>
          <w:right w:w="0" w:type="dxa"/>
        </w:tblCellMar>
        <w:tblLook w:val="0000" w:firstRow="0" w:lastRow="0" w:firstColumn="0" w:lastColumn="0" w:noHBand="0" w:noVBand="0"/>
        <w:tblCaption w:val="2(a) investment revenue"/>
        <w:tblDescription w:val="This table provides figures for 2020 and 2021 for both the consolidated entity and parent entity."/>
      </w:tblPr>
      <w:tblGrid>
        <w:gridCol w:w="3937"/>
        <w:gridCol w:w="1284"/>
        <w:gridCol w:w="1284"/>
        <w:gridCol w:w="1284"/>
        <w:gridCol w:w="1281"/>
      </w:tblGrid>
      <w:tr w:rsidR="009103CC" w:rsidRPr="001814D2" w14:paraId="7C184B27" w14:textId="77777777" w:rsidTr="002718DF">
        <w:trPr>
          <w:cantSplit/>
          <w:trHeight w:hRule="exact" w:val="332"/>
          <w:tblHeader/>
        </w:trPr>
        <w:tc>
          <w:tcPr>
            <w:tcW w:w="2170" w:type="pct"/>
            <w:tcBorders>
              <w:bottom w:val="single" w:sz="4" w:space="0" w:color="auto"/>
            </w:tcBorders>
            <w:tcMar>
              <w:top w:w="0" w:type="dxa"/>
              <w:left w:w="0" w:type="dxa"/>
              <w:bottom w:w="0" w:type="dxa"/>
              <w:right w:w="0" w:type="dxa"/>
            </w:tcMar>
            <w:vAlign w:val="center"/>
          </w:tcPr>
          <w:p w14:paraId="60DACDBD" w14:textId="77777777" w:rsidR="009103CC" w:rsidRPr="001814D2" w:rsidRDefault="009103CC" w:rsidP="002718DF">
            <w:pPr>
              <w:pStyle w:val="Tabletext"/>
              <w:jc w:val="center"/>
              <w:rPr>
                <w:rFonts w:cstheme="minorBidi"/>
                <w:b/>
                <w:bCs/>
                <w:sz w:val="24"/>
                <w:szCs w:val="24"/>
              </w:rPr>
            </w:pPr>
          </w:p>
        </w:tc>
        <w:tc>
          <w:tcPr>
            <w:tcW w:w="1416" w:type="pct"/>
            <w:gridSpan w:val="2"/>
            <w:tcBorders>
              <w:bottom w:val="single" w:sz="4" w:space="0" w:color="auto"/>
            </w:tcBorders>
            <w:tcMar>
              <w:top w:w="0" w:type="dxa"/>
              <w:left w:w="0" w:type="dxa"/>
              <w:bottom w:w="0" w:type="dxa"/>
              <w:right w:w="0" w:type="dxa"/>
            </w:tcMar>
            <w:vAlign w:val="center"/>
          </w:tcPr>
          <w:p w14:paraId="4513AA72" w14:textId="77777777" w:rsidR="009103CC" w:rsidRPr="001814D2" w:rsidRDefault="009103CC" w:rsidP="002718DF">
            <w:pPr>
              <w:pStyle w:val="Tabletext"/>
              <w:jc w:val="center"/>
              <w:rPr>
                <w:rFonts w:cs="Preston"/>
                <w:b/>
                <w:bCs/>
                <w:szCs w:val="18"/>
              </w:rPr>
            </w:pPr>
            <w:r w:rsidRPr="001814D2">
              <w:rPr>
                <w:rFonts w:cs="Preston"/>
                <w:b/>
                <w:bCs/>
                <w:szCs w:val="18"/>
              </w:rPr>
              <w:t>Consolidated entity</w:t>
            </w:r>
          </w:p>
        </w:tc>
        <w:tc>
          <w:tcPr>
            <w:tcW w:w="1414" w:type="pct"/>
            <w:gridSpan w:val="2"/>
            <w:tcBorders>
              <w:bottom w:val="single" w:sz="4" w:space="0" w:color="auto"/>
            </w:tcBorders>
            <w:tcMar>
              <w:top w:w="0" w:type="dxa"/>
              <w:left w:w="0" w:type="dxa"/>
              <w:bottom w:w="0" w:type="dxa"/>
              <w:right w:w="0" w:type="dxa"/>
            </w:tcMar>
            <w:vAlign w:val="center"/>
          </w:tcPr>
          <w:p w14:paraId="1E7EA8A4" w14:textId="77777777" w:rsidR="009103CC" w:rsidRPr="001814D2" w:rsidRDefault="009103CC" w:rsidP="002718DF">
            <w:pPr>
              <w:pStyle w:val="Tabletext"/>
              <w:jc w:val="center"/>
              <w:rPr>
                <w:rFonts w:cs="Preston"/>
                <w:b/>
                <w:bCs/>
                <w:szCs w:val="18"/>
              </w:rPr>
            </w:pPr>
            <w:r w:rsidRPr="001814D2">
              <w:rPr>
                <w:rFonts w:cs="Preston"/>
                <w:b/>
                <w:bCs/>
                <w:szCs w:val="18"/>
              </w:rPr>
              <w:t>Parent entity</w:t>
            </w:r>
          </w:p>
        </w:tc>
      </w:tr>
      <w:tr w:rsidR="009103CC" w:rsidRPr="001814D2" w14:paraId="53D7599E" w14:textId="77777777" w:rsidTr="002718DF">
        <w:trPr>
          <w:cantSplit/>
          <w:trHeight w:hRule="exact" w:val="553"/>
          <w:tblHeader/>
        </w:trPr>
        <w:tc>
          <w:tcPr>
            <w:tcW w:w="2170" w:type="pct"/>
            <w:tcBorders>
              <w:top w:val="single" w:sz="4" w:space="0" w:color="auto"/>
              <w:bottom w:val="single" w:sz="4" w:space="0" w:color="auto"/>
            </w:tcBorders>
            <w:tcMar>
              <w:top w:w="0" w:type="dxa"/>
              <w:left w:w="0" w:type="dxa"/>
              <w:bottom w:w="0" w:type="dxa"/>
              <w:right w:w="0" w:type="dxa"/>
            </w:tcMar>
            <w:vAlign w:val="center"/>
          </w:tcPr>
          <w:p w14:paraId="4B08247B" w14:textId="77777777" w:rsidR="009103CC" w:rsidRPr="001814D2" w:rsidRDefault="009103CC" w:rsidP="002718DF">
            <w:pPr>
              <w:pStyle w:val="Tabletext"/>
              <w:rPr>
                <w:rFonts w:cstheme="minorBidi"/>
                <w:b/>
                <w:bCs/>
                <w:sz w:val="24"/>
                <w:szCs w:val="24"/>
              </w:rPr>
            </w:pPr>
          </w:p>
        </w:tc>
        <w:tc>
          <w:tcPr>
            <w:tcW w:w="708" w:type="pct"/>
            <w:tcBorders>
              <w:top w:val="single" w:sz="4" w:space="0" w:color="auto"/>
              <w:bottom w:val="single" w:sz="4" w:space="0" w:color="auto"/>
            </w:tcBorders>
            <w:tcMar>
              <w:top w:w="0" w:type="dxa"/>
              <w:left w:w="0" w:type="dxa"/>
              <w:bottom w:w="0" w:type="dxa"/>
              <w:right w:w="0" w:type="dxa"/>
            </w:tcMar>
            <w:vAlign w:val="center"/>
          </w:tcPr>
          <w:p w14:paraId="126C72B4" w14:textId="77777777" w:rsidR="009103CC" w:rsidRPr="001814D2" w:rsidRDefault="009103CC" w:rsidP="002718DF">
            <w:pPr>
              <w:pStyle w:val="Tabletext"/>
              <w:jc w:val="right"/>
              <w:rPr>
                <w:rFonts w:cs="Preston"/>
                <w:b/>
                <w:bCs/>
                <w:szCs w:val="18"/>
              </w:rPr>
            </w:pPr>
            <w:r w:rsidRPr="001814D2">
              <w:rPr>
                <w:rFonts w:cs="Preston"/>
                <w:b/>
                <w:bCs/>
                <w:szCs w:val="18"/>
              </w:rPr>
              <w:t>2021</w:t>
            </w:r>
          </w:p>
          <w:p w14:paraId="65792C12" w14:textId="77777777" w:rsidR="009103CC" w:rsidRPr="001814D2" w:rsidRDefault="009103CC" w:rsidP="002718DF">
            <w:pPr>
              <w:pStyle w:val="Tabletext"/>
              <w:jc w:val="right"/>
              <w:rPr>
                <w:rFonts w:cs="Preston"/>
                <w:b/>
                <w:bCs/>
                <w:szCs w:val="18"/>
              </w:rPr>
            </w:pPr>
            <w:r w:rsidRPr="001814D2">
              <w:rPr>
                <w:rFonts w:cs="Preston"/>
                <w:b/>
                <w:bCs/>
                <w:szCs w:val="18"/>
              </w:rPr>
              <w:t>$'000</w:t>
            </w:r>
          </w:p>
        </w:tc>
        <w:tc>
          <w:tcPr>
            <w:tcW w:w="708" w:type="pct"/>
            <w:tcBorders>
              <w:top w:val="single" w:sz="4" w:space="0" w:color="auto"/>
              <w:bottom w:val="single" w:sz="4" w:space="0" w:color="auto"/>
            </w:tcBorders>
            <w:tcMar>
              <w:top w:w="0" w:type="dxa"/>
              <w:left w:w="0" w:type="dxa"/>
              <w:bottom w:w="0" w:type="dxa"/>
              <w:right w:w="0" w:type="dxa"/>
            </w:tcMar>
            <w:vAlign w:val="center"/>
          </w:tcPr>
          <w:p w14:paraId="749C8FB8" w14:textId="77777777" w:rsidR="009103CC" w:rsidRPr="001814D2" w:rsidRDefault="009103CC" w:rsidP="002718DF">
            <w:pPr>
              <w:pStyle w:val="Tabletext"/>
              <w:jc w:val="right"/>
              <w:rPr>
                <w:rFonts w:cs="Preston"/>
                <w:b/>
                <w:bCs/>
                <w:szCs w:val="18"/>
              </w:rPr>
            </w:pPr>
            <w:r w:rsidRPr="001814D2">
              <w:rPr>
                <w:rFonts w:cs="Preston"/>
                <w:b/>
                <w:bCs/>
                <w:szCs w:val="18"/>
              </w:rPr>
              <w:t>2020</w:t>
            </w:r>
          </w:p>
          <w:p w14:paraId="3542763D" w14:textId="77777777" w:rsidR="009103CC" w:rsidRPr="001814D2" w:rsidRDefault="009103CC" w:rsidP="002718DF">
            <w:pPr>
              <w:pStyle w:val="Tabletext"/>
              <w:jc w:val="right"/>
              <w:rPr>
                <w:rFonts w:cs="Preston"/>
                <w:b/>
                <w:bCs/>
                <w:szCs w:val="18"/>
              </w:rPr>
            </w:pPr>
            <w:r w:rsidRPr="001814D2">
              <w:rPr>
                <w:rFonts w:cs="Preston"/>
                <w:b/>
                <w:bCs/>
                <w:szCs w:val="18"/>
              </w:rPr>
              <w:t>$'000</w:t>
            </w:r>
          </w:p>
        </w:tc>
        <w:tc>
          <w:tcPr>
            <w:tcW w:w="708" w:type="pct"/>
            <w:tcBorders>
              <w:top w:val="single" w:sz="4" w:space="0" w:color="auto"/>
              <w:bottom w:val="single" w:sz="4" w:space="0" w:color="auto"/>
            </w:tcBorders>
            <w:tcMar>
              <w:top w:w="0" w:type="dxa"/>
              <w:left w:w="0" w:type="dxa"/>
              <w:bottom w:w="0" w:type="dxa"/>
              <w:right w:w="0" w:type="dxa"/>
            </w:tcMar>
            <w:vAlign w:val="center"/>
          </w:tcPr>
          <w:p w14:paraId="51BEC751" w14:textId="77777777" w:rsidR="009103CC" w:rsidRPr="001814D2" w:rsidRDefault="009103CC" w:rsidP="002718DF">
            <w:pPr>
              <w:pStyle w:val="Tabletext"/>
              <w:jc w:val="right"/>
              <w:rPr>
                <w:rFonts w:cs="Preston"/>
                <w:b/>
                <w:bCs/>
                <w:szCs w:val="18"/>
              </w:rPr>
            </w:pPr>
            <w:r w:rsidRPr="001814D2">
              <w:rPr>
                <w:rFonts w:cs="Preston"/>
                <w:b/>
                <w:bCs/>
                <w:szCs w:val="18"/>
              </w:rPr>
              <w:t>2021</w:t>
            </w:r>
          </w:p>
          <w:p w14:paraId="1EF1615E"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2D311F0D" w14:textId="77777777" w:rsidR="009103CC" w:rsidRPr="001814D2" w:rsidRDefault="009103CC" w:rsidP="002718DF">
            <w:pPr>
              <w:pStyle w:val="Tabletext"/>
              <w:jc w:val="right"/>
              <w:rPr>
                <w:rFonts w:cs="Preston"/>
                <w:b/>
                <w:bCs/>
                <w:szCs w:val="18"/>
              </w:rPr>
            </w:pPr>
          </w:p>
        </w:tc>
        <w:tc>
          <w:tcPr>
            <w:tcW w:w="706" w:type="pct"/>
            <w:tcBorders>
              <w:top w:val="single" w:sz="4" w:space="0" w:color="auto"/>
              <w:bottom w:val="single" w:sz="4" w:space="0" w:color="auto"/>
            </w:tcBorders>
            <w:tcMar>
              <w:top w:w="0" w:type="dxa"/>
              <w:left w:w="0" w:type="dxa"/>
              <w:bottom w:w="0" w:type="dxa"/>
              <w:right w:w="0" w:type="dxa"/>
            </w:tcMar>
            <w:vAlign w:val="center"/>
          </w:tcPr>
          <w:p w14:paraId="50810FA3" w14:textId="77777777" w:rsidR="009103CC" w:rsidRPr="001814D2" w:rsidRDefault="009103CC" w:rsidP="002718DF">
            <w:pPr>
              <w:pStyle w:val="Tabletext"/>
              <w:jc w:val="right"/>
              <w:rPr>
                <w:rFonts w:cs="Preston"/>
                <w:b/>
                <w:bCs/>
                <w:szCs w:val="18"/>
              </w:rPr>
            </w:pPr>
            <w:r w:rsidRPr="001814D2">
              <w:rPr>
                <w:rFonts w:cs="Preston"/>
                <w:b/>
                <w:bCs/>
                <w:szCs w:val="18"/>
              </w:rPr>
              <w:t>2020</w:t>
            </w:r>
          </w:p>
          <w:p w14:paraId="0241B8DC"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2E5D7ED4" w14:textId="77777777" w:rsidR="009103CC" w:rsidRPr="001814D2" w:rsidRDefault="009103CC" w:rsidP="002718DF">
            <w:pPr>
              <w:pStyle w:val="Tabletext"/>
              <w:jc w:val="right"/>
              <w:rPr>
                <w:rFonts w:cs="Preston"/>
                <w:b/>
                <w:bCs/>
                <w:szCs w:val="18"/>
              </w:rPr>
            </w:pPr>
          </w:p>
        </w:tc>
      </w:tr>
      <w:tr w:rsidR="009103CC" w:rsidRPr="00F677EB" w14:paraId="7C0E76BD" w14:textId="77777777" w:rsidTr="002718DF">
        <w:trPr>
          <w:cantSplit/>
          <w:trHeight w:hRule="exact" w:val="332"/>
          <w:tblHeader/>
        </w:trPr>
        <w:tc>
          <w:tcPr>
            <w:tcW w:w="2170" w:type="pct"/>
            <w:tcBorders>
              <w:top w:val="single" w:sz="4" w:space="0" w:color="auto"/>
              <w:bottom w:val="single" w:sz="4" w:space="0" w:color="auto"/>
            </w:tcBorders>
            <w:tcMar>
              <w:top w:w="0" w:type="dxa"/>
              <w:left w:w="0" w:type="dxa"/>
              <w:bottom w:w="0" w:type="dxa"/>
              <w:right w:w="0" w:type="dxa"/>
            </w:tcMar>
            <w:vAlign w:val="center"/>
          </w:tcPr>
          <w:p w14:paraId="0795E1A3" w14:textId="77777777" w:rsidR="009103CC" w:rsidRPr="00F677EB" w:rsidRDefault="009103CC" w:rsidP="002718DF">
            <w:pPr>
              <w:pStyle w:val="Tabletext"/>
              <w:rPr>
                <w:b/>
                <w:bCs/>
              </w:rPr>
            </w:pPr>
            <w:r w:rsidRPr="00F677EB">
              <w:rPr>
                <w:b/>
                <w:bCs/>
              </w:rPr>
              <w:t>2 (a) Investment revenue</w:t>
            </w:r>
          </w:p>
        </w:tc>
        <w:tc>
          <w:tcPr>
            <w:tcW w:w="708" w:type="pct"/>
            <w:tcBorders>
              <w:top w:val="single" w:sz="4" w:space="0" w:color="auto"/>
              <w:bottom w:val="single" w:sz="4" w:space="0" w:color="auto"/>
            </w:tcBorders>
            <w:tcMar>
              <w:top w:w="0" w:type="dxa"/>
              <w:left w:w="0" w:type="dxa"/>
              <w:bottom w:w="0" w:type="dxa"/>
              <w:right w:w="0" w:type="dxa"/>
            </w:tcMar>
            <w:vAlign w:val="center"/>
          </w:tcPr>
          <w:p w14:paraId="1BFDD886" w14:textId="77777777" w:rsidR="009103CC" w:rsidRPr="00F677EB" w:rsidRDefault="009103CC" w:rsidP="002718DF">
            <w:pPr>
              <w:pStyle w:val="Tabletext"/>
              <w:jc w:val="right"/>
              <w:rPr>
                <w:rFonts w:cstheme="minorBidi"/>
                <w:b/>
                <w:bCs/>
                <w:sz w:val="24"/>
                <w:szCs w:val="24"/>
              </w:rPr>
            </w:pPr>
          </w:p>
        </w:tc>
        <w:tc>
          <w:tcPr>
            <w:tcW w:w="708" w:type="pct"/>
            <w:tcBorders>
              <w:top w:val="single" w:sz="4" w:space="0" w:color="auto"/>
              <w:bottom w:val="single" w:sz="4" w:space="0" w:color="auto"/>
            </w:tcBorders>
            <w:tcMar>
              <w:top w:w="0" w:type="dxa"/>
              <w:left w:w="0" w:type="dxa"/>
              <w:bottom w:w="0" w:type="dxa"/>
              <w:right w:w="0" w:type="dxa"/>
            </w:tcMar>
            <w:vAlign w:val="center"/>
          </w:tcPr>
          <w:p w14:paraId="746849E5" w14:textId="77777777" w:rsidR="009103CC" w:rsidRPr="00F677EB" w:rsidRDefault="009103CC" w:rsidP="002718DF">
            <w:pPr>
              <w:pStyle w:val="Tabletext"/>
              <w:jc w:val="right"/>
              <w:rPr>
                <w:rFonts w:cstheme="minorBidi"/>
                <w:b/>
                <w:bCs/>
                <w:sz w:val="24"/>
                <w:szCs w:val="24"/>
              </w:rPr>
            </w:pPr>
          </w:p>
        </w:tc>
        <w:tc>
          <w:tcPr>
            <w:tcW w:w="708" w:type="pct"/>
            <w:tcBorders>
              <w:top w:val="single" w:sz="4" w:space="0" w:color="auto"/>
              <w:bottom w:val="single" w:sz="4" w:space="0" w:color="auto"/>
            </w:tcBorders>
            <w:tcMar>
              <w:top w:w="0" w:type="dxa"/>
              <w:left w:w="0" w:type="dxa"/>
              <w:bottom w:w="0" w:type="dxa"/>
              <w:right w:w="0" w:type="dxa"/>
            </w:tcMar>
            <w:vAlign w:val="center"/>
          </w:tcPr>
          <w:p w14:paraId="5FE7BF64" w14:textId="77777777" w:rsidR="009103CC" w:rsidRPr="00F677EB" w:rsidRDefault="009103CC" w:rsidP="002718DF">
            <w:pPr>
              <w:pStyle w:val="Tabletext"/>
              <w:jc w:val="right"/>
              <w:rPr>
                <w:rFonts w:cstheme="minorBidi"/>
                <w:b/>
                <w:bCs/>
                <w:sz w:val="24"/>
                <w:szCs w:val="24"/>
              </w:rPr>
            </w:pPr>
          </w:p>
        </w:tc>
        <w:tc>
          <w:tcPr>
            <w:tcW w:w="706" w:type="pct"/>
            <w:tcBorders>
              <w:top w:val="single" w:sz="4" w:space="0" w:color="auto"/>
              <w:bottom w:val="single" w:sz="4" w:space="0" w:color="auto"/>
            </w:tcBorders>
            <w:tcMar>
              <w:top w:w="0" w:type="dxa"/>
              <w:left w:w="0" w:type="dxa"/>
              <w:bottom w:w="0" w:type="dxa"/>
              <w:right w:w="0" w:type="dxa"/>
            </w:tcMar>
            <w:vAlign w:val="center"/>
          </w:tcPr>
          <w:p w14:paraId="58A63A11" w14:textId="77777777" w:rsidR="009103CC" w:rsidRPr="00F677EB" w:rsidRDefault="009103CC" w:rsidP="002718DF">
            <w:pPr>
              <w:pStyle w:val="Tabletext"/>
              <w:jc w:val="right"/>
              <w:rPr>
                <w:rFonts w:cstheme="minorBidi"/>
                <w:b/>
                <w:bCs/>
                <w:sz w:val="24"/>
                <w:szCs w:val="24"/>
              </w:rPr>
            </w:pPr>
          </w:p>
        </w:tc>
      </w:tr>
      <w:tr w:rsidR="009103CC" w:rsidRPr="001814D2" w14:paraId="6F16F53F"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51EE2553" w14:textId="77777777" w:rsidR="009103CC" w:rsidRPr="001814D2" w:rsidRDefault="009103CC" w:rsidP="002718DF">
            <w:pPr>
              <w:pStyle w:val="Tabletext"/>
            </w:pPr>
            <w:r w:rsidRPr="001814D2">
              <w:t>Interest</w:t>
            </w:r>
          </w:p>
        </w:tc>
        <w:tc>
          <w:tcPr>
            <w:tcW w:w="708" w:type="pct"/>
            <w:tcBorders>
              <w:top w:val="single" w:sz="4" w:space="0" w:color="auto"/>
              <w:bottom w:val="single" w:sz="4" w:space="0" w:color="auto"/>
            </w:tcBorders>
            <w:tcMar>
              <w:top w:w="0" w:type="dxa"/>
              <w:left w:w="0" w:type="dxa"/>
              <w:bottom w:w="0" w:type="dxa"/>
              <w:right w:w="0" w:type="dxa"/>
            </w:tcMar>
            <w:vAlign w:val="center"/>
          </w:tcPr>
          <w:p w14:paraId="381AB3F3" w14:textId="77777777" w:rsidR="009103CC" w:rsidRPr="001814D2" w:rsidRDefault="009103CC" w:rsidP="002718DF">
            <w:pPr>
              <w:pStyle w:val="Tabletext"/>
              <w:jc w:val="right"/>
              <w:rPr>
                <w:rFonts w:cs="Preston"/>
                <w:szCs w:val="18"/>
              </w:rPr>
            </w:pPr>
            <w:r w:rsidRPr="001814D2">
              <w:rPr>
                <w:rFonts w:cs="Preston"/>
                <w:szCs w:val="18"/>
              </w:rPr>
              <w:t>3</w:t>
            </w:r>
          </w:p>
        </w:tc>
        <w:tc>
          <w:tcPr>
            <w:tcW w:w="708" w:type="pct"/>
            <w:tcBorders>
              <w:top w:val="single" w:sz="4" w:space="0" w:color="auto"/>
              <w:bottom w:val="single" w:sz="4" w:space="0" w:color="auto"/>
            </w:tcBorders>
            <w:tcMar>
              <w:top w:w="0" w:type="dxa"/>
              <w:left w:w="0" w:type="dxa"/>
              <w:bottom w:w="0" w:type="dxa"/>
              <w:right w:w="0" w:type="dxa"/>
            </w:tcMar>
            <w:vAlign w:val="center"/>
          </w:tcPr>
          <w:p w14:paraId="73764019" w14:textId="77777777" w:rsidR="009103CC" w:rsidRPr="001814D2" w:rsidRDefault="009103CC" w:rsidP="002718DF">
            <w:pPr>
              <w:pStyle w:val="Tabletext"/>
              <w:jc w:val="right"/>
              <w:rPr>
                <w:rFonts w:cs="Preston"/>
                <w:szCs w:val="18"/>
              </w:rPr>
            </w:pPr>
            <w:r w:rsidRPr="001814D2">
              <w:rPr>
                <w:rFonts w:cs="Preston"/>
                <w:szCs w:val="18"/>
              </w:rPr>
              <w:t>871</w:t>
            </w:r>
          </w:p>
        </w:tc>
        <w:tc>
          <w:tcPr>
            <w:tcW w:w="708" w:type="pct"/>
            <w:tcBorders>
              <w:top w:val="single" w:sz="4" w:space="0" w:color="auto"/>
              <w:bottom w:val="single" w:sz="4" w:space="0" w:color="auto"/>
            </w:tcBorders>
            <w:tcMar>
              <w:top w:w="0" w:type="dxa"/>
              <w:left w:w="0" w:type="dxa"/>
              <w:bottom w:w="0" w:type="dxa"/>
              <w:right w:w="0" w:type="dxa"/>
            </w:tcMar>
            <w:vAlign w:val="center"/>
          </w:tcPr>
          <w:p w14:paraId="1A860295" w14:textId="77777777" w:rsidR="009103CC" w:rsidRPr="001814D2" w:rsidRDefault="009103CC" w:rsidP="002718DF">
            <w:pPr>
              <w:pStyle w:val="Tabletext"/>
              <w:jc w:val="right"/>
              <w:rPr>
                <w:rFonts w:cs="Preston"/>
                <w:szCs w:val="18"/>
              </w:rPr>
            </w:pPr>
            <w:r w:rsidRPr="001814D2">
              <w:rPr>
                <w:rFonts w:cs="Preston"/>
                <w:szCs w:val="18"/>
              </w:rPr>
              <w:t>3</w:t>
            </w:r>
          </w:p>
        </w:tc>
        <w:tc>
          <w:tcPr>
            <w:tcW w:w="706" w:type="pct"/>
            <w:tcBorders>
              <w:top w:val="single" w:sz="4" w:space="0" w:color="auto"/>
              <w:bottom w:val="single" w:sz="4" w:space="0" w:color="auto"/>
            </w:tcBorders>
            <w:tcMar>
              <w:top w:w="0" w:type="dxa"/>
              <w:left w:w="0" w:type="dxa"/>
              <w:bottom w:w="0" w:type="dxa"/>
              <w:right w:w="0" w:type="dxa"/>
            </w:tcMar>
            <w:vAlign w:val="center"/>
          </w:tcPr>
          <w:p w14:paraId="221DDF94" w14:textId="77777777" w:rsidR="009103CC" w:rsidRPr="001814D2" w:rsidRDefault="009103CC" w:rsidP="002718DF">
            <w:pPr>
              <w:pStyle w:val="Tabletext"/>
              <w:jc w:val="right"/>
              <w:rPr>
                <w:rFonts w:cs="Preston"/>
                <w:szCs w:val="18"/>
              </w:rPr>
            </w:pPr>
            <w:r w:rsidRPr="001814D2">
              <w:rPr>
                <w:rFonts w:cs="Preston"/>
                <w:szCs w:val="18"/>
              </w:rPr>
              <w:t>857</w:t>
            </w:r>
          </w:p>
        </w:tc>
      </w:tr>
      <w:tr w:rsidR="009103CC" w:rsidRPr="001814D2" w14:paraId="44BEECBB"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5ECB72D6" w14:textId="77777777" w:rsidR="009103CC" w:rsidRPr="001814D2" w:rsidRDefault="009103CC" w:rsidP="002718DF">
            <w:pPr>
              <w:pStyle w:val="Tabletext"/>
            </w:pPr>
            <w:r w:rsidRPr="001814D2">
              <w:t>Dividend Imputation Credit</w:t>
            </w:r>
          </w:p>
        </w:tc>
        <w:tc>
          <w:tcPr>
            <w:tcW w:w="708" w:type="pct"/>
            <w:tcBorders>
              <w:top w:val="single" w:sz="4" w:space="0" w:color="auto"/>
              <w:bottom w:val="single" w:sz="4" w:space="0" w:color="auto"/>
            </w:tcBorders>
            <w:tcMar>
              <w:top w:w="0" w:type="dxa"/>
              <w:left w:w="0" w:type="dxa"/>
              <w:bottom w:w="0" w:type="dxa"/>
              <w:right w:w="0" w:type="dxa"/>
            </w:tcMar>
            <w:vAlign w:val="center"/>
          </w:tcPr>
          <w:p w14:paraId="3E016CCF" w14:textId="77777777" w:rsidR="009103CC" w:rsidRPr="001814D2" w:rsidRDefault="009103CC" w:rsidP="002718DF">
            <w:pPr>
              <w:pStyle w:val="Tabletext"/>
              <w:jc w:val="right"/>
              <w:rPr>
                <w:rFonts w:cs="Preston"/>
                <w:szCs w:val="18"/>
              </w:rPr>
            </w:pPr>
            <w:r w:rsidRPr="001814D2">
              <w:rPr>
                <w:rFonts w:cs="Preston"/>
                <w:szCs w:val="18"/>
              </w:rPr>
              <w:t>102</w:t>
            </w:r>
          </w:p>
        </w:tc>
        <w:tc>
          <w:tcPr>
            <w:tcW w:w="708" w:type="pct"/>
            <w:tcBorders>
              <w:top w:val="single" w:sz="4" w:space="0" w:color="auto"/>
              <w:bottom w:val="single" w:sz="4" w:space="0" w:color="auto"/>
            </w:tcBorders>
            <w:tcMar>
              <w:top w:w="0" w:type="dxa"/>
              <w:left w:w="0" w:type="dxa"/>
              <w:bottom w:w="0" w:type="dxa"/>
              <w:right w:w="0" w:type="dxa"/>
            </w:tcMar>
            <w:vAlign w:val="center"/>
          </w:tcPr>
          <w:p w14:paraId="57B81EB5"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4D7EF9F8" w14:textId="77777777" w:rsidR="009103CC" w:rsidRPr="001814D2" w:rsidRDefault="009103CC" w:rsidP="002718DF">
            <w:pPr>
              <w:pStyle w:val="Tabletext"/>
              <w:jc w:val="right"/>
              <w:rPr>
                <w:rFonts w:cs="Preston"/>
                <w:szCs w:val="18"/>
              </w:rPr>
            </w:pPr>
            <w:r w:rsidRPr="001814D2">
              <w:rPr>
                <w:rFonts w:cs="Preston"/>
                <w:szCs w:val="18"/>
              </w:rPr>
              <w:t>102</w:t>
            </w:r>
          </w:p>
        </w:tc>
        <w:tc>
          <w:tcPr>
            <w:tcW w:w="706" w:type="pct"/>
            <w:tcBorders>
              <w:top w:val="single" w:sz="4" w:space="0" w:color="auto"/>
              <w:bottom w:val="single" w:sz="4" w:space="0" w:color="auto"/>
            </w:tcBorders>
            <w:tcMar>
              <w:top w:w="0" w:type="dxa"/>
              <w:left w:w="0" w:type="dxa"/>
              <w:bottom w:w="0" w:type="dxa"/>
              <w:right w:w="0" w:type="dxa"/>
            </w:tcMar>
            <w:vAlign w:val="center"/>
          </w:tcPr>
          <w:p w14:paraId="1B486E5F"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5E5DEC0E"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6B8CA0F1" w14:textId="77777777" w:rsidR="009103CC" w:rsidRPr="001814D2" w:rsidRDefault="009103CC" w:rsidP="002718DF">
            <w:pPr>
              <w:pStyle w:val="Tabletext"/>
            </w:pPr>
            <w:r w:rsidRPr="001814D2">
              <w:t>Distributions from investments at fair value</w:t>
            </w:r>
          </w:p>
        </w:tc>
        <w:tc>
          <w:tcPr>
            <w:tcW w:w="708" w:type="pct"/>
            <w:tcBorders>
              <w:top w:val="single" w:sz="4" w:space="0" w:color="auto"/>
              <w:bottom w:val="single" w:sz="4" w:space="0" w:color="auto"/>
            </w:tcBorders>
            <w:tcMar>
              <w:top w:w="0" w:type="dxa"/>
              <w:left w:w="0" w:type="dxa"/>
              <w:bottom w:w="0" w:type="dxa"/>
              <w:right w:w="0" w:type="dxa"/>
            </w:tcMar>
            <w:vAlign w:val="center"/>
          </w:tcPr>
          <w:p w14:paraId="0D0723AE" w14:textId="77777777" w:rsidR="009103CC" w:rsidRPr="001814D2" w:rsidRDefault="009103CC" w:rsidP="002718DF">
            <w:pPr>
              <w:pStyle w:val="Tabletext"/>
              <w:jc w:val="right"/>
              <w:rPr>
                <w:rFonts w:cs="Preston"/>
                <w:szCs w:val="18"/>
              </w:rPr>
            </w:pPr>
            <w:r w:rsidRPr="001814D2">
              <w:rPr>
                <w:rFonts w:cs="Preston"/>
                <w:szCs w:val="18"/>
              </w:rPr>
              <w:t>7,113</w:t>
            </w:r>
          </w:p>
        </w:tc>
        <w:tc>
          <w:tcPr>
            <w:tcW w:w="708" w:type="pct"/>
            <w:tcBorders>
              <w:top w:val="single" w:sz="4" w:space="0" w:color="auto"/>
              <w:bottom w:val="single" w:sz="4" w:space="0" w:color="auto"/>
            </w:tcBorders>
            <w:tcMar>
              <w:top w:w="0" w:type="dxa"/>
              <w:left w:w="0" w:type="dxa"/>
              <w:bottom w:w="0" w:type="dxa"/>
              <w:right w:w="0" w:type="dxa"/>
            </w:tcMar>
            <w:vAlign w:val="center"/>
          </w:tcPr>
          <w:p w14:paraId="65F093DD" w14:textId="77777777" w:rsidR="009103CC" w:rsidRPr="001814D2" w:rsidRDefault="009103CC" w:rsidP="002718DF">
            <w:pPr>
              <w:pStyle w:val="Tabletext"/>
              <w:jc w:val="right"/>
              <w:rPr>
                <w:rFonts w:cs="Preston"/>
                <w:szCs w:val="18"/>
              </w:rPr>
            </w:pPr>
            <w:r w:rsidRPr="001814D2">
              <w:rPr>
                <w:rFonts w:cs="Preston"/>
                <w:szCs w:val="18"/>
              </w:rPr>
              <w:t>3,266</w:t>
            </w:r>
          </w:p>
        </w:tc>
        <w:tc>
          <w:tcPr>
            <w:tcW w:w="708" w:type="pct"/>
            <w:tcBorders>
              <w:top w:val="single" w:sz="4" w:space="0" w:color="auto"/>
              <w:bottom w:val="single" w:sz="4" w:space="0" w:color="auto"/>
            </w:tcBorders>
            <w:tcMar>
              <w:top w:w="0" w:type="dxa"/>
              <w:left w:w="0" w:type="dxa"/>
              <w:bottom w:w="0" w:type="dxa"/>
              <w:right w:w="0" w:type="dxa"/>
            </w:tcMar>
            <w:vAlign w:val="center"/>
          </w:tcPr>
          <w:p w14:paraId="59657454" w14:textId="77777777" w:rsidR="009103CC" w:rsidRPr="001814D2" w:rsidRDefault="009103CC" w:rsidP="002718DF">
            <w:pPr>
              <w:pStyle w:val="Tabletext"/>
              <w:jc w:val="right"/>
              <w:rPr>
                <w:rFonts w:cs="Preston"/>
                <w:szCs w:val="18"/>
              </w:rPr>
            </w:pPr>
            <w:r w:rsidRPr="001814D2">
              <w:rPr>
                <w:rFonts w:cs="Preston"/>
                <w:szCs w:val="18"/>
              </w:rPr>
              <w:t>7,042</w:t>
            </w:r>
          </w:p>
        </w:tc>
        <w:tc>
          <w:tcPr>
            <w:tcW w:w="706" w:type="pct"/>
            <w:tcBorders>
              <w:top w:val="single" w:sz="4" w:space="0" w:color="auto"/>
              <w:bottom w:val="single" w:sz="4" w:space="0" w:color="auto"/>
            </w:tcBorders>
            <w:tcMar>
              <w:top w:w="0" w:type="dxa"/>
              <w:left w:w="0" w:type="dxa"/>
              <w:bottom w:w="0" w:type="dxa"/>
              <w:right w:w="0" w:type="dxa"/>
            </w:tcMar>
            <w:vAlign w:val="center"/>
          </w:tcPr>
          <w:p w14:paraId="242C9BB3" w14:textId="77777777" w:rsidR="009103CC" w:rsidRPr="001814D2" w:rsidRDefault="009103CC" w:rsidP="002718DF">
            <w:pPr>
              <w:pStyle w:val="Tabletext"/>
              <w:jc w:val="right"/>
              <w:rPr>
                <w:rFonts w:cs="Preston"/>
                <w:szCs w:val="18"/>
              </w:rPr>
            </w:pPr>
            <w:r w:rsidRPr="001814D2">
              <w:rPr>
                <w:rFonts w:cs="Preston"/>
                <w:szCs w:val="18"/>
              </w:rPr>
              <w:t>3,232</w:t>
            </w:r>
          </w:p>
        </w:tc>
      </w:tr>
      <w:tr w:rsidR="009103CC" w:rsidRPr="001814D2" w14:paraId="35C0F6AC" w14:textId="77777777" w:rsidTr="002718DF">
        <w:trPr>
          <w:cantSplit/>
          <w:trHeight w:hRule="exact" w:val="553"/>
        </w:trPr>
        <w:tc>
          <w:tcPr>
            <w:tcW w:w="2170" w:type="pct"/>
            <w:tcBorders>
              <w:top w:val="single" w:sz="4" w:space="0" w:color="auto"/>
              <w:bottom w:val="single" w:sz="4" w:space="0" w:color="auto"/>
            </w:tcBorders>
            <w:tcMar>
              <w:top w:w="0" w:type="dxa"/>
              <w:left w:w="0" w:type="dxa"/>
              <w:bottom w:w="0" w:type="dxa"/>
              <w:right w:w="0" w:type="dxa"/>
            </w:tcMar>
            <w:vAlign w:val="center"/>
          </w:tcPr>
          <w:p w14:paraId="5435C09B" w14:textId="77777777" w:rsidR="009103CC" w:rsidRPr="001814D2" w:rsidRDefault="009103CC" w:rsidP="002718DF">
            <w:pPr>
              <w:pStyle w:val="Tabletext"/>
            </w:pPr>
            <w:r w:rsidRPr="001814D2">
              <w:t xml:space="preserve">Net gain/(loss) on investments carried </w:t>
            </w:r>
            <w:r w:rsidRPr="001814D2">
              <w:br/>
              <w:t>at fair value through profit or loss</w:t>
            </w:r>
          </w:p>
        </w:tc>
        <w:tc>
          <w:tcPr>
            <w:tcW w:w="708" w:type="pct"/>
            <w:tcBorders>
              <w:top w:val="single" w:sz="4" w:space="0" w:color="auto"/>
              <w:bottom w:val="single" w:sz="4" w:space="0" w:color="auto"/>
            </w:tcBorders>
            <w:tcMar>
              <w:top w:w="0" w:type="dxa"/>
              <w:left w:w="0" w:type="dxa"/>
              <w:bottom w:w="0" w:type="dxa"/>
              <w:right w:w="0" w:type="dxa"/>
            </w:tcMar>
            <w:vAlign w:val="center"/>
          </w:tcPr>
          <w:p w14:paraId="2D2AED40" w14:textId="77777777" w:rsidR="009103CC" w:rsidRPr="001814D2" w:rsidRDefault="009103CC" w:rsidP="002718DF">
            <w:pPr>
              <w:pStyle w:val="Tabletext"/>
              <w:jc w:val="right"/>
              <w:rPr>
                <w:rFonts w:cs="Preston"/>
                <w:szCs w:val="18"/>
              </w:rPr>
            </w:pPr>
            <w:r w:rsidRPr="001814D2">
              <w:rPr>
                <w:rFonts w:cs="Preston"/>
                <w:szCs w:val="18"/>
              </w:rPr>
              <w:t>1,177</w:t>
            </w:r>
          </w:p>
          <w:p w14:paraId="62DC7C27" w14:textId="77777777" w:rsidR="009103CC" w:rsidRPr="001814D2" w:rsidRDefault="009103CC" w:rsidP="002718DF">
            <w:pPr>
              <w:pStyle w:val="Tabletext"/>
              <w:jc w:val="right"/>
              <w:rPr>
                <w:rFonts w:cs="Preston"/>
                <w:szCs w:val="18"/>
              </w:rPr>
            </w:pPr>
          </w:p>
        </w:tc>
        <w:tc>
          <w:tcPr>
            <w:tcW w:w="708" w:type="pct"/>
            <w:tcBorders>
              <w:top w:val="single" w:sz="4" w:space="0" w:color="auto"/>
              <w:bottom w:val="single" w:sz="4" w:space="0" w:color="auto"/>
            </w:tcBorders>
            <w:tcMar>
              <w:top w:w="0" w:type="dxa"/>
              <w:left w:w="0" w:type="dxa"/>
              <w:bottom w:w="0" w:type="dxa"/>
              <w:right w:w="0" w:type="dxa"/>
            </w:tcMar>
            <w:vAlign w:val="center"/>
          </w:tcPr>
          <w:p w14:paraId="3F93BE15" w14:textId="77777777" w:rsidR="009103CC" w:rsidRPr="001814D2" w:rsidRDefault="009103CC" w:rsidP="002718DF">
            <w:pPr>
              <w:pStyle w:val="Tabletext"/>
              <w:jc w:val="right"/>
              <w:rPr>
                <w:rFonts w:cs="Preston"/>
                <w:szCs w:val="18"/>
              </w:rPr>
            </w:pPr>
            <w:r w:rsidRPr="001814D2">
              <w:rPr>
                <w:rFonts w:cs="Preston"/>
                <w:szCs w:val="18"/>
              </w:rPr>
              <w:t>(3,247)</w:t>
            </w:r>
          </w:p>
          <w:p w14:paraId="21F00445" w14:textId="77777777" w:rsidR="009103CC" w:rsidRPr="001814D2" w:rsidRDefault="009103CC" w:rsidP="002718DF">
            <w:pPr>
              <w:pStyle w:val="Tabletext"/>
              <w:jc w:val="right"/>
              <w:rPr>
                <w:rFonts w:cs="Preston"/>
                <w:szCs w:val="18"/>
              </w:rPr>
            </w:pPr>
          </w:p>
        </w:tc>
        <w:tc>
          <w:tcPr>
            <w:tcW w:w="708" w:type="pct"/>
            <w:tcBorders>
              <w:top w:val="single" w:sz="4" w:space="0" w:color="auto"/>
              <w:bottom w:val="single" w:sz="4" w:space="0" w:color="auto"/>
            </w:tcBorders>
            <w:tcMar>
              <w:top w:w="0" w:type="dxa"/>
              <w:left w:w="0" w:type="dxa"/>
              <w:bottom w:w="0" w:type="dxa"/>
              <w:right w:w="0" w:type="dxa"/>
            </w:tcMar>
            <w:vAlign w:val="center"/>
          </w:tcPr>
          <w:p w14:paraId="0FE0A057" w14:textId="77777777" w:rsidR="009103CC" w:rsidRPr="001814D2" w:rsidRDefault="009103CC" w:rsidP="002718DF">
            <w:pPr>
              <w:pStyle w:val="Tabletext"/>
              <w:jc w:val="right"/>
              <w:rPr>
                <w:rFonts w:cs="Preston"/>
                <w:szCs w:val="18"/>
              </w:rPr>
            </w:pPr>
            <w:r w:rsidRPr="001814D2">
              <w:rPr>
                <w:rFonts w:cs="Preston"/>
                <w:szCs w:val="18"/>
              </w:rPr>
              <w:t>1,145</w:t>
            </w:r>
          </w:p>
          <w:p w14:paraId="3773D1D8" w14:textId="77777777" w:rsidR="009103CC" w:rsidRPr="001814D2" w:rsidRDefault="009103CC" w:rsidP="002718DF">
            <w:pPr>
              <w:pStyle w:val="Tabletext"/>
              <w:jc w:val="right"/>
              <w:rPr>
                <w:rFonts w:cs="Preston"/>
                <w:szCs w:val="18"/>
              </w:rPr>
            </w:pPr>
          </w:p>
        </w:tc>
        <w:tc>
          <w:tcPr>
            <w:tcW w:w="706" w:type="pct"/>
            <w:tcBorders>
              <w:top w:val="single" w:sz="4" w:space="0" w:color="auto"/>
              <w:bottom w:val="single" w:sz="4" w:space="0" w:color="auto"/>
            </w:tcBorders>
            <w:tcMar>
              <w:top w:w="0" w:type="dxa"/>
              <w:left w:w="0" w:type="dxa"/>
              <w:bottom w:w="0" w:type="dxa"/>
              <w:right w:w="0" w:type="dxa"/>
            </w:tcMar>
            <w:vAlign w:val="center"/>
          </w:tcPr>
          <w:p w14:paraId="714613B2" w14:textId="77777777" w:rsidR="009103CC" w:rsidRPr="001814D2" w:rsidRDefault="009103CC" w:rsidP="002718DF">
            <w:pPr>
              <w:pStyle w:val="Tabletext"/>
              <w:jc w:val="right"/>
              <w:rPr>
                <w:rFonts w:cs="Preston"/>
                <w:szCs w:val="18"/>
              </w:rPr>
            </w:pPr>
            <w:r w:rsidRPr="001814D2">
              <w:rPr>
                <w:rFonts w:cs="Preston"/>
                <w:szCs w:val="18"/>
              </w:rPr>
              <w:t>(3,178)</w:t>
            </w:r>
          </w:p>
          <w:p w14:paraId="286E97C4" w14:textId="77777777" w:rsidR="009103CC" w:rsidRPr="001814D2" w:rsidRDefault="009103CC" w:rsidP="002718DF">
            <w:pPr>
              <w:pStyle w:val="Tabletext"/>
              <w:jc w:val="right"/>
              <w:rPr>
                <w:rFonts w:cs="Preston"/>
                <w:szCs w:val="18"/>
              </w:rPr>
            </w:pPr>
          </w:p>
        </w:tc>
      </w:tr>
      <w:tr w:rsidR="009103CC" w:rsidRPr="001814D2" w14:paraId="01E7B0C7"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46C3EE5D" w14:textId="77777777" w:rsidR="009103CC" w:rsidRPr="001814D2" w:rsidRDefault="009103CC" w:rsidP="002718DF">
            <w:pPr>
              <w:pStyle w:val="Tabletext"/>
              <w:rPr>
                <w:rFonts w:cstheme="minorBidi"/>
                <w:sz w:val="24"/>
                <w:szCs w:val="24"/>
              </w:rPr>
            </w:pPr>
          </w:p>
        </w:tc>
        <w:tc>
          <w:tcPr>
            <w:tcW w:w="708" w:type="pct"/>
            <w:tcBorders>
              <w:top w:val="single" w:sz="4" w:space="0" w:color="auto"/>
              <w:bottom w:val="single" w:sz="4" w:space="0" w:color="auto"/>
            </w:tcBorders>
            <w:tcMar>
              <w:top w:w="0" w:type="dxa"/>
              <w:left w:w="0" w:type="dxa"/>
              <w:bottom w:w="0" w:type="dxa"/>
              <w:right w:w="0" w:type="dxa"/>
            </w:tcMar>
            <w:vAlign w:val="center"/>
          </w:tcPr>
          <w:p w14:paraId="659C435E" w14:textId="77777777" w:rsidR="009103CC" w:rsidRPr="001814D2" w:rsidRDefault="009103CC" w:rsidP="002718DF">
            <w:pPr>
              <w:pStyle w:val="Tabletext"/>
              <w:jc w:val="right"/>
              <w:rPr>
                <w:rFonts w:cs="Preston"/>
                <w:szCs w:val="18"/>
              </w:rPr>
            </w:pPr>
            <w:r w:rsidRPr="001814D2">
              <w:rPr>
                <w:rFonts w:cs="Preston"/>
                <w:szCs w:val="18"/>
              </w:rPr>
              <w:t>8,395</w:t>
            </w:r>
          </w:p>
        </w:tc>
        <w:tc>
          <w:tcPr>
            <w:tcW w:w="708" w:type="pct"/>
            <w:tcBorders>
              <w:top w:val="single" w:sz="4" w:space="0" w:color="auto"/>
              <w:bottom w:val="single" w:sz="4" w:space="0" w:color="auto"/>
            </w:tcBorders>
            <w:tcMar>
              <w:top w:w="0" w:type="dxa"/>
              <w:left w:w="0" w:type="dxa"/>
              <w:bottom w:w="0" w:type="dxa"/>
              <w:right w:w="0" w:type="dxa"/>
            </w:tcMar>
            <w:vAlign w:val="center"/>
          </w:tcPr>
          <w:p w14:paraId="36D16855" w14:textId="77777777" w:rsidR="009103CC" w:rsidRPr="001814D2" w:rsidRDefault="009103CC" w:rsidP="002718DF">
            <w:pPr>
              <w:pStyle w:val="Tabletext"/>
              <w:jc w:val="right"/>
              <w:rPr>
                <w:rFonts w:cs="Preston"/>
                <w:szCs w:val="18"/>
              </w:rPr>
            </w:pPr>
            <w:r w:rsidRPr="001814D2">
              <w:rPr>
                <w:rFonts w:cs="Preston"/>
                <w:szCs w:val="18"/>
              </w:rPr>
              <w:t>890</w:t>
            </w:r>
          </w:p>
        </w:tc>
        <w:tc>
          <w:tcPr>
            <w:tcW w:w="708" w:type="pct"/>
            <w:tcBorders>
              <w:top w:val="single" w:sz="4" w:space="0" w:color="auto"/>
              <w:bottom w:val="single" w:sz="4" w:space="0" w:color="auto"/>
            </w:tcBorders>
            <w:tcMar>
              <w:top w:w="0" w:type="dxa"/>
              <w:left w:w="0" w:type="dxa"/>
              <w:bottom w:w="0" w:type="dxa"/>
              <w:right w:w="0" w:type="dxa"/>
            </w:tcMar>
            <w:vAlign w:val="center"/>
          </w:tcPr>
          <w:p w14:paraId="1A9C5009" w14:textId="77777777" w:rsidR="009103CC" w:rsidRPr="001814D2" w:rsidRDefault="009103CC" w:rsidP="002718DF">
            <w:pPr>
              <w:pStyle w:val="Tabletext"/>
              <w:jc w:val="right"/>
              <w:rPr>
                <w:rFonts w:cs="Preston"/>
                <w:szCs w:val="18"/>
              </w:rPr>
            </w:pPr>
            <w:r w:rsidRPr="001814D2">
              <w:rPr>
                <w:rFonts w:cs="Preston"/>
                <w:szCs w:val="18"/>
              </w:rPr>
              <w:t>8,292</w:t>
            </w:r>
          </w:p>
        </w:tc>
        <w:tc>
          <w:tcPr>
            <w:tcW w:w="706" w:type="pct"/>
            <w:tcBorders>
              <w:top w:val="single" w:sz="4" w:space="0" w:color="auto"/>
              <w:bottom w:val="single" w:sz="4" w:space="0" w:color="auto"/>
            </w:tcBorders>
            <w:tcMar>
              <w:top w:w="0" w:type="dxa"/>
              <w:left w:w="0" w:type="dxa"/>
              <w:bottom w:w="0" w:type="dxa"/>
              <w:right w:w="0" w:type="dxa"/>
            </w:tcMar>
            <w:vAlign w:val="center"/>
          </w:tcPr>
          <w:p w14:paraId="79B723DC" w14:textId="77777777" w:rsidR="009103CC" w:rsidRPr="001814D2" w:rsidRDefault="009103CC" w:rsidP="002718DF">
            <w:pPr>
              <w:pStyle w:val="Tabletext"/>
              <w:jc w:val="right"/>
              <w:rPr>
                <w:rFonts w:cs="Preston"/>
                <w:szCs w:val="18"/>
              </w:rPr>
            </w:pPr>
            <w:r w:rsidRPr="001814D2">
              <w:rPr>
                <w:rFonts w:cs="Preston"/>
                <w:szCs w:val="18"/>
              </w:rPr>
              <w:t>911</w:t>
            </w:r>
          </w:p>
        </w:tc>
      </w:tr>
    </w:tbl>
    <w:p w14:paraId="30756D87" w14:textId="77777777" w:rsidR="009103CC" w:rsidRDefault="009103CC" w:rsidP="009103CC">
      <w:pPr>
        <w:pStyle w:val="Tabletext"/>
      </w:pPr>
    </w:p>
    <w:p w14:paraId="23F7A678" w14:textId="77777777" w:rsidR="009103CC" w:rsidRPr="00B73C1A" w:rsidRDefault="009103CC" w:rsidP="009103CC">
      <w:pPr>
        <w:pStyle w:val="ARbody"/>
      </w:pPr>
      <w:r w:rsidRPr="00B73C1A">
        <w:t>Interest income is calculated by applying the effective interest rate to the gross carrying amount of a financial asset except for financial assets that subsequently become credit-impaired. For financial assets that become credit impaired, the effective interest rate is applied to the amortised cost of the financial asset</w:t>
      </w:r>
    </w:p>
    <w:p w14:paraId="6EBA0C94" w14:textId="77777777" w:rsidR="009103CC" w:rsidRDefault="009103CC" w:rsidP="009103CC">
      <w:pPr>
        <w:pStyle w:val="Tabletext"/>
      </w:pPr>
      <w:r>
        <w:br w:type="page"/>
      </w:r>
    </w:p>
    <w:tbl>
      <w:tblPr>
        <w:tblW w:w="5000" w:type="pct"/>
        <w:tblCellMar>
          <w:left w:w="0" w:type="dxa"/>
          <w:right w:w="0" w:type="dxa"/>
        </w:tblCellMar>
        <w:tblLook w:val="0000" w:firstRow="0" w:lastRow="0" w:firstColumn="0" w:lastColumn="0" w:noHBand="0" w:noVBand="0"/>
        <w:tblCaption w:val="Note 3 Expenditure: personnel services and employee-related expenses"/>
        <w:tblDescription w:val="This table provides figures for 2020 and 2021 for both the consolidated entity and parent entity."/>
      </w:tblPr>
      <w:tblGrid>
        <w:gridCol w:w="3937"/>
        <w:gridCol w:w="1284"/>
        <w:gridCol w:w="1284"/>
        <w:gridCol w:w="1284"/>
        <w:gridCol w:w="1281"/>
      </w:tblGrid>
      <w:tr w:rsidR="009103CC" w:rsidRPr="00F677EB" w14:paraId="0095979E" w14:textId="77777777" w:rsidTr="002718DF">
        <w:trPr>
          <w:cantSplit/>
          <w:trHeight w:hRule="exact" w:val="332"/>
          <w:tblHeader/>
        </w:trPr>
        <w:tc>
          <w:tcPr>
            <w:tcW w:w="2170" w:type="pct"/>
            <w:tcBorders>
              <w:bottom w:val="single" w:sz="4" w:space="0" w:color="auto"/>
            </w:tcBorders>
            <w:tcMar>
              <w:top w:w="0" w:type="dxa"/>
              <w:left w:w="0" w:type="dxa"/>
              <w:bottom w:w="0" w:type="dxa"/>
              <w:right w:w="0" w:type="dxa"/>
            </w:tcMar>
            <w:vAlign w:val="center"/>
          </w:tcPr>
          <w:p w14:paraId="72817270" w14:textId="77777777" w:rsidR="009103CC" w:rsidRPr="00F677EB" w:rsidRDefault="009103CC" w:rsidP="002718DF">
            <w:pPr>
              <w:pStyle w:val="Tabletext"/>
              <w:jc w:val="center"/>
              <w:rPr>
                <w:b/>
                <w:bCs/>
              </w:rPr>
            </w:pPr>
          </w:p>
        </w:tc>
        <w:tc>
          <w:tcPr>
            <w:tcW w:w="1416" w:type="pct"/>
            <w:gridSpan w:val="2"/>
            <w:tcBorders>
              <w:bottom w:val="single" w:sz="4" w:space="0" w:color="auto"/>
            </w:tcBorders>
            <w:tcMar>
              <w:top w:w="0" w:type="dxa"/>
              <w:left w:w="0" w:type="dxa"/>
              <w:bottom w:w="0" w:type="dxa"/>
              <w:right w:w="0" w:type="dxa"/>
            </w:tcMar>
            <w:vAlign w:val="center"/>
          </w:tcPr>
          <w:p w14:paraId="6B102972" w14:textId="77777777" w:rsidR="009103CC" w:rsidRPr="00F677EB" w:rsidRDefault="009103CC" w:rsidP="002718DF">
            <w:pPr>
              <w:pStyle w:val="Tabletext"/>
              <w:jc w:val="center"/>
              <w:rPr>
                <w:rFonts w:cs="Preston"/>
                <w:b/>
                <w:bCs/>
                <w:szCs w:val="18"/>
              </w:rPr>
            </w:pPr>
            <w:r w:rsidRPr="00F677EB">
              <w:rPr>
                <w:rFonts w:cs="Preston"/>
                <w:b/>
                <w:bCs/>
                <w:szCs w:val="18"/>
              </w:rPr>
              <w:t>Consolidated entity</w:t>
            </w:r>
          </w:p>
        </w:tc>
        <w:tc>
          <w:tcPr>
            <w:tcW w:w="1414" w:type="pct"/>
            <w:gridSpan w:val="2"/>
            <w:tcBorders>
              <w:bottom w:val="single" w:sz="4" w:space="0" w:color="auto"/>
            </w:tcBorders>
            <w:tcMar>
              <w:top w:w="0" w:type="dxa"/>
              <w:left w:w="0" w:type="dxa"/>
              <w:bottom w:w="0" w:type="dxa"/>
              <w:right w:w="0" w:type="dxa"/>
            </w:tcMar>
            <w:vAlign w:val="center"/>
          </w:tcPr>
          <w:p w14:paraId="6612F6DE" w14:textId="77777777" w:rsidR="009103CC" w:rsidRPr="00F677EB" w:rsidRDefault="009103CC" w:rsidP="002718DF">
            <w:pPr>
              <w:pStyle w:val="Tabletext"/>
              <w:jc w:val="center"/>
              <w:rPr>
                <w:rFonts w:cs="Preston"/>
                <w:b/>
                <w:bCs/>
                <w:szCs w:val="18"/>
              </w:rPr>
            </w:pPr>
            <w:r w:rsidRPr="00F677EB">
              <w:rPr>
                <w:rFonts w:cs="Preston"/>
                <w:b/>
                <w:bCs/>
                <w:szCs w:val="18"/>
              </w:rPr>
              <w:t>Parent entity</w:t>
            </w:r>
          </w:p>
        </w:tc>
      </w:tr>
      <w:tr w:rsidR="009103CC" w:rsidRPr="00F677EB" w14:paraId="04D6E0FB" w14:textId="77777777" w:rsidTr="002718DF">
        <w:trPr>
          <w:cantSplit/>
          <w:trHeight w:hRule="exact" w:val="553"/>
          <w:tblHeader/>
        </w:trPr>
        <w:tc>
          <w:tcPr>
            <w:tcW w:w="2170" w:type="pct"/>
            <w:tcBorders>
              <w:top w:val="single" w:sz="4" w:space="0" w:color="auto"/>
            </w:tcBorders>
            <w:tcMar>
              <w:top w:w="0" w:type="dxa"/>
              <w:left w:w="0" w:type="dxa"/>
              <w:bottom w:w="0" w:type="dxa"/>
              <w:right w:w="0" w:type="dxa"/>
            </w:tcMar>
            <w:vAlign w:val="center"/>
          </w:tcPr>
          <w:p w14:paraId="05E62A45" w14:textId="77777777" w:rsidR="009103CC" w:rsidRPr="00F677EB" w:rsidRDefault="009103CC" w:rsidP="002718DF">
            <w:pPr>
              <w:pStyle w:val="Tabletext"/>
              <w:rPr>
                <w:rFonts w:cs="Preston"/>
                <w:b/>
                <w:bCs/>
                <w:szCs w:val="18"/>
              </w:rPr>
            </w:pPr>
            <w:r w:rsidRPr="00F677EB">
              <w:rPr>
                <w:rFonts w:cs="Preston"/>
                <w:b/>
                <w:bCs/>
                <w:szCs w:val="18"/>
              </w:rPr>
              <w:t>3 Expenditure</w:t>
            </w:r>
          </w:p>
          <w:p w14:paraId="69F05070" w14:textId="77777777" w:rsidR="009103CC" w:rsidRPr="00F677EB" w:rsidRDefault="009103CC" w:rsidP="002718DF">
            <w:pPr>
              <w:pStyle w:val="Tabletext"/>
              <w:rPr>
                <w:rFonts w:cs="Preston"/>
                <w:b/>
                <w:bCs/>
                <w:szCs w:val="18"/>
              </w:rPr>
            </w:pPr>
          </w:p>
        </w:tc>
        <w:tc>
          <w:tcPr>
            <w:tcW w:w="708" w:type="pct"/>
            <w:tcBorders>
              <w:top w:val="single" w:sz="4" w:space="0" w:color="auto"/>
            </w:tcBorders>
            <w:tcMar>
              <w:top w:w="0" w:type="dxa"/>
              <w:left w:w="0" w:type="dxa"/>
              <w:bottom w:w="0" w:type="dxa"/>
              <w:right w:w="0" w:type="dxa"/>
            </w:tcMar>
            <w:vAlign w:val="center"/>
          </w:tcPr>
          <w:p w14:paraId="434AC6F1" w14:textId="77777777" w:rsidR="009103CC" w:rsidRPr="00F677EB" w:rsidRDefault="009103CC" w:rsidP="002718DF">
            <w:pPr>
              <w:pStyle w:val="Tabletext"/>
              <w:jc w:val="right"/>
              <w:rPr>
                <w:rFonts w:cs="Preston"/>
                <w:b/>
                <w:bCs/>
                <w:szCs w:val="18"/>
              </w:rPr>
            </w:pPr>
            <w:r w:rsidRPr="00F677EB">
              <w:rPr>
                <w:rFonts w:cs="Preston"/>
                <w:b/>
                <w:bCs/>
                <w:szCs w:val="18"/>
              </w:rPr>
              <w:t>2021</w:t>
            </w:r>
          </w:p>
          <w:p w14:paraId="26BED582" w14:textId="77777777" w:rsidR="009103CC" w:rsidRPr="00F677EB" w:rsidRDefault="009103CC" w:rsidP="002718DF">
            <w:pPr>
              <w:pStyle w:val="Tabletext"/>
              <w:jc w:val="right"/>
              <w:rPr>
                <w:rFonts w:cs="Preston"/>
                <w:b/>
                <w:bCs/>
                <w:szCs w:val="18"/>
              </w:rPr>
            </w:pPr>
            <w:r w:rsidRPr="00F677EB">
              <w:rPr>
                <w:rFonts w:cs="Preston"/>
                <w:b/>
                <w:bCs/>
                <w:szCs w:val="18"/>
              </w:rPr>
              <w:t>$'000</w:t>
            </w:r>
          </w:p>
        </w:tc>
        <w:tc>
          <w:tcPr>
            <w:tcW w:w="708" w:type="pct"/>
            <w:tcBorders>
              <w:top w:val="single" w:sz="4" w:space="0" w:color="auto"/>
            </w:tcBorders>
            <w:tcMar>
              <w:top w:w="0" w:type="dxa"/>
              <w:left w:w="0" w:type="dxa"/>
              <w:bottom w:w="0" w:type="dxa"/>
              <w:right w:w="0" w:type="dxa"/>
            </w:tcMar>
            <w:vAlign w:val="center"/>
          </w:tcPr>
          <w:p w14:paraId="02119A6C" w14:textId="77777777" w:rsidR="009103CC" w:rsidRPr="00F677EB" w:rsidRDefault="009103CC" w:rsidP="002718DF">
            <w:pPr>
              <w:pStyle w:val="Tabletext"/>
              <w:jc w:val="right"/>
              <w:rPr>
                <w:rFonts w:cs="Preston"/>
                <w:b/>
                <w:bCs/>
                <w:szCs w:val="18"/>
              </w:rPr>
            </w:pPr>
            <w:r w:rsidRPr="00F677EB">
              <w:rPr>
                <w:rFonts w:cs="Preston"/>
                <w:b/>
                <w:bCs/>
                <w:szCs w:val="18"/>
              </w:rPr>
              <w:t>2020</w:t>
            </w:r>
          </w:p>
          <w:p w14:paraId="785DCB91" w14:textId="77777777" w:rsidR="009103CC" w:rsidRPr="00F677EB" w:rsidRDefault="009103CC" w:rsidP="002718DF">
            <w:pPr>
              <w:pStyle w:val="Tabletext"/>
              <w:jc w:val="right"/>
              <w:rPr>
                <w:rFonts w:cs="Preston"/>
                <w:b/>
                <w:bCs/>
                <w:szCs w:val="18"/>
              </w:rPr>
            </w:pPr>
            <w:r w:rsidRPr="00F677EB">
              <w:rPr>
                <w:rFonts w:cs="Preston"/>
                <w:b/>
                <w:bCs/>
                <w:szCs w:val="18"/>
              </w:rPr>
              <w:t>$'000</w:t>
            </w:r>
          </w:p>
        </w:tc>
        <w:tc>
          <w:tcPr>
            <w:tcW w:w="708" w:type="pct"/>
            <w:tcBorders>
              <w:top w:val="single" w:sz="4" w:space="0" w:color="auto"/>
            </w:tcBorders>
            <w:tcMar>
              <w:top w:w="0" w:type="dxa"/>
              <w:left w:w="0" w:type="dxa"/>
              <w:bottom w:w="0" w:type="dxa"/>
              <w:right w:w="0" w:type="dxa"/>
            </w:tcMar>
            <w:vAlign w:val="center"/>
          </w:tcPr>
          <w:p w14:paraId="41576B92" w14:textId="77777777" w:rsidR="009103CC" w:rsidRPr="00F677EB" w:rsidRDefault="009103CC" w:rsidP="002718DF">
            <w:pPr>
              <w:pStyle w:val="Tabletext"/>
              <w:jc w:val="right"/>
              <w:rPr>
                <w:rFonts w:cs="Preston"/>
                <w:b/>
                <w:bCs/>
                <w:szCs w:val="18"/>
              </w:rPr>
            </w:pPr>
            <w:r w:rsidRPr="00F677EB">
              <w:rPr>
                <w:rFonts w:cs="Preston"/>
                <w:b/>
                <w:bCs/>
                <w:szCs w:val="18"/>
              </w:rPr>
              <w:t>2021</w:t>
            </w:r>
          </w:p>
          <w:p w14:paraId="51C68E30" w14:textId="77777777" w:rsidR="009103CC" w:rsidRPr="00F677EB" w:rsidRDefault="009103CC" w:rsidP="002718DF">
            <w:pPr>
              <w:pStyle w:val="Tabletext"/>
              <w:jc w:val="right"/>
              <w:rPr>
                <w:rFonts w:cs="Preston"/>
                <w:b/>
                <w:bCs/>
                <w:szCs w:val="18"/>
              </w:rPr>
            </w:pPr>
            <w:r w:rsidRPr="00F677EB">
              <w:rPr>
                <w:rFonts w:cs="Preston"/>
                <w:b/>
                <w:bCs/>
                <w:szCs w:val="18"/>
              </w:rPr>
              <w:t>$'000</w:t>
            </w:r>
          </w:p>
          <w:p w14:paraId="4949B296" w14:textId="77777777" w:rsidR="009103CC" w:rsidRPr="00F677EB" w:rsidRDefault="009103CC" w:rsidP="002718DF">
            <w:pPr>
              <w:pStyle w:val="Tabletext"/>
              <w:jc w:val="right"/>
              <w:rPr>
                <w:rFonts w:cs="Preston"/>
                <w:b/>
                <w:bCs/>
                <w:szCs w:val="18"/>
              </w:rPr>
            </w:pPr>
          </w:p>
        </w:tc>
        <w:tc>
          <w:tcPr>
            <w:tcW w:w="706" w:type="pct"/>
            <w:tcBorders>
              <w:top w:val="single" w:sz="4" w:space="0" w:color="auto"/>
            </w:tcBorders>
            <w:tcMar>
              <w:top w:w="0" w:type="dxa"/>
              <w:left w:w="0" w:type="dxa"/>
              <w:bottom w:w="0" w:type="dxa"/>
              <w:right w:w="0" w:type="dxa"/>
            </w:tcMar>
            <w:vAlign w:val="center"/>
          </w:tcPr>
          <w:p w14:paraId="2B54F498" w14:textId="77777777" w:rsidR="009103CC" w:rsidRPr="00F677EB" w:rsidRDefault="009103CC" w:rsidP="002718DF">
            <w:pPr>
              <w:pStyle w:val="Tabletext"/>
              <w:jc w:val="right"/>
              <w:rPr>
                <w:rFonts w:cs="Preston"/>
                <w:b/>
                <w:bCs/>
                <w:szCs w:val="18"/>
              </w:rPr>
            </w:pPr>
            <w:r w:rsidRPr="00F677EB">
              <w:rPr>
                <w:rFonts w:cs="Preston"/>
                <w:b/>
                <w:bCs/>
                <w:szCs w:val="18"/>
              </w:rPr>
              <w:t>2020</w:t>
            </w:r>
          </w:p>
          <w:p w14:paraId="7538255C" w14:textId="77777777" w:rsidR="009103CC" w:rsidRPr="00F677EB" w:rsidRDefault="009103CC" w:rsidP="002718DF">
            <w:pPr>
              <w:pStyle w:val="Tabletext"/>
              <w:jc w:val="right"/>
              <w:rPr>
                <w:rFonts w:cs="Preston"/>
                <w:b/>
                <w:bCs/>
                <w:szCs w:val="18"/>
              </w:rPr>
            </w:pPr>
            <w:r w:rsidRPr="00F677EB">
              <w:rPr>
                <w:rFonts w:cs="Preston"/>
                <w:b/>
                <w:bCs/>
                <w:szCs w:val="18"/>
              </w:rPr>
              <w:t>$'000</w:t>
            </w:r>
          </w:p>
          <w:p w14:paraId="05FE38D4" w14:textId="77777777" w:rsidR="009103CC" w:rsidRPr="00F677EB" w:rsidRDefault="009103CC" w:rsidP="002718DF">
            <w:pPr>
              <w:pStyle w:val="Tabletext"/>
              <w:jc w:val="right"/>
              <w:rPr>
                <w:rFonts w:cs="Preston"/>
                <w:b/>
                <w:bCs/>
                <w:szCs w:val="18"/>
              </w:rPr>
            </w:pPr>
          </w:p>
        </w:tc>
      </w:tr>
      <w:tr w:rsidR="009103CC" w:rsidRPr="00F677EB" w14:paraId="30F15ED4" w14:textId="77777777" w:rsidTr="002718DF">
        <w:trPr>
          <w:cantSplit/>
          <w:trHeight w:hRule="exact" w:val="332"/>
        </w:trPr>
        <w:tc>
          <w:tcPr>
            <w:tcW w:w="2170" w:type="pct"/>
            <w:tcBorders>
              <w:bottom w:val="single" w:sz="4" w:space="0" w:color="auto"/>
            </w:tcBorders>
            <w:tcMar>
              <w:top w:w="0" w:type="dxa"/>
              <w:left w:w="0" w:type="dxa"/>
              <w:bottom w:w="0" w:type="dxa"/>
              <w:right w:w="0" w:type="dxa"/>
            </w:tcMar>
            <w:vAlign w:val="center"/>
          </w:tcPr>
          <w:p w14:paraId="4281A6FE" w14:textId="77777777" w:rsidR="009103CC" w:rsidRPr="00F677EB" w:rsidRDefault="009103CC" w:rsidP="002718DF">
            <w:pPr>
              <w:pStyle w:val="Tabletext"/>
              <w:rPr>
                <w:rFonts w:cs="Preston"/>
                <w:b/>
                <w:bCs/>
                <w:szCs w:val="18"/>
              </w:rPr>
            </w:pPr>
            <w:r w:rsidRPr="00F677EB">
              <w:rPr>
                <w:rFonts w:cs="Preston"/>
                <w:b/>
                <w:bCs/>
                <w:szCs w:val="18"/>
              </w:rPr>
              <w:t>(a) Personnel services</w:t>
            </w:r>
          </w:p>
        </w:tc>
        <w:tc>
          <w:tcPr>
            <w:tcW w:w="708" w:type="pct"/>
            <w:tcBorders>
              <w:bottom w:val="single" w:sz="4" w:space="0" w:color="auto"/>
            </w:tcBorders>
            <w:tcMar>
              <w:top w:w="0" w:type="dxa"/>
              <w:left w:w="0" w:type="dxa"/>
              <w:bottom w:w="0" w:type="dxa"/>
              <w:right w:w="0" w:type="dxa"/>
            </w:tcMar>
            <w:vAlign w:val="center"/>
          </w:tcPr>
          <w:p w14:paraId="02F045C1" w14:textId="77777777" w:rsidR="009103CC" w:rsidRPr="00F677EB" w:rsidRDefault="009103CC" w:rsidP="002718DF">
            <w:pPr>
              <w:pStyle w:val="Tabletext"/>
              <w:jc w:val="right"/>
              <w:rPr>
                <w:b/>
                <w:bCs/>
              </w:rPr>
            </w:pPr>
          </w:p>
        </w:tc>
        <w:tc>
          <w:tcPr>
            <w:tcW w:w="708" w:type="pct"/>
            <w:tcBorders>
              <w:bottom w:val="single" w:sz="4" w:space="0" w:color="auto"/>
            </w:tcBorders>
            <w:tcMar>
              <w:top w:w="0" w:type="dxa"/>
              <w:left w:w="0" w:type="dxa"/>
              <w:bottom w:w="0" w:type="dxa"/>
              <w:right w:w="0" w:type="dxa"/>
            </w:tcMar>
            <w:vAlign w:val="center"/>
          </w:tcPr>
          <w:p w14:paraId="56B0AAAB" w14:textId="77777777" w:rsidR="009103CC" w:rsidRPr="00F677EB" w:rsidRDefault="009103CC" w:rsidP="002718DF">
            <w:pPr>
              <w:pStyle w:val="Tabletext"/>
              <w:jc w:val="right"/>
              <w:rPr>
                <w:b/>
                <w:bCs/>
              </w:rPr>
            </w:pPr>
          </w:p>
        </w:tc>
        <w:tc>
          <w:tcPr>
            <w:tcW w:w="708" w:type="pct"/>
            <w:tcBorders>
              <w:bottom w:val="single" w:sz="4" w:space="0" w:color="auto"/>
            </w:tcBorders>
            <w:tcMar>
              <w:top w:w="0" w:type="dxa"/>
              <w:left w:w="0" w:type="dxa"/>
              <w:bottom w:w="0" w:type="dxa"/>
              <w:right w:w="0" w:type="dxa"/>
            </w:tcMar>
            <w:vAlign w:val="center"/>
          </w:tcPr>
          <w:p w14:paraId="52904CBF" w14:textId="77777777" w:rsidR="009103CC" w:rsidRPr="00F677EB" w:rsidRDefault="009103CC" w:rsidP="002718DF">
            <w:pPr>
              <w:pStyle w:val="Tabletext"/>
              <w:jc w:val="right"/>
              <w:rPr>
                <w:b/>
                <w:bCs/>
              </w:rPr>
            </w:pPr>
          </w:p>
        </w:tc>
        <w:tc>
          <w:tcPr>
            <w:tcW w:w="706" w:type="pct"/>
            <w:tcBorders>
              <w:bottom w:val="single" w:sz="4" w:space="0" w:color="auto"/>
            </w:tcBorders>
            <w:tcMar>
              <w:top w:w="0" w:type="dxa"/>
              <w:left w:w="0" w:type="dxa"/>
              <w:bottom w:w="0" w:type="dxa"/>
              <w:right w:w="0" w:type="dxa"/>
            </w:tcMar>
            <w:vAlign w:val="center"/>
          </w:tcPr>
          <w:p w14:paraId="04DD1814" w14:textId="77777777" w:rsidR="009103CC" w:rsidRPr="00F677EB" w:rsidRDefault="009103CC" w:rsidP="002718DF">
            <w:pPr>
              <w:pStyle w:val="Tabletext"/>
              <w:jc w:val="right"/>
              <w:rPr>
                <w:b/>
                <w:bCs/>
              </w:rPr>
            </w:pPr>
          </w:p>
        </w:tc>
      </w:tr>
      <w:tr w:rsidR="009103CC" w:rsidRPr="001814D2" w14:paraId="04F37C3F"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36CFC142" w14:textId="77777777" w:rsidR="009103CC" w:rsidRPr="001814D2" w:rsidRDefault="009103CC" w:rsidP="002718DF">
            <w:pPr>
              <w:pStyle w:val="Tabletext"/>
            </w:pPr>
            <w:r w:rsidRPr="001814D2">
              <w:t>Salaries and wages (including recreation leave)</w:t>
            </w:r>
          </w:p>
        </w:tc>
        <w:tc>
          <w:tcPr>
            <w:tcW w:w="708" w:type="pct"/>
            <w:tcBorders>
              <w:top w:val="single" w:sz="4" w:space="0" w:color="auto"/>
              <w:bottom w:val="single" w:sz="4" w:space="0" w:color="auto"/>
            </w:tcBorders>
            <w:tcMar>
              <w:top w:w="0" w:type="dxa"/>
              <w:left w:w="0" w:type="dxa"/>
              <w:bottom w:w="0" w:type="dxa"/>
              <w:right w:w="0" w:type="dxa"/>
            </w:tcMar>
            <w:vAlign w:val="center"/>
          </w:tcPr>
          <w:p w14:paraId="5B35DD70"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3C7CF112"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20392226" w14:textId="77777777" w:rsidR="009103CC" w:rsidRPr="001814D2" w:rsidRDefault="009103CC" w:rsidP="002718DF">
            <w:pPr>
              <w:pStyle w:val="Tabletext"/>
              <w:jc w:val="right"/>
              <w:rPr>
                <w:rFonts w:cs="Preston"/>
                <w:szCs w:val="18"/>
              </w:rPr>
            </w:pPr>
            <w:r w:rsidRPr="001814D2">
              <w:rPr>
                <w:rFonts w:cs="Preston"/>
                <w:szCs w:val="18"/>
              </w:rPr>
              <w:t>26,156</w:t>
            </w:r>
          </w:p>
        </w:tc>
        <w:tc>
          <w:tcPr>
            <w:tcW w:w="706" w:type="pct"/>
            <w:tcBorders>
              <w:top w:val="single" w:sz="4" w:space="0" w:color="auto"/>
              <w:bottom w:val="single" w:sz="4" w:space="0" w:color="auto"/>
            </w:tcBorders>
            <w:tcMar>
              <w:top w:w="0" w:type="dxa"/>
              <w:left w:w="0" w:type="dxa"/>
              <w:bottom w:w="0" w:type="dxa"/>
              <w:right w:w="0" w:type="dxa"/>
            </w:tcMar>
            <w:vAlign w:val="center"/>
          </w:tcPr>
          <w:p w14:paraId="4ADFC0C7" w14:textId="77777777" w:rsidR="009103CC" w:rsidRPr="001814D2" w:rsidRDefault="009103CC" w:rsidP="002718DF">
            <w:pPr>
              <w:pStyle w:val="Tabletext"/>
              <w:jc w:val="right"/>
              <w:rPr>
                <w:rFonts w:cs="Preston"/>
                <w:szCs w:val="18"/>
              </w:rPr>
            </w:pPr>
            <w:r w:rsidRPr="001814D2">
              <w:rPr>
                <w:rFonts w:cs="Preston"/>
                <w:szCs w:val="18"/>
              </w:rPr>
              <w:t>24,680</w:t>
            </w:r>
          </w:p>
        </w:tc>
      </w:tr>
      <w:tr w:rsidR="009103CC" w:rsidRPr="001814D2" w14:paraId="138B98DA"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0BF22A39" w14:textId="77777777" w:rsidR="009103CC" w:rsidRPr="001814D2" w:rsidRDefault="009103CC" w:rsidP="002718DF">
            <w:pPr>
              <w:pStyle w:val="Tabletext"/>
            </w:pPr>
            <w:r w:rsidRPr="001814D2">
              <w:t>Superannuation – defined benefit plans*</w:t>
            </w:r>
          </w:p>
        </w:tc>
        <w:tc>
          <w:tcPr>
            <w:tcW w:w="708" w:type="pct"/>
            <w:tcBorders>
              <w:top w:val="single" w:sz="4" w:space="0" w:color="auto"/>
              <w:bottom w:val="single" w:sz="4" w:space="0" w:color="auto"/>
            </w:tcBorders>
            <w:tcMar>
              <w:top w:w="0" w:type="dxa"/>
              <w:left w:w="0" w:type="dxa"/>
              <w:bottom w:w="0" w:type="dxa"/>
              <w:right w:w="0" w:type="dxa"/>
            </w:tcMar>
            <w:vAlign w:val="center"/>
          </w:tcPr>
          <w:p w14:paraId="644A7C0F"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188643DD"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71E624C9" w14:textId="77777777" w:rsidR="009103CC" w:rsidRPr="001814D2" w:rsidRDefault="009103CC" w:rsidP="002718DF">
            <w:pPr>
              <w:pStyle w:val="Tabletext"/>
              <w:jc w:val="right"/>
              <w:rPr>
                <w:rFonts w:cs="Preston"/>
                <w:szCs w:val="18"/>
              </w:rPr>
            </w:pPr>
            <w:r w:rsidRPr="001814D2">
              <w:rPr>
                <w:rFonts w:cs="Preston"/>
                <w:szCs w:val="18"/>
              </w:rPr>
              <w:t>-</w:t>
            </w:r>
          </w:p>
        </w:tc>
        <w:tc>
          <w:tcPr>
            <w:tcW w:w="706" w:type="pct"/>
            <w:tcBorders>
              <w:top w:val="single" w:sz="4" w:space="0" w:color="auto"/>
              <w:bottom w:val="single" w:sz="4" w:space="0" w:color="auto"/>
            </w:tcBorders>
            <w:tcMar>
              <w:top w:w="0" w:type="dxa"/>
              <w:left w:w="0" w:type="dxa"/>
              <w:bottom w:w="0" w:type="dxa"/>
              <w:right w:w="0" w:type="dxa"/>
            </w:tcMar>
            <w:vAlign w:val="center"/>
          </w:tcPr>
          <w:p w14:paraId="251E395E" w14:textId="77777777" w:rsidR="009103CC" w:rsidRPr="001814D2" w:rsidRDefault="009103CC" w:rsidP="002718DF">
            <w:pPr>
              <w:pStyle w:val="Tabletext"/>
              <w:jc w:val="right"/>
              <w:rPr>
                <w:rFonts w:cs="Preston"/>
                <w:szCs w:val="18"/>
              </w:rPr>
            </w:pPr>
            <w:r w:rsidRPr="001814D2">
              <w:rPr>
                <w:rFonts w:cs="Preston"/>
                <w:szCs w:val="18"/>
              </w:rPr>
              <w:t>95</w:t>
            </w:r>
          </w:p>
        </w:tc>
      </w:tr>
      <w:tr w:rsidR="009103CC" w:rsidRPr="001814D2" w14:paraId="7E1F6C21"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6D73A488" w14:textId="77777777" w:rsidR="009103CC" w:rsidRPr="001814D2" w:rsidRDefault="009103CC" w:rsidP="002718DF">
            <w:pPr>
              <w:pStyle w:val="Tabletext"/>
            </w:pPr>
            <w:r w:rsidRPr="001814D2">
              <w:t>Superannuation – defined contribution plans</w:t>
            </w:r>
          </w:p>
        </w:tc>
        <w:tc>
          <w:tcPr>
            <w:tcW w:w="708" w:type="pct"/>
            <w:tcBorders>
              <w:top w:val="single" w:sz="4" w:space="0" w:color="auto"/>
              <w:bottom w:val="single" w:sz="4" w:space="0" w:color="auto"/>
            </w:tcBorders>
            <w:tcMar>
              <w:top w:w="0" w:type="dxa"/>
              <w:left w:w="0" w:type="dxa"/>
              <w:bottom w:w="0" w:type="dxa"/>
              <w:right w:w="0" w:type="dxa"/>
            </w:tcMar>
            <w:vAlign w:val="center"/>
          </w:tcPr>
          <w:p w14:paraId="087BDE3C"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13095BC5"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69126257" w14:textId="77777777" w:rsidR="009103CC" w:rsidRPr="001814D2" w:rsidRDefault="009103CC" w:rsidP="002718DF">
            <w:pPr>
              <w:pStyle w:val="Tabletext"/>
              <w:jc w:val="right"/>
              <w:rPr>
                <w:rFonts w:cs="Preston"/>
                <w:szCs w:val="18"/>
              </w:rPr>
            </w:pPr>
            <w:r w:rsidRPr="001814D2">
              <w:rPr>
                <w:rFonts w:cs="Preston"/>
                <w:szCs w:val="18"/>
              </w:rPr>
              <w:t>1,996</w:t>
            </w:r>
          </w:p>
        </w:tc>
        <w:tc>
          <w:tcPr>
            <w:tcW w:w="706" w:type="pct"/>
            <w:tcBorders>
              <w:top w:val="single" w:sz="4" w:space="0" w:color="auto"/>
              <w:bottom w:val="single" w:sz="4" w:space="0" w:color="auto"/>
            </w:tcBorders>
            <w:tcMar>
              <w:top w:w="0" w:type="dxa"/>
              <w:left w:w="0" w:type="dxa"/>
              <w:bottom w:w="0" w:type="dxa"/>
              <w:right w:w="0" w:type="dxa"/>
            </w:tcMar>
            <w:vAlign w:val="center"/>
          </w:tcPr>
          <w:p w14:paraId="01539247" w14:textId="77777777" w:rsidR="009103CC" w:rsidRPr="001814D2" w:rsidRDefault="009103CC" w:rsidP="002718DF">
            <w:pPr>
              <w:pStyle w:val="Tabletext"/>
              <w:jc w:val="right"/>
              <w:rPr>
                <w:rFonts w:cs="Preston"/>
                <w:szCs w:val="18"/>
              </w:rPr>
            </w:pPr>
            <w:r w:rsidRPr="001814D2">
              <w:rPr>
                <w:rFonts w:cs="Preston"/>
                <w:szCs w:val="18"/>
              </w:rPr>
              <w:t>2,376</w:t>
            </w:r>
          </w:p>
        </w:tc>
      </w:tr>
      <w:tr w:rsidR="009103CC" w:rsidRPr="001814D2" w14:paraId="3AE7D494"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168432FD" w14:textId="77777777" w:rsidR="009103CC" w:rsidRPr="001814D2" w:rsidRDefault="009103CC" w:rsidP="002718DF">
            <w:pPr>
              <w:pStyle w:val="Tabletext"/>
            </w:pPr>
            <w:r w:rsidRPr="001814D2">
              <w:t>Long service leave (including on-costs)*</w:t>
            </w:r>
          </w:p>
        </w:tc>
        <w:tc>
          <w:tcPr>
            <w:tcW w:w="708" w:type="pct"/>
            <w:tcBorders>
              <w:top w:val="single" w:sz="4" w:space="0" w:color="auto"/>
              <w:bottom w:val="single" w:sz="4" w:space="0" w:color="auto"/>
            </w:tcBorders>
            <w:tcMar>
              <w:top w:w="0" w:type="dxa"/>
              <w:left w:w="0" w:type="dxa"/>
              <w:bottom w:w="0" w:type="dxa"/>
              <w:right w:w="0" w:type="dxa"/>
            </w:tcMar>
            <w:vAlign w:val="center"/>
          </w:tcPr>
          <w:p w14:paraId="68A4E2CF"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189E034E"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00F19497" w14:textId="77777777" w:rsidR="009103CC" w:rsidRPr="001814D2" w:rsidRDefault="009103CC" w:rsidP="002718DF">
            <w:pPr>
              <w:pStyle w:val="Tabletext"/>
              <w:jc w:val="right"/>
              <w:rPr>
                <w:rFonts w:cs="Preston"/>
                <w:szCs w:val="18"/>
              </w:rPr>
            </w:pPr>
            <w:r w:rsidRPr="001814D2">
              <w:rPr>
                <w:rFonts w:cs="Preston"/>
                <w:szCs w:val="18"/>
              </w:rPr>
              <w:t>-</w:t>
            </w:r>
          </w:p>
        </w:tc>
        <w:tc>
          <w:tcPr>
            <w:tcW w:w="706" w:type="pct"/>
            <w:tcBorders>
              <w:top w:val="single" w:sz="4" w:space="0" w:color="auto"/>
              <w:bottom w:val="single" w:sz="4" w:space="0" w:color="auto"/>
            </w:tcBorders>
            <w:tcMar>
              <w:top w:w="0" w:type="dxa"/>
              <w:left w:w="0" w:type="dxa"/>
              <w:bottom w:w="0" w:type="dxa"/>
              <w:right w:w="0" w:type="dxa"/>
            </w:tcMar>
            <w:vAlign w:val="center"/>
          </w:tcPr>
          <w:p w14:paraId="4EDE22BF" w14:textId="77777777" w:rsidR="009103CC" w:rsidRPr="001814D2" w:rsidRDefault="009103CC" w:rsidP="002718DF">
            <w:pPr>
              <w:pStyle w:val="Tabletext"/>
              <w:jc w:val="right"/>
              <w:rPr>
                <w:rFonts w:cs="Preston"/>
                <w:szCs w:val="18"/>
              </w:rPr>
            </w:pPr>
            <w:r w:rsidRPr="001814D2">
              <w:rPr>
                <w:rFonts w:cs="Preston"/>
                <w:szCs w:val="18"/>
              </w:rPr>
              <w:t>4,772</w:t>
            </w:r>
          </w:p>
        </w:tc>
      </w:tr>
      <w:tr w:rsidR="009103CC" w:rsidRPr="001814D2" w14:paraId="29CB4861"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6AD2F2E0" w14:textId="77777777" w:rsidR="009103CC" w:rsidRPr="001814D2" w:rsidRDefault="009103CC" w:rsidP="002718DF">
            <w:pPr>
              <w:pStyle w:val="Tabletext"/>
            </w:pPr>
            <w:r w:rsidRPr="001814D2">
              <w:t>Workers' compensation insurance</w:t>
            </w:r>
          </w:p>
        </w:tc>
        <w:tc>
          <w:tcPr>
            <w:tcW w:w="708" w:type="pct"/>
            <w:tcBorders>
              <w:top w:val="single" w:sz="4" w:space="0" w:color="auto"/>
              <w:bottom w:val="single" w:sz="4" w:space="0" w:color="auto"/>
            </w:tcBorders>
            <w:tcMar>
              <w:top w:w="0" w:type="dxa"/>
              <w:left w:w="0" w:type="dxa"/>
              <w:bottom w:w="0" w:type="dxa"/>
              <w:right w:w="0" w:type="dxa"/>
            </w:tcMar>
            <w:vAlign w:val="center"/>
          </w:tcPr>
          <w:p w14:paraId="39BC75A9"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0DFA98A8"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61BF2AB6" w14:textId="77777777" w:rsidR="009103CC" w:rsidRPr="001814D2" w:rsidRDefault="009103CC" w:rsidP="002718DF">
            <w:pPr>
              <w:pStyle w:val="Tabletext"/>
              <w:jc w:val="right"/>
              <w:rPr>
                <w:rFonts w:cs="Preston"/>
                <w:szCs w:val="18"/>
              </w:rPr>
            </w:pPr>
            <w:r w:rsidRPr="001814D2">
              <w:rPr>
                <w:rFonts w:cs="Preston"/>
                <w:szCs w:val="18"/>
              </w:rPr>
              <w:t>197</w:t>
            </w:r>
          </w:p>
        </w:tc>
        <w:tc>
          <w:tcPr>
            <w:tcW w:w="706" w:type="pct"/>
            <w:tcBorders>
              <w:top w:val="single" w:sz="4" w:space="0" w:color="auto"/>
              <w:bottom w:val="single" w:sz="4" w:space="0" w:color="auto"/>
            </w:tcBorders>
            <w:tcMar>
              <w:top w:w="0" w:type="dxa"/>
              <w:left w:w="0" w:type="dxa"/>
              <w:bottom w:w="0" w:type="dxa"/>
              <w:right w:w="0" w:type="dxa"/>
            </w:tcMar>
            <w:vAlign w:val="center"/>
          </w:tcPr>
          <w:p w14:paraId="7DD68578" w14:textId="77777777" w:rsidR="009103CC" w:rsidRPr="001814D2" w:rsidRDefault="009103CC" w:rsidP="002718DF">
            <w:pPr>
              <w:pStyle w:val="Tabletext"/>
              <w:jc w:val="right"/>
              <w:rPr>
                <w:rFonts w:cs="Preston"/>
                <w:szCs w:val="18"/>
              </w:rPr>
            </w:pPr>
            <w:r w:rsidRPr="001814D2">
              <w:rPr>
                <w:rFonts w:cs="Preston"/>
                <w:szCs w:val="18"/>
              </w:rPr>
              <w:t>335</w:t>
            </w:r>
          </w:p>
        </w:tc>
      </w:tr>
      <w:tr w:rsidR="009103CC" w:rsidRPr="001814D2" w14:paraId="0DDF9F77"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76A46769" w14:textId="77777777" w:rsidR="009103CC" w:rsidRPr="001814D2" w:rsidRDefault="009103CC" w:rsidP="002718DF">
            <w:pPr>
              <w:pStyle w:val="Tabletext"/>
            </w:pPr>
            <w:r w:rsidRPr="001814D2">
              <w:t>Redundancy*</w:t>
            </w:r>
          </w:p>
        </w:tc>
        <w:tc>
          <w:tcPr>
            <w:tcW w:w="708" w:type="pct"/>
            <w:tcBorders>
              <w:top w:val="single" w:sz="4" w:space="0" w:color="auto"/>
              <w:bottom w:val="single" w:sz="4" w:space="0" w:color="auto"/>
            </w:tcBorders>
            <w:tcMar>
              <w:top w:w="0" w:type="dxa"/>
              <w:left w:w="0" w:type="dxa"/>
              <w:bottom w:w="0" w:type="dxa"/>
              <w:right w:w="0" w:type="dxa"/>
            </w:tcMar>
            <w:vAlign w:val="center"/>
          </w:tcPr>
          <w:p w14:paraId="1C200D80"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14B29FC6"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23A83238" w14:textId="77777777" w:rsidR="009103CC" w:rsidRPr="001814D2" w:rsidRDefault="009103CC" w:rsidP="002718DF">
            <w:pPr>
              <w:pStyle w:val="Tabletext"/>
              <w:jc w:val="right"/>
              <w:rPr>
                <w:rFonts w:cs="Preston"/>
                <w:szCs w:val="18"/>
              </w:rPr>
            </w:pPr>
            <w:r w:rsidRPr="001814D2">
              <w:rPr>
                <w:rFonts w:cs="Preston"/>
                <w:szCs w:val="18"/>
              </w:rPr>
              <w:t>6</w:t>
            </w:r>
          </w:p>
        </w:tc>
        <w:tc>
          <w:tcPr>
            <w:tcW w:w="706" w:type="pct"/>
            <w:tcBorders>
              <w:top w:val="single" w:sz="4" w:space="0" w:color="auto"/>
              <w:bottom w:val="single" w:sz="4" w:space="0" w:color="auto"/>
            </w:tcBorders>
            <w:tcMar>
              <w:top w:w="0" w:type="dxa"/>
              <w:left w:w="0" w:type="dxa"/>
              <w:bottom w:w="0" w:type="dxa"/>
              <w:right w:w="0" w:type="dxa"/>
            </w:tcMar>
            <w:vAlign w:val="center"/>
          </w:tcPr>
          <w:p w14:paraId="069B462B" w14:textId="77777777" w:rsidR="009103CC" w:rsidRPr="001814D2" w:rsidRDefault="009103CC" w:rsidP="002718DF">
            <w:pPr>
              <w:pStyle w:val="Tabletext"/>
              <w:jc w:val="right"/>
              <w:rPr>
                <w:rFonts w:cs="Preston"/>
                <w:szCs w:val="18"/>
              </w:rPr>
            </w:pPr>
            <w:r w:rsidRPr="001814D2">
              <w:rPr>
                <w:rFonts w:cs="Preston"/>
                <w:szCs w:val="18"/>
              </w:rPr>
              <w:t>146</w:t>
            </w:r>
          </w:p>
        </w:tc>
      </w:tr>
      <w:tr w:rsidR="009103CC" w:rsidRPr="001814D2" w14:paraId="5A898F3F"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56F5426A" w14:textId="77777777" w:rsidR="009103CC" w:rsidRPr="001814D2" w:rsidRDefault="009103CC" w:rsidP="002718DF">
            <w:pPr>
              <w:pStyle w:val="Tabletext"/>
            </w:pPr>
            <w:r w:rsidRPr="001814D2">
              <w:t>Payroll tax and fringe benefit tax</w:t>
            </w:r>
          </w:p>
        </w:tc>
        <w:tc>
          <w:tcPr>
            <w:tcW w:w="708" w:type="pct"/>
            <w:tcBorders>
              <w:top w:val="single" w:sz="4" w:space="0" w:color="auto"/>
              <w:bottom w:val="single" w:sz="4" w:space="0" w:color="auto"/>
            </w:tcBorders>
            <w:tcMar>
              <w:top w:w="0" w:type="dxa"/>
              <w:left w:w="0" w:type="dxa"/>
              <w:bottom w:w="0" w:type="dxa"/>
              <w:right w:w="0" w:type="dxa"/>
            </w:tcMar>
            <w:vAlign w:val="center"/>
          </w:tcPr>
          <w:p w14:paraId="1A01C077"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5041548B"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755544FD" w14:textId="77777777" w:rsidR="009103CC" w:rsidRPr="001814D2" w:rsidRDefault="009103CC" w:rsidP="002718DF">
            <w:pPr>
              <w:pStyle w:val="Tabletext"/>
              <w:jc w:val="right"/>
              <w:rPr>
                <w:rFonts w:cs="Preston"/>
                <w:szCs w:val="18"/>
              </w:rPr>
            </w:pPr>
            <w:r w:rsidRPr="001814D2">
              <w:rPr>
                <w:rFonts w:cs="Preston"/>
                <w:szCs w:val="18"/>
              </w:rPr>
              <w:t>1,430</w:t>
            </w:r>
          </w:p>
        </w:tc>
        <w:tc>
          <w:tcPr>
            <w:tcW w:w="706" w:type="pct"/>
            <w:tcBorders>
              <w:top w:val="single" w:sz="4" w:space="0" w:color="auto"/>
              <w:bottom w:val="single" w:sz="4" w:space="0" w:color="auto"/>
            </w:tcBorders>
            <w:tcMar>
              <w:top w:w="0" w:type="dxa"/>
              <w:left w:w="0" w:type="dxa"/>
              <w:bottom w:w="0" w:type="dxa"/>
              <w:right w:w="0" w:type="dxa"/>
            </w:tcMar>
            <w:vAlign w:val="center"/>
          </w:tcPr>
          <w:p w14:paraId="63449EB6" w14:textId="77777777" w:rsidR="009103CC" w:rsidRPr="001814D2" w:rsidRDefault="009103CC" w:rsidP="002718DF">
            <w:pPr>
              <w:pStyle w:val="Tabletext"/>
              <w:jc w:val="right"/>
              <w:rPr>
                <w:rFonts w:cs="Preston"/>
                <w:szCs w:val="18"/>
              </w:rPr>
            </w:pPr>
            <w:r w:rsidRPr="001814D2">
              <w:rPr>
                <w:rFonts w:cs="Preston"/>
                <w:szCs w:val="18"/>
              </w:rPr>
              <w:t>1,527</w:t>
            </w:r>
          </w:p>
        </w:tc>
      </w:tr>
      <w:tr w:rsidR="009103CC" w:rsidRPr="001814D2" w14:paraId="326E4053"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6A4949A3" w14:textId="77777777" w:rsidR="009103CC" w:rsidRPr="001814D2" w:rsidRDefault="009103CC" w:rsidP="002718DF">
            <w:pPr>
              <w:pStyle w:val="Tabletext"/>
            </w:pPr>
          </w:p>
        </w:tc>
        <w:tc>
          <w:tcPr>
            <w:tcW w:w="708" w:type="pct"/>
            <w:tcBorders>
              <w:top w:val="single" w:sz="4" w:space="0" w:color="auto"/>
              <w:bottom w:val="single" w:sz="4" w:space="0" w:color="auto"/>
            </w:tcBorders>
            <w:tcMar>
              <w:top w:w="0" w:type="dxa"/>
              <w:left w:w="0" w:type="dxa"/>
              <w:bottom w:w="0" w:type="dxa"/>
              <w:right w:w="0" w:type="dxa"/>
            </w:tcMar>
            <w:vAlign w:val="center"/>
          </w:tcPr>
          <w:p w14:paraId="189AE5AF"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096A1A88"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46889079" w14:textId="77777777" w:rsidR="009103CC" w:rsidRPr="001814D2" w:rsidRDefault="009103CC" w:rsidP="002718DF">
            <w:pPr>
              <w:pStyle w:val="Tabletext"/>
              <w:jc w:val="right"/>
              <w:rPr>
                <w:rFonts w:cs="Preston"/>
                <w:szCs w:val="18"/>
              </w:rPr>
            </w:pPr>
            <w:r w:rsidRPr="001814D2">
              <w:rPr>
                <w:rFonts w:cs="Preston"/>
                <w:szCs w:val="18"/>
              </w:rPr>
              <w:t>29,785</w:t>
            </w:r>
          </w:p>
        </w:tc>
        <w:tc>
          <w:tcPr>
            <w:tcW w:w="706" w:type="pct"/>
            <w:tcBorders>
              <w:top w:val="single" w:sz="4" w:space="0" w:color="auto"/>
              <w:bottom w:val="single" w:sz="4" w:space="0" w:color="auto"/>
            </w:tcBorders>
            <w:tcMar>
              <w:top w:w="0" w:type="dxa"/>
              <w:left w:w="0" w:type="dxa"/>
              <w:bottom w:w="0" w:type="dxa"/>
              <w:right w:w="0" w:type="dxa"/>
            </w:tcMar>
            <w:vAlign w:val="center"/>
          </w:tcPr>
          <w:p w14:paraId="001B4D39" w14:textId="77777777" w:rsidR="009103CC" w:rsidRPr="001814D2" w:rsidRDefault="009103CC" w:rsidP="002718DF">
            <w:pPr>
              <w:pStyle w:val="Tabletext"/>
              <w:jc w:val="right"/>
              <w:rPr>
                <w:rFonts w:cs="Preston"/>
                <w:szCs w:val="18"/>
              </w:rPr>
            </w:pPr>
            <w:r w:rsidRPr="001814D2">
              <w:rPr>
                <w:rFonts w:cs="Preston"/>
                <w:szCs w:val="18"/>
              </w:rPr>
              <w:t>33,931</w:t>
            </w:r>
          </w:p>
        </w:tc>
      </w:tr>
      <w:tr w:rsidR="009103CC" w:rsidRPr="001814D2" w14:paraId="41E9894F" w14:textId="77777777" w:rsidTr="002718DF">
        <w:trPr>
          <w:cantSplit/>
          <w:trHeight w:hRule="exact" w:val="332"/>
        </w:trPr>
        <w:tc>
          <w:tcPr>
            <w:tcW w:w="2170" w:type="pct"/>
            <w:tcBorders>
              <w:top w:val="single" w:sz="4" w:space="0" w:color="auto"/>
            </w:tcBorders>
            <w:tcMar>
              <w:top w:w="0" w:type="dxa"/>
              <w:left w:w="0" w:type="dxa"/>
              <w:bottom w:w="0" w:type="dxa"/>
              <w:right w:w="0" w:type="dxa"/>
            </w:tcMar>
            <w:vAlign w:val="center"/>
          </w:tcPr>
          <w:p w14:paraId="4AA687F8" w14:textId="77777777" w:rsidR="009103CC" w:rsidRPr="001814D2" w:rsidRDefault="009103CC" w:rsidP="002718DF">
            <w:pPr>
              <w:pStyle w:val="Tabletext"/>
            </w:pPr>
          </w:p>
        </w:tc>
        <w:tc>
          <w:tcPr>
            <w:tcW w:w="708" w:type="pct"/>
            <w:tcBorders>
              <w:top w:val="single" w:sz="4" w:space="0" w:color="auto"/>
            </w:tcBorders>
            <w:tcMar>
              <w:top w:w="0" w:type="dxa"/>
              <w:left w:w="0" w:type="dxa"/>
              <w:bottom w:w="0" w:type="dxa"/>
              <w:right w:w="0" w:type="dxa"/>
            </w:tcMar>
            <w:vAlign w:val="center"/>
          </w:tcPr>
          <w:p w14:paraId="71BB18D2" w14:textId="77777777" w:rsidR="009103CC" w:rsidRPr="001814D2" w:rsidRDefault="009103CC" w:rsidP="002718DF">
            <w:pPr>
              <w:pStyle w:val="Tabletext"/>
              <w:jc w:val="right"/>
            </w:pPr>
          </w:p>
        </w:tc>
        <w:tc>
          <w:tcPr>
            <w:tcW w:w="708" w:type="pct"/>
            <w:tcBorders>
              <w:top w:val="single" w:sz="4" w:space="0" w:color="auto"/>
            </w:tcBorders>
            <w:tcMar>
              <w:top w:w="0" w:type="dxa"/>
              <w:left w:w="0" w:type="dxa"/>
              <w:bottom w:w="0" w:type="dxa"/>
              <w:right w:w="0" w:type="dxa"/>
            </w:tcMar>
            <w:vAlign w:val="center"/>
          </w:tcPr>
          <w:p w14:paraId="31B4276D" w14:textId="77777777" w:rsidR="009103CC" w:rsidRPr="001814D2" w:rsidRDefault="009103CC" w:rsidP="002718DF">
            <w:pPr>
              <w:pStyle w:val="Tabletext"/>
              <w:jc w:val="right"/>
            </w:pPr>
          </w:p>
        </w:tc>
        <w:tc>
          <w:tcPr>
            <w:tcW w:w="708" w:type="pct"/>
            <w:tcBorders>
              <w:top w:val="single" w:sz="4" w:space="0" w:color="auto"/>
            </w:tcBorders>
            <w:tcMar>
              <w:top w:w="0" w:type="dxa"/>
              <w:left w:w="0" w:type="dxa"/>
              <w:bottom w:w="0" w:type="dxa"/>
              <w:right w:w="0" w:type="dxa"/>
            </w:tcMar>
            <w:vAlign w:val="center"/>
          </w:tcPr>
          <w:p w14:paraId="6759533E" w14:textId="77777777" w:rsidR="009103CC" w:rsidRPr="001814D2" w:rsidRDefault="009103CC" w:rsidP="002718DF">
            <w:pPr>
              <w:pStyle w:val="Tabletext"/>
              <w:jc w:val="right"/>
            </w:pPr>
          </w:p>
        </w:tc>
        <w:tc>
          <w:tcPr>
            <w:tcW w:w="706" w:type="pct"/>
            <w:tcBorders>
              <w:top w:val="single" w:sz="4" w:space="0" w:color="auto"/>
            </w:tcBorders>
            <w:tcMar>
              <w:top w:w="0" w:type="dxa"/>
              <w:left w:w="0" w:type="dxa"/>
              <w:bottom w:w="0" w:type="dxa"/>
              <w:right w:w="0" w:type="dxa"/>
            </w:tcMar>
            <w:vAlign w:val="center"/>
          </w:tcPr>
          <w:p w14:paraId="68DB58C6" w14:textId="77777777" w:rsidR="009103CC" w:rsidRPr="001814D2" w:rsidRDefault="009103CC" w:rsidP="002718DF">
            <w:pPr>
              <w:pStyle w:val="Tabletext"/>
              <w:jc w:val="right"/>
            </w:pPr>
          </w:p>
        </w:tc>
      </w:tr>
      <w:tr w:rsidR="009103CC" w:rsidRPr="00F677EB" w14:paraId="0C34AC00" w14:textId="77777777" w:rsidTr="002718DF">
        <w:trPr>
          <w:cantSplit/>
          <w:trHeight w:hRule="exact" w:val="332"/>
        </w:trPr>
        <w:tc>
          <w:tcPr>
            <w:tcW w:w="2170" w:type="pct"/>
            <w:tcBorders>
              <w:bottom w:val="single" w:sz="4" w:space="0" w:color="auto"/>
            </w:tcBorders>
            <w:tcMar>
              <w:top w:w="0" w:type="dxa"/>
              <w:left w:w="0" w:type="dxa"/>
              <w:bottom w:w="0" w:type="dxa"/>
              <w:right w:w="0" w:type="dxa"/>
            </w:tcMar>
            <w:vAlign w:val="center"/>
          </w:tcPr>
          <w:p w14:paraId="37456C53" w14:textId="77777777" w:rsidR="009103CC" w:rsidRPr="00F677EB" w:rsidRDefault="009103CC" w:rsidP="002718DF">
            <w:pPr>
              <w:pStyle w:val="Tabletext"/>
              <w:rPr>
                <w:rFonts w:cs="Preston"/>
                <w:b/>
                <w:bCs/>
                <w:szCs w:val="18"/>
              </w:rPr>
            </w:pPr>
            <w:r w:rsidRPr="00F677EB">
              <w:rPr>
                <w:rFonts w:cs="Preston"/>
                <w:b/>
                <w:bCs/>
                <w:szCs w:val="18"/>
              </w:rPr>
              <w:t>(b) Employee-related expenses</w:t>
            </w:r>
          </w:p>
        </w:tc>
        <w:tc>
          <w:tcPr>
            <w:tcW w:w="708" w:type="pct"/>
            <w:tcBorders>
              <w:bottom w:val="single" w:sz="4" w:space="0" w:color="auto"/>
            </w:tcBorders>
            <w:tcMar>
              <w:top w:w="0" w:type="dxa"/>
              <w:left w:w="0" w:type="dxa"/>
              <w:bottom w:w="0" w:type="dxa"/>
              <w:right w:w="0" w:type="dxa"/>
            </w:tcMar>
            <w:vAlign w:val="center"/>
          </w:tcPr>
          <w:p w14:paraId="7D5970B5" w14:textId="77777777" w:rsidR="009103CC" w:rsidRPr="00F677EB" w:rsidRDefault="009103CC" w:rsidP="002718DF">
            <w:pPr>
              <w:pStyle w:val="Tabletext"/>
              <w:jc w:val="right"/>
              <w:rPr>
                <w:b/>
                <w:bCs/>
              </w:rPr>
            </w:pPr>
          </w:p>
        </w:tc>
        <w:tc>
          <w:tcPr>
            <w:tcW w:w="708" w:type="pct"/>
            <w:tcBorders>
              <w:bottom w:val="single" w:sz="4" w:space="0" w:color="auto"/>
            </w:tcBorders>
            <w:tcMar>
              <w:top w:w="0" w:type="dxa"/>
              <w:left w:w="0" w:type="dxa"/>
              <w:bottom w:w="0" w:type="dxa"/>
              <w:right w:w="0" w:type="dxa"/>
            </w:tcMar>
            <w:vAlign w:val="center"/>
          </w:tcPr>
          <w:p w14:paraId="6B45D7AC" w14:textId="77777777" w:rsidR="009103CC" w:rsidRPr="00F677EB" w:rsidRDefault="009103CC" w:rsidP="002718DF">
            <w:pPr>
              <w:pStyle w:val="Tabletext"/>
              <w:jc w:val="right"/>
              <w:rPr>
                <w:b/>
                <w:bCs/>
              </w:rPr>
            </w:pPr>
          </w:p>
        </w:tc>
        <w:tc>
          <w:tcPr>
            <w:tcW w:w="708" w:type="pct"/>
            <w:tcBorders>
              <w:bottom w:val="single" w:sz="4" w:space="0" w:color="auto"/>
            </w:tcBorders>
            <w:tcMar>
              <w:top w:w="0" w:type="dxa"/>
              <w:left w:w="0" w:type="dxa"/>
              <w:bottom w:w="0" w:type="dxa"/>
              <w:right w:w="0" w:type="dxa"/>
            </w:tcMar>
            <w:vAlign w:val="center"/>
          </w:tcPr>
          <w:p w14:paraId="716FCE81" w14:textId="77777777" w:rsidR="009103CC" w:rsidRPr="00F677EB" w:rsidRDefault="009103CC" w:rsidP="002718DF">
            <w:pPr>
              <w:pStyle w:val="Tabletext"/>
              <w:jc w:val="right"/>
              <w:rPr>
                <w:b/>
                <w:bCs/>
              </w:rPr>
            </w:pPr>
          </w:p>
        </w:tc>
        <w:tc>
          <w:tcPr>
            <w:tcW w:w="706" w:type="pct"/>
            <w:tcBorders>
              <w:bottom w:val="single" w:sz="4" w:space="0" w:color="auto"/>
            </w:tcBorders>
            <w:tcMar>
              <w:top w:w="0" w:type="dxa"/>
              <w:left w:w="0" w:type="dxa"/>
              <w:bottom w:w="0" w:type="dxa"/>
              <w:right w:w="0" w:type="dxa"/>
            </w:tcMar>
            <w:vAlign w:val="center"/>
          </w:tcPr>
          <w:p w14:paraId="69520FCA" w14:textId="77777777" w:rsidR="009103CC" w:rsidRPr="00F677EB" w:rsidRDefault="009103CC" w:rsidP="002718DF">
            <w:pPr>
              <w:pStyle w:val="Tabletext"/>
              <w:jc w:val="right"/>
              <w:rPr>
                <w:b/>
                <w:bCs/>
              </w:rPr>
            </w:pPr>
          </w:p>
        </w:tc>
      </w:tr>
      <w:tr w:rsidR="009103CC" w:rsidRPr="001814D2" w14:paraId="5B42D4F2"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5BB739E4" w14:textId="77777777" w:rsidR="009103CC" w:rsidRPr="001814D2" w:rsidRDefault="009103CC" w:rsidP="002718DF">
            <w:pPr>
              <w:pStyle w:val="Tabletext"/>
            </w:pPr>
            <w:r w:rsidRPr="001814D2">
              <w:t>Salaries and wages (including recreation leave)</w:t>
            </w:r>
          </w:p>
        </w:tc>
        <w:tc>
          <w:tcPr>
            <w:tcW w:w="708" w:type="pct"/>
            <w:tcBorders>
              <w:top w:val="single" w:sz="4" w:space="0" w:color="auto"/>
              <w:bottom w:val="single" w:sz="4" w:space="0" w:color="auto"/>
            </w:tcBorders>
            <w:tcMar>
              <w:top w:w="0" w:type="dxa"/>
              <w:left w:w="0" w:type="dxa"/>
              <w:bottom w:w="0" w:type="dxa"/>
              <w:right w:w="0" w:type="dxa"/>
            </w:tcMar>
            <w:vAlign w:val="center"/>
          </w:tcPr>
          <w:p w14:paraId="1F34BB05" w14:textId="77777777" w:rsidR="009103CC" w:rsidRPr="001814D2" w:rsidRDefault="009103CC" w:rsidP="002718DF">
            <w:pPr>
              <w:pStyle w:val="Tabletext"/>
              <w:jc w:val="right"/>
              <w:rPr>
                <w:rFonts w:cs="Preston"/>
                <w:szCs w:val="18"/>
              </w:rPr>
            </w:pPr>
            <w:r w:rsidRPr="001814D2">
              <w:rPr>
                <w:rFonts w:cs="Preston"/>
                <w:szCs w:val="18"/>
              </w:rPr>
              <w:t>26,156</w:t>
            </w:r>
          </w:p>
        </w:tc>
        <w:tc>
          <w:tcPr>
            <w:tcW w:w="708" w:type="pct"/>
            <w:tcBorders>
              <w:top w:val="single" w:sz="4" w:space="0" w:color="auto"/>
              <w:bottom w:val="single" w:sz="4" w:space="0" w:color="auto"/>
            </w:tcBorders>
            <w:tcMar>
              <w:top w:w="0" w:type="dxa"/>
              <w:left w:w="0" w:type="dxa"/>
              <w:bottom w:w="0" w:type="dxa"/>
              <w:right w:w="0" w:type="dxa"/>
            </w:tcMar>
            <w:vAlign w:val="center"/>
          </w:tcPr>
          <w:p w14:paraId="44F76477" w14:textId="77777777" w:rsidR="009103CC" w:rsidRPr="001814D2" w:rsidRDefault="009103CC" w:rsidP="002718DF">
            <w:pPr>
              <w:pStyle w:val="Tabletext"/>
              <w:jc w:val="right"/>
              <w:rPr>
                <w:rFonts w:cs="Preston"/>
                <w:szCs w:val="18"/>
              </w:rPr>
            </w:pPr>
            <w:r w:rsidRPr="001814D2">
              <w:rPr>
                <w:rFonts w:cs="Preston"/>
                <w:szCs w:val="18"/>
              </w:rPr>
              <w:t>24,680</w:t>
            </w:r>
          </w:p>
        </w:tc>
        <w:tc>
          <w:tcPr>
            <w:tcW w:w="708" w:type="pct"/>
            <w:tcBorders>
              <w:top w:val="single" w:sz="4" w:space="0" w:color="auto"/>
              <w:bottom w:val="single" w:sz="4" w:space="0" w:color="auto"/>
            </w:tcBorders>
            <w:tcMar>
              <w:top w:w="0" w:type="dxa"/>
              <w:left w:w="0" w:type="dxa"/>
              <w:bottom w:w="0" w:type="dxa"/>
              <w:right w:w="0" w:type="dxa"/>
            </w:tcMar>
            <w:vAlign w:val="center"/>
          </w:tcPr>
          <w:p w14:paraId="61D6052A" w14:textId="77777777" w:rsidR="009103CC" w:rsidRPr="001814D2" w:rsidRDefault="009103CC" w:rsidP="002718DF">
            <w:pPr>
              <w:pStyle w:val="Tabletext"/>
              <w:jc w:val="right"/>
              <w:rPr>
                <w:rFonts w:cs="Preston"/>
                <w:szCs w:val="18"/>
              </w:rPr>
            </w:pPr>
            <w:r w:rsidRPr="001814D2">
              <w:rPr>
                <w:rFonts w:cs="Preston"/>
                <w:szCs w:val="18"/>
              </w:rPr>
              <w:t>-</w:t>
            </w:r>
          </w:p>
        </w:tc>
        <w:tc>
          <w:tcPr>
            <w:tcW w:w="706" w:type="pct"/>
            <w:tcBorders>
              <w:top w:val="single" w:sz="4" w:space="0" w:color="auto"/>
              <w:bottom w:val="single" w:sz="4" w:space="0" w:color="auto"/>
            </w:tcBorders>
            <w:tcMar>
              <w:top w:w="0" w:type="dxa"/>
              <w:left w:w="0" w:type="dxa"/>
              <w:bottom w:w="0" w:type="dxa"/>
              <w:right w:w="0" w:type="dxa"/>
            </w:tcMar>
            <w:vAlign w:val="center"/>
          </w:tcPr>
          <w:p w14:paraId="6A911796"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4E31D8DE"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2DF020A1" w14:textId="77777777" w:rsidR="009103CC" w:rsidRPr="001814D2" w:rsidRDefault="009103CC" w:rsidP="002718DF">
            <w:pPr>
              <w:pStyle w:val="Tabletext"/>
            </w:pPr>
            <w:r w:rsidRPr="001814D2">
              <w:t>Superannuation – defined benefit plans*</w:t>
            </w:r>
          </w:p>
        </w:tc>
        <w:tc>
          <w:tcPr>
            <w:tcW w:w="708" w:type="pct"/>
            <w:tcBorders>
              <w:top w:val="single" w:sz="4" w:space="0" w:color="auto"/>
              <w:bottom w:val="single" w:sz="4" w:space="0" w:color="auto"/>
            </w:tcBorders>
            <w:tcMar>
              <w:top w:w="0" w:type="dxa"/>
              <w:left w:w="0" w:type="dxa"/>
              <w:bottom w:w="0" w:type="dxa"/>
              <w:right w:w="0" w:type="dxa"/>
            </w:tcMar>
            <w:vAlign w:val="center"/>
          </w:tcPr>
          <w:p w14:paraId="70209CB9" w14:textId="77777777" w:rsidR="009103CC" w:rsidRPr="001814D2" w:rsidRDefault="009103CC" w:rsidP="002718DF">
            <w:pPr>
              <w:pStyle w:val="Tabletext"/>
              <w:jc w:val="right"/>
              <w:rPr>
                <w:rFonts w:cs="Preston"/>
                <w:szCs w:val="18"/>
              </w:rPr>
            </w:pPr>
            <w:r w:rsidRPr="001814D2">
              <w:rPr>
                <w:rFonts w:cs="Preston"/>
                <w:szCs w:val="18"/>
              </w:rPr>
              <w:t>97</w:t>
            </w:r>
          </w:p>
        </w:tc>
        <w:tc>
          <w:tcPr>
            <w:tcW w:w="708" w:type="pct"/>
            <w:tcBorders>
              <w:top w:val="single" w:sz="4" w:space="0" w:color="auto"/>
              <w:bottom w:val="single" w:sz="4" w:space="0" w:color="auto"/>
            </w:tcBorders>
            <w:tcMar>
              <w:top w:w="0" w:type="dxa"/>
              <w:left w:w="0" w:type="dxa"/>
              <w:bottom w:w="0" w:type="dxa"/>
              <w:right w:w="0" w:type="dxa"/>
            </w:tcMar>
            <w:vAlign w:val="center"/>
          </w:tcPr>
          <w:p w14:paraId="2E29560D" w14:textId="77777777" w:rsidR="009103CC" w:rsidRPr="001814D2" w:rsidRDefault="009103CC" w:rsidP="002718DF">
            <w:pPr>
              <w:pStyle w:val="Tabletext"/>
              <w:jc w:val="right"/>
              <w:rPr>
                <w:rFonts w:cs="Preston"/>
                <w:szCs w:val="18"/>
              </w:rPr>
            </w:pPr>
            <w:r w:rsidRPr="001814D2">
              <w:rPr>
                <w:rFonts w:cs="Preston"/>
                <w:szCs w:val="18"/>
              </w:rPr>
              <w:t>95</w:t>
            </w:r>
          </w:p>
        </w:tc>
        <w:tc>
          <w:tcPr>
            <w:tcW w:w="708" w:type="pct"/>
            <w:tcBorders>
              <w:top w:val="single" w:sz="4" w:space="0" w:color="auto"/>
              <w:bottom w:val="single" w:sz="4" w:space="0" w:color="auto"/>
            </w:tcBorders>
            <w:tcMar>
              <w:top w:w="0" w:type="dxa"/>
              <w:left w:w="0" w:type="dxa"/>
              <w:bottom w:w="0" w:type="dxa"/>
              <w:right w:w="0" w:type="dxa"/>
            </w:tcMar>
            <w:vAlign w:val="center"/>
          </w:tcPr>
          <w:p w14:paraId="02D6F97B" w14:textId="77777777" w:rsidR="009103CC" w:rsidRPr="001814D2" w:rsidRDefault="009103CC" w:rsidP="002718DF">
            <w:pPr>
              <w:pStyle w:val="Tabletext"/>
              <w:jc w:val="right"/>
              <w:rPr>
                <w:rFonts w:cs="Preston"/>
                <w:szCs w:val="18"/>
              </w:rPr>
            </w:pPr>
            <w:r w:rsidRPr="001814D2">
              <w:rPr>
                <w:rFonts w:cs="Preston"/>
                <w:szCs w:val="18"/>
              </w:rPr>
              <w:t>-</w:t>
            </w:r>
          </w:p>
        </w:tc>
        <w:tc>
          <w:tcPr>
            <w:tcW w:w="706" w:type="pct"/>
            <w:tcBorders>
              <w:top w:val="single" w:sz="4" w:space="0" w:color="auto"/>
              <w:bottom w:val="single" w:sz="4" w:space="0" w:color="auto"/>
            </w:tcBorders>
            <w:tcMar>
              <w:top w:w="0" w:type="dxa"/>
              <w:left w:w="0" w:type="dxa"/>
              <w:bottom w:w="0" w:type="dxa"/>
              <w:right w:w="0" w:type="dxa"/>
            </w:tcMar>
            <w:vAlign w:val="center"/>
          </w:tcPr>
          <w:p w14:paraId="0C2DA579"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189E623C"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6959992C" w14:textId="77777777" w:rsidR="009103CC" w:rsidRPr="001814D2" w:rsidRDefault="009103CC" w:rsidP="002718DF">
            <w:pPr>
              <w:pStyle w:val="Tabletext"/>
            </w:pPr>
            <w:r w:rsidRPr="001814D2">
              <w:t>Superannuation – defined contribution plans</w:t>
            </w:r>
          </w:p>
        </w:tc>
        <w:tc>
          <w:tcPr>
            <w:tcW w:w="708" w:type="pct"/>
            <w:tcBorders>
              <w:top w:val="single" w:sz="4" w:space="0" w:color="auto"/>
              <w:bottom w:val="single" w:sz="4" w:space="0" w:color="auto"/>
            </w:tcBorders>
            <w:tcMar>
              <w:top w:w="0" w:type="dxa"/>
              <w:left w:w="0" w:type="dxa"/>
              <w:bottom w:w="0" w:type="dxa"/>
              <w:right w:w="0" w:type="dxa"/>
            </w:tcMar>
            <w:vAlign w:val="center"/>
          </w:tcPr>
          <w:p w14:paraId="2D562A6A" w14:textId="77777777" w:rsidR="009103CC" w:rsidRPr="001814D2" w:rsidRDefault="009103CC" w:rsidP="002718DF">
            <w:pPr>
              <w:pStyle w:val="Tabletext"/>
              <w:jc w:val="right"/>
              <w:rPr>
                <w:rFonts w:cs="Preston"/>
                <w:szCs w:val="18"/>
              </w:rPr>
            </w:pPr>
            <w:r w:rsidRPr="001814D2">
              <w:rPr>
                <w:rFonts w:cs="Preston"/>
                <w:szCs w:val="18"/>
              </w:rPr>
              <w:t>2,157</w:t>
            </w:r>
          </w:p>
        </w:tc>
        <w:tc>
          <w:tcPr>
            <w:tcW w:w="708" w:type="pct"/>
            <w:tcBorders>
              <w:top w:val="single" w:sz="4" w:space="0" w:color="auto"/>
              <w:bottom w:val="single" w:sz="4" w:space="0" w:color="auto"/>
            </w:tcBorders>
            <w:tcMar>
              <w:top w:w="0" w:type="dxa"/>
              <w:left w:w="0" w:type="dxa"/>
              <w:bottom w:w="0" w:type="dxa"/>
              <w:right w:w="0" w:type="dxa"/>
            </w:tcMar>
            <w:vAlign w:val="center"/>
          </w:tcPr>
          <w:p w14:paraId="5DA600E5" w14:textId="77777777" w:rsidR="009103CC" w:rsidRPr="001814D2" w:rsidRDefault="009103CC" w:rsidP="002718DF">
            <w:pPr>
              <w:pStyle w:val="Tabletext"/>
              <w:jc w:val="right"/>
              <w:rPr>
                <w:rFonts w:cs="Preston"/>
                <w:szCs w:val="18"/>
              </w:rPr>
            </w:pPr>
            <w:r w:rsidRPr="001814D2">
              <w:rPr>
                <w:rFonts w:cs="Preston"/>
                <w:szCs w:val="18"/>
              </w:rPr>
              <w:t>2,376</w:t>
            </w:r>
          </w:p>
        </w:tc>
        <w:tc>
          <w:tcPr>
            <w:tcW w:w="708" w:type="pct"/>
            <w:tcBorders>
              <w:top w:val="single" w:sz="4" w:space="0" w:color="auto"/>
              <w:bottom w:val="single" w:sz="4" w:space="0" w:color="auto"/>
            </w:tcBorders>
            <w:tcMar>
              <w:top w:w="0" w:type="dxa"/>
              <w:left w:w="0" w:type="dxa"/>
              <w:bottom w:w="0" w:type="dxa"/>
              <w:right w:w="0" w:type="dxa"/>
            </w:tcMar>
            <w:vAlign w:val="center"/>
          </w:tcPr>
          <w:p w14:paraId="447D299B" w14:textId="77777777" w:rsidR="009103CC" w:rsidRPr="001814D2" w:rsidRDefault="009103CC" w:rsidP="002718DF">
            <w:pPr>
              <w:pStyle w:val="Tabletext"/>
              <w:jc w:val="right"/>
              <w:rPr>
                <w:rFonts w:cs="Preston"/>
                <w:szCs w:val="18"/>
              </w:rPr>
            </w:pPr>
            <w:r w:rsidRPr="001814D2">
              <w:rPr>
                <w:rFonts w:cs="Preston"/>
                <w:szCs w:val="18"/>
              </w:rPr>
              <w:t>-</w:t>
            </w:r>
          </w:p>
        </w:tc>
        <w:tc>
          <w:tcPr>
            <w:tcW w:w="706" w:type="pct"/>
            <w:tcBorders>
              <w:top w:val="single" w:sz="4" w:space="0" w:color="auto"/>
              <w:bottom w:val="single" w:sz="4" w:space="0" w:color="auto"/>
            </w:tcBorders>
            <w:tcMar>
              <w:top w:w="0" w:type="dxa"/>
              <w:left w:w="0" w:type="dxa"/>
              <w:bottom w:w="0" w:type="dxa"/>
              <w:right w:w="0" w:type="dxa"/>
            </w:tcMar>
            <w:vAlign w:val="center"/>
          </w:tcPr>
          <w:p w14:paraId="10B2060A"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3BF4864C"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0F2B5EE8" w14:textId="77777777" w:rsidR="009103CC" w:rsidRPr="001814D2" w:rsidRDefault="009103CC" w:rsidP="002718DF">
            <w:pPr>
              <w:pStyle w:val="Tabletext"/>
            </w:pPr>
            <w:r w:rsidRPr="001814D2">
              <w:t>Long service leave (including on-costs)*</w:t>
            </w:r>
          </w:p>
        </w:tc>
        <w:tc>
          <w:tcPr>
            <w:tcW w:w="708" w:type="pct"/>
            <w:tcBorders>
              <w:top w:val="single" w:sz="4" w:space="0" w:color="auto"/>
              <w:bottom w:val="single" w:sz="4" w:space="0" w:color="auto"/>
            </w:tcBorders>
            <w:tcMar>
              <w:top w:w="0" w:type="dxa"/>
              <w:left w:w="0" w:type="dxa"/>
              <w:bottom w:w="0" w:type="dxa"/>
              <w:right w:w="0" w:type="dxa"/>
            </w:tcMar>
            <w:vAlign w:val="center"/>
          </w:tcPr>
          <w:p w14:paraId="0DE4AC39" w14:textId="77777777" w:rsidR="009103CC" w:rsidRPr="001814D2" w:rsidRDefault="009103CC" w:rsidP="002718DF">
            <w:pPr>
              <w:pStyle w:val="Tabletext"/>
              <w:jc w:val="right"/>
              <w:rPr>
                <w:rFonts w:cs="Preston"/>
                <w:szCs w:val="18"/>
              </w:rPr>
            </w:pPr>
            <w:r w:rsidRPr="001814D2">
              <w:rPr>
                <w:rFonts w:cs="Preston"/>
                <w:szCs w:val="18"/>
              </w:rPr>
              <w:t>(2,995)</w:t>
            </w:r>
          </w:p>
        </w:tc>
        <w:tc>
          <w:tcPr>
            <w:tcW w:w="708" w:type="pct"/>
            <w:tcBorders>
              <w:top w:val="single" w:sz="4" w:space="0" w:color="auto"/>
              <w:bottom w:val="single" w:sz="4" w:space="0" w:color="auto"/>
            </w:tcBorders>
            <w:tcMar>
              <w:top w:w="0" w:type="dxa"/>
              <w:left w:w="0" w:type="dxa"/>
              <w:bottom w:w="0" w:type="dxa"/>
              <w:right w:w="0" w:type="dxa"/>
            </w:tcMar>
            <w:vAlign w:val="center"/>
          </w:tcPr>
          <w:p w14:paraId="18AFB431" w14:textId="77777777" w:rsidR="009103CC" w:rsidRPr="001814D2" w:rsidRDefault="009103CC" w:rsidP="002718DF">
            <w:pPr>
              <w:pStyle w:val="Tabletext"/>
              <w:jc w:val="right"/>
              <w:rPr>
                <w:rFonts w:cs="Preston"/>
                <w:szCs w:val="18"/>
              </w:rPr>
            </w:pPr>
            <w:r w:rsidRPr="001814D2">
              <w:rPr>
                <w:rFonts w:cs="Preston"/>
                <w:szCs w:val="18"/>
              </w:rPr>
              <w:t>4,772</w:t>
            </w:r>
          </w:p>
        </w:tc>
        <w:tc>
          <w:tcPr>
            <w:tcW w:w="708" w:type="pct"/>
            <w:tcBorders>
              <w:top w:val="single" w:sz="4" w:space="0" w:color="auto"/>
              <w:bottom w:val="single" w:sz="4" w:space="0" w:color="auto"/>
            </w:tcBorders>
            <w:tcMar>
              <w:top w:w="0" w:type="dxa"/>
              <w:left w:w="0" w:type="dxa"/>
              <w:bottom w:w="0" w:type="dxa"/>
              <w:right w:w="0" w:type="dxa"/>
            </w:tcMar>
            <w:vAlign w:val="center"/>
          </w:tcPr>
          <w:p w14:paraId="27A07918" w14:textId="77777777" w:rsidR="009103CC" w:rsidRPr="001814D2" w:rsidRDefault="009103CC" w:rsidP="002718DF">
            <w:pPr>
              <w:pStyle w:val="Tabletext"/>
              <w:jc w:val="right"/>
              <w:rPr>
                <w:rFonts w:cs="Preston"/>
                <w:szCs w:val="18"/>
              </w:rPr>
            </w:pPr>
            <w:r w:rsidRPr="001814D2">
              <w:rPr>
                <w:rFonts w:cs="Preston"/>
                <w:szCs w:val="18"/>
              </w:rPr>
              <w:t>-</w:t>
            </w:r>
          </w:p>
        </w:tc>
        <w:tc>
          <w:tcPr>
            <w:tcW w:w="706" w:type="pct"/>
            <w:tcBorders>
              <w:top w:val="single" w:sz="4" w:space="0" w:color="auto"/>
              <w:bottom w:val="single" w:sz="4" w:space="0" w:color="auto"/>
            </w:tcBorders>
            <w:tcMar>
              <w:top w:w="0" w:type="dxa"/>
              <w:left w:w="0" w:type="dxa"/>
              <w:bottom w:w="0" w:type="dxa"/>
              <w:right w:w="0" w:type="dxa"/>
            </w:tcMar>
            <w:vAlign w:val="center"/>
          </w:tcPr>
          <w:p w14:paraId="52525786"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780D3F97"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2ED0EA8D" w14:textId="77777777" w:rsidR="009103CC" w:rsidRPr="001814D2" w:rsidRDefault="009103CC" w:rsidP="002718DF">
            <w:pPr>
              <w:pStyle w:val="Tabletext"/>
            </w:pPr>
            <w:r w:rsidRPr="001814D2">
              <w:t>Workers' compensation insurance</w:t>
            </w:r>
          </w:p>
        </w:tc>
        <w:tc>
          <w:tcPr>
            <w:tcW w:w="708" w:type="pct"/>
            <w:tcBorders>
              <w:top w:val="single" w:sz="4" w:space="0" w:color="auto"/>
              <w:bottom w:val="single" w:sz="4" w:space="0" w:color="auto"/>
            </w:tcBorders>
            <w:tcMar>
              <w:top w:w="0" w:type="dxa"/>
              <w:left w:w="0" w:type="dxa"/>
              <w:bottom w:w="0" w:type="dxa"/>
              <w:right w:w="0" w:type="dxa"/>
            </w:tcMar>
            <w:vAlign w:val="center"/>
          </w:tcPr>
          <w:p w14:paraId="1FC2EE01" w14:textId="77777777" w:rsidR="009103CC" w:rsidRPr="001814D2" w:rsidRDefault="009103CC" w:rsidP="002718DF">
            <w:pPr>
              <w:pStyle w:val="Tabletext"/>
              <w:jc w:val="right"/>
              <w:rPr>
                <w:rFonts w:cs="Preston"/>
                <w:szCs w:val="18"/>
              </w:rPr>
            </w:pPr>
            <w:r w:rsidRPr="001814D2">
              <w:rPr>
                <w:rFonts w:cs="Preston"/>
                <w:szCs w:val="18"/>
              </w:rPr>
              <w:t>197</w:t>
            </w:r>
          </w:p>
        </w:tc>
        <w:tc>
          <w:tcPr>
            <w:tcW w:w="708" w:type="pct"/>
            <w:tcBorders>
              <w:top w:val="single" w:sz="4" w:space="0" w:color="auto"/>
              <w:bottom w:val="single" w:sz="4" w:space="0" w:color="auto"/>
            </w:tcBorders>
            <w:tcMar>
              <w:top w:w="0" w:type="dxa"/>
              <w:left w:w="0" w:type="dxa"/>
              <w:bottom w:w="0" w:type="dxa"/>
              <w:right w:w="0" w:type="dxa"/>
            </w:tcMar>
            <w:vAlign w:val="center"/>
          </w:tcPr>
          <w:p w14:paraId="14315A7B" w14:textId="77777777" w:rsidR="009103CC" w:rsidRPr="001814D2" w:rsidRDefault="009103CC" w:rsidP="002718DF">
            <w:pPr>
              <w:pStyle w:val="Tabletext"/>
              <w:jc w:val="right"/>
              <w:rPr>
                <w:rFonts w:cs="Preston"/>
                <w:szCs w:val="18"/>
              </w:rPr>
            </w:pPr>
            <w:r w:rsidRPr="001814D2">
              <w:rPr>
                <w:rFonts w:cs="Preston"/>
                <w:szCs w:val="18"/>
              </w:rPr>
              <w:t>335</w:t>
            </w:r>
          </w:p>
        </w:tc>
        <w:tc>
          <w:tcPr>
            <w:tcW w:w="708" w:type="pct"/>
            <w:tcBorders>
              <w:top w:val="single" w:sz="4" w:space="0" w:color="auto"/>
              <w:bottom w:val="single" w:sz="4" w:space="0" w:color="auto"/>
            </w:tcBorders>
            <w:tcMar>
              <w:top w:w="0" w:type="dxa"/>
              <w:left w:w="0" w:type="dxa"/>
              <w:bottom w:w="0" w:type="dxa"/>
              <w:right w:w="0" w:type="dxa"/>
            </w:tcMar>
            <w:vAlign w:val="center"/>
          </w:tcPr>
          <w:p w14:paraId="4468EA6A" w14:textId="77777777" w:rsidR="009103CC" w:rsidRPr="001814D2" w:rsidRDefault="009103CC" w:rsidP="002718DF">
            <w:pPr>
              <w:pStyle w:val="Tabletext"/>
              <w:jc w:val="right"/>
              <w:rPr>
                <w:rFonts w:cs="Preston"/>
                <w:szCs w:val="18"/>
              </w:rPr>
            </w:pPr>
            <w:r w:rsidRPr="001814D2">
              <w:rPr>
                <w:rFonts w:cs="Preston"/>
                <w:szCs w:val="18"/>
              </w:rPr>
              <w:t>-</w:t>
            </w:r>
          </w:p>
        </w:tc>
        <w:tc>
          <w:tcPr>
            <w:tcW w:w="706" w:type="pct"/>
            <w:tcBorders>
              <w:top w:val="single" w:sz="4" w:space="0" w:color="auto"/>
              <w:bottom w:val="single" w:sz="4" w:space="0" w:color="auto"/>
            </w:tcBorders>
            <w:tcMar>
              <w:top w:w="0" w:type="dxa"/>
              <w:left w:w="0" w:type="dxa"/>
              <w:bottom w:w="0" w:type="dxa"/>
              <w:right w:w="0" w:type="dxa"/>
            </w:tcMar>
            <w:vAlign w:val="center"/>
          </w:tcPr>
          <w:p w14:paraId="07F5B429"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6AA33B88"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2F4D74A0" w14:textId="77777777" w:rsidR="009103CC" w:rsidRPr="001814D2" w:rsidRDefault="009103CC" w:rsidP="002718DF">
            <w:pPr>
              <w:pStyle w:val="Tabletext"/>
            </w:pPr>
            <w:r w:rsidRPr="001814D2">
              <w:t>Redundancy*</w:t>
            </w:r>
          </w:p>
        </w:tc>
        <w:tc>
          <w:tcPr>
            <w:tcW w:w="708" w:type="pct"/>
            <w:tcBorders>
              <w:top w:val="single" w:sz="4" w:space="0" w:color="auto"/>
              <w:bottom w:val="single" w:sz="4" w:space="0" w:color="auto"/>
            </w:tcBorders>
            <w:tcMar>
              <w:top w:w="0" w:type="dxa"/>
              <w:left w:w="0" w:type="dxa"/>
              <w:bottom w:w="0" w:type="dxa"/>
              <w:right w:w="0" w:type="dxa"/>
            </w:tcMar>
            <w:vAlign w:val="center"/>
          </w:tcPr>
          <w:p w14:paraId="497FDFD6" w14:textId="77777777" w:rsidR="009103CC" w:rsidRPr="001814D2" w:rsidRDefault="009103CC" w:rsidP="002718DF">
            <w:pPr>
              <w:pStyle w:val="Tabletext"/>
              <w:jc w:val="right"/>
              <w:rPr>
                <w:rFonts w:cs="Preston"/>
                <w:szCs w:val="18"/>
              </w:rPr>
            </w:pPr>
            <w:r w:rsidRPr="001814D2">
              <w:rPr>
                <w:rFonts w:cs="Preston"/>
                <w:szCs w:val="18"/>
              </w:rPr>
              <w:t>6</w:t>
            </w:r>
          </w:p>
        </w:tc>
        <w:tc>
          <w:tcPr>
            <w:tcW w:w="708" w:type="pct"/>
            <w:tcBorders>
              <w:top w:val="single" w:sz="4" w:space="0" w:color="auto"/>
              <w:bottom w:val="single" w:sz="4" w:space="0" w:color="auto"/>
            </w:tcBorders>
            <w:tcMar>
              <w:top w:w="0" w:type="dxa"/>
              <w:left w:w="0" w:type="dxa"/>
              <w:bottom w:w="0" w:type="dxa"/>
              <w:right w:w="0" w:type="dxa"/>
            </w:tcMar>
            <w:vAlign w:val="center"/>
          </w:tcPr>
          <w:p w14:paraId="49BAFA0C" w14:textId="77777777" w:rsidR="009103CC" w:rsidRPr="001814D2" w:rsidRDefault="009103CC" w:rsidP="002718DF">
            <w:pPr>
              <w:pStyle w:val="Tabletext"/>
              <w:jc w:val="right"/>
              <w:rPr>
                <w:rFonts w:cs="Preston"/>
                <w:szCs w:val="18"/>
              </w:rPr>
            </w:pPr>
            <w:r w:rsidRPr="001814D2">
              <w:rPr>
                <w:rFonts w:cs="Preston"/>
                <w:szCs w:val="18"/>
              </w:rPr>
              <w:t>146</w:t>
            </w:r>
          </w:p>
        </w:tc>
        <w:tc>
          <w:tcPr>
            <w:tcW w:w="708" w:type="pct"/>
            <w:tcBorders>
              <w:top w:val="single" w:sz="4" w:space="0" w:color="auto"/>
              <w:bottom w:val="single" w:sz="4" w:space="0" w:color="auto"/>
            </w:tcBorders>
            <w:tcMar>
              <w:top w:w="0" w:type="dxa"/>
              <w:left w:w="0" w:type="dxa"/>
              <w:bottom w:w="0" w:type="dxa"/>
              <w:right w:w="0" w:type="dxa"/>
            </w:tcMar>
            <w:vAlign w:val="center"/>
          </w:tcPr>
          <w:p w14:paraId="25176804" w14:textId="77777777" w:rsidR="009103CC" w:rsidRPr="001814D2" w:rsidRDefault="009103CC" w:rsidP="002718DF">
            <w:pPr>
              <w:pStyle w:val="Tabletext"/>
              <w:jc w:val="right"/>
              <w:rPr>
                <w:rFonts w:cs="Preston"/>
                <w:szCs w:val="18"/>
              </w:rPr>
            </w:pPr>
            <w:r w:rsidRPr="001814D2">
              <w:rPr>
                <w:rFonts w:cs="Preston"/>
                <w:szCs w:val="18"/>
              </w:rPr>
              <w:t>-</w:t>
            </w:r>
          </w:p>
        </w:tc>
        <w:tc>
          <w:tcPr>
            <w:tcW w:w="706" w:type="pct"/>
            <w:tcBorders>
              <w:top w:val="single" w:sz="4" w:space="0" w:color="auto"/>
              <w:bottom w:val="single" w:sz="4" w:space="0" w:color="auto"/>
            </w:tcBorders>
            <w:tcMar>
              <w:top w:w="0" w:type="dxa"/>
              <w:left w:w="0" w:type="dxa"/>
              <w:bottom w:w="0" w:type="dxa"/>
              <w:right w:w="0" w:type="dxa"/>
            </w:tcMar>
            <w:vAlign w:val="center"/>
          </w:tcPr>
          <w:p w14:paraId="0DFE2A23"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77946009"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132FC0CD" w14:textId="77777777" w:rsidR="009103CC" w:rsidRPr="001814D2" w:rsidRDefault="009103CC" w:rsidP="002718DF">
            <w:pPr>
              <w:pStyle w:val="Tabletext"/>
            </w:pPr>
            <w:r w:rsidRPr="001814D2">
              <w:t>Payroll tax and fringe benefit tax</w:t>
            </w:r>
          </w:p>
        </w:tc>
        <w:tc>
          <w:tcPr>
            <w:tcW w:w="708" w:type="pct"/>
            <w:tcBorders>
              <w:top w:val="single" w:sz="4" w:space="0" w:color="auto"/>
              <w:bottom w:val="single" w:sz="4" w:space="0" w:color="auto"/>
            </w:tcBorders>
            <w:tcMar>
              <w:top w:w="0" w:type="dxa"/>
              <w:left w:w="0" w:type="dxa"/>
              <w:bottom w:w="0" w:type="dxa"/>
              <w:right w:w="0" w:type="dxa"/>
            </w:tcMar>
            <w:vAlign w:val="center"/>
          </w:tcPr>
          <w:p w14:paraId="2A043DA2" w14:textId="77777777" w:rsidR="009103CC" w:rsidRPr="001814D2" w:rsidRDefault="009103CC" w:rsidP="002718DF">
            <w:pPr>
              <w:pStyle w:val="Tabletext"/>
              <w:jc w:val="right"/>
              <w:rPr>
                <w:rFonts w:cs="Preston"/>
                <w:szCs w:val="18"/>
              </w:rPr>
            </w:pPr>
            <w:r w:rsidRPr="001814D2">
              <w:rPr>
                <w:rFonts w:cs="Preston"/>
                <w:szCs w:val="18"/>
              </w:rPr>
              <w:t>1,439</w:t>
            </w:r>
          </w:p>
        </w:tc>
        <w:tc>
          <w:tcPr>
            <w:tcW w:w="708" w:type="pct"/>
            <w:tcBorders>
              <w:top w:val="single" w:sz="4" w:space="0" w:color="auto"/>
              <w:bottom w:val="single" w:sz="4" w:space="0" w:color="auto"/>
            </w:tcBorders>
            <w:tcMar>
              <w:top w:w="0" w:type="dxa"/>
              <w:left w:w="0" w:type="dxa"/>
              <w:bottom w:w="0" w:type="dxa"/>
              <w:right w:w="0" w:type="dxa"/>
            </w:tcMar>
            <w:vAlign w:val="center"/>
          </w:tcPr>
          <w:p w14:paraId="7FBD3C6D" w14:textId="77777777" w:rsidR="009103CC" w:rsidRPr="001814D2" w:rsidRDefault="009103CC" w:rsidP="002718DF">
            <w:pPr>
              <w:pStyle w:val="Tabletext"/>
              <w:jc w:val="right"/>
              <w:rPr>
                <w:rFonts w:cs="Preston"/>
                <w:szCs w:val="18"/>
              </w:rPr>
            </w:pPr>
            <w:r w:rsidRPr="001814D2">
              <w:rPr>
                <w:rFonts w:cs="Preston"/>
                <w:szCs w:val="18"/>
              </w:rPr>
              <w:t>1,527</w:t>
            </w:r>
          </w:p>
        </w:tc>
        <w:tc>
          <w:tcPr>
            <w:tcW w:w="708" w:type="pct"/>
            <w:tcBorders>
              <w:top w:val="single" w:sz="4" w:space="0" w:color="auto"/>
              <w:bottom w:val="single" w:sz="4" w:space="0" w:color="auto"/>
            </w:tcBorders>
            <w:tcMar>
              <w:top w:w="0" w:type="dxa"/>
              <w:left w:w="0" w:type="dxa"/>
              <w:bottom w:w="0" w:type="dxa"/>
              <w:right w:w="0" w:type="dxa"/>
            </w:tcMar>
            <w:vAlign w:val="center"/>
          </w:tcPr>
          <w:p w14:paraId="19C413DE" w14:textId="77777777" w:rsidR="009103CC" w:rsidRPr="001814D2" w:rsidRDefault="009103CC" w:rsidP="002718DF">
            <w:pPr>
              <w:pStyle w:val="Tabletext"/>
              <w:jc w:val="right"/>
              <w:rPr>
                <w:rFonts w:cs="Preston"/>
                <w:szCs w:val="18"/>
              </w:rPr>
            </w:pPr>
            <w:r w:rsidRPr="001814D2">
              <w:rPr>
                <w:rFonts w:cs="Preston"/>
                <w:szCs w:val="18"/>
              </w:rPr>
              <w:t>-</w:t>
            </w:r>
          </w:p>
        </w:tc>
        <w:tc>
          <w:tcPr>
            <w:tcW w:w="706" w:type="pct"/>
            <w:tcBorders>
              <w:top w:val="single" w:sz="4" w:space="0" w:color="auto"/>
              <w:bottom w:val="single" w:sz="4" w:space="0" w:color="auto"/>
            </w:tcBorders>
            <w:tcMar>
              <w:top w:w="0" w:type="dxa"/>
              <w:left w:w="0" w:type="dxa"/>
              <w:bottom w:w="0" w:type="dxa"/>
              <w:right w:w="0" w:type="dxa"/>
            </w:tcMar>
            <w:vAlign w:val="center"/>
          </w:tcPr>
          <w:p w14:paraId="123ADF47"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505F8C3F"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123530C9" w14:textId="77777777" w:rsidR="009103CC" w:rsidRPr="001814D2" w:rsidRDefault="009103CC" w:rsidP="002718DF">
            <w:pPr>
              <w:pStyle w:val="Tabletext"/>
            </w:pPr>
          </w:p>
        </w:tc>
        <w:tc>
          <w:tcPr>
            <w:tcW w:w="708" w:type="pct"/>
            <w:tcBorders>
              <w:top w:val="single" w:sz="4" w:space="0" w:color="auto"/>
              <w:bottom w:val="single" w:sz="4" w:space="0" w:color="auto"/>
            </w:tcBorders>
            <w:tcMar>
              <w:top w:w="0" w:type="dxa"/>
              <w:left w:w="0" w:type="dxa"/>
              <w:bottom w:w="0" w:type="dxa"/>
              <w:right w:w="0" w:type="dxa"/>
            </w:tcMar>
            <w:vAlign w:val="center"/>
          </w:tcPr>
          <w:p w14:paraId="1D9D37B5" w14:textId="77777777" w:rsidR="009103CC" w:rsidRPr="001814D2" w:rsidRDefault="009103CC" w:rsidP="002718DF">
            <w:pPr>
              <w:pStyle w:val="Tabletext"/>
              <w:jc w:val="right"/>
              <w:rPr>
                <w:rFonts w:cs="Preston"/>
                <w:szCs w:val="18"/>
              </w:rPr>
            </w:pPr>
            <w:r w:rsidRPr="001814D2">
              <w:rPr>
                <w:rFonts w:cs="Preston"/>
                <w:szCs w:val="18"/>
              </w:rPr>
              <w:t>27,057</w:t>
            </w:r>
          </w:p>
        </w:tc>
        <w:tc>
          <w:tcPr>
            <w:tcW w:w="708" w:type="pct"/>
            <w:tcBorders>
              <w:top w:val="single" w:sz="4" w:space="0" w:color="auto"/>
              <w:bottom w:val="single" w:sz="4" w:space="0" w:color="auto"/>
            </w:tcBorders>
            <w:tcMar>
              <w:top w:w="0" w:type="dxa"/>
              <w:left w:w="0" w:type="dxa"/>
              <w:bottom w:w="0" w:type="dxa"/>
              <w:right w:w="0" w:type="dxa"/>
            </w:tcMar>
            <w:vAlign w:val="center"/>
          </w:tcPr>
          <w:p w14:paraId="336EE66F" w14:textId="77777777" w:rsidR="009103CC" w:rsidRPr="001814D2" w:rsidRDefault="009103CC" w:rsidP="002718DF">
            <w:pPr>
              <w:pStyle w:val="Tabletext"/>
              <w:jc w:val="right"/>
              <w:rPr>
                <w:rFonts w:cs="Preston"/>
                <w:szCs w:val="18"/>
              </w:rPr>
            </w:pPr>
            <w:r w:rsidRPr="001814D2">
              <w:rPr>
                <w:rFonts w:cs="Preston"/>
                <w:szCs w:val="18"/>
              </w:rPr>
              <w:t>33,931</w:t>
            </w:r>
          </w:p>
        </w:tc>
        <w:tc>
          <w:tcPr>
            <w:tcW w:w="708" w:type="pct"/>
            <w:tcBorders>
              <w:top w:val="single" w:sz="4" w:space="0" w:color="auto"/>
              <w:bottom w:val="single" w:sz="4" w:space="0" w:color="auto"/>
            </w:tcBorders>
            <w:tcMar>
              <w:top w:w="0" w:type="dxa"/>
              <w:left w:w="0" w:type="dxa"/>
              <w:bottom w:w="0" w:type="dxa"/>
              <w:right w:w="0" w:type="dxa"/>
            </w:tcMar>
            <w:vAlign w:val="center"/>
          </w:tcPr>
          <w:p w14:paraId="408AF555" w14:textId="77777777" w:rsidR="009103CC" w:rsidRPr="001814D2" w:rsidRDefault="009103CC" w:rsidP="002718DF">
            <w:pPr>
              <w:pStyle w:val="Tabletext"/>
              <w:jc w:val="right"/>
              <w:rPr>
                <w:rFonts w:cs="Preston"/>
                <w:szCs w:val="18"/>
              </w:rPr>
            </w:pPr>
            <w:r w:rsidRPr="001814D2">
              <w:rPr>
                <w:rFonts w:cs="Preston"/>
                <w:szCs w:val="18"/>
              </w:rPr>
              <w:t>-</w:t>
            </w:r>
          </w:p>
        </w:tc>
        <w:tc>
          <w:tcPr>
            <w:tcW w:w="706" w:type="pct"/>
            <w:tcBorders>
              <w:top w:val="single" w:sz="4" w:space="0" w:color="auto"/>
              <w:bottom w:val="single" w:sz="4" w:space="0" w:color="auto"/>
            </w:tcBorders>
            <w:tcMar>
              <w:top w:w="0" w:type="dxa"/>
              <w:left w:w="0" w:type="dxa"/>
              <w:bottom w:w="0" w:type="dxa"/>
              <w:right w:w="0" w:type="dxa"/>
            </w:tcMar>
            <w:vAlign w:val="center"/>
          </w:tcPr>
          <w:p w14:paraId="2DF2A2E2"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2D0A8DF9" w14:textId="77777777" w:rsidTr="002718DF">
        <w:trPr>
          <w:cantSplit/>
          <w:trHeight w:val="60"/>
        </w:trPr>
        <w:tc>
          <w:tcPr>
            <w:tcW w:w="5000" w:type="pct"/>
            <w:gridSpan w:val="5"/>
            <w:tcBorders>
              <w:top w:val="single" w:sz="4" w:space="0" w:color="auto"/>
            </w:tcBorders>
            <w:tcMar>
              <w:top w:w="111" w:type="dxa"/>
              <w:left w:w="0" w:type="dxa"/>
              <w:bottom w:w="0" w:type="dxa"/>
              <w:right w:w="0" w:type="dxa"/>
            </w:tcMar>
            <w:vAlign w:val="center"/>
          </w:tcPr>
          <w:p w14:paraId="7C94260C" w14:textId="77777777" w:rsidR="009103CC" w:rsidRPr="001814D2" w:rsidRDefault="009103CC" w:rsidP="002718DF">
            <w:pPr>
              <w:pStyle w:val="Tabletext"/>
            </w:pPr>
            <w:r w:rsidRPr="001814D2">
              <w:t>* These are assumed by the Crown.</w:t>
            </w:r>
          </w:p>
          <w:p w14:paraId="5A84A068" w14:textId="77777777" w:rsidR="009103CC" w:rsidRPr="001814D2" w:rsidRDefault="009103CC" w:rsidP="002718DF">
            <w:pPr>
              <w:pStyle w:val="Tabletext"/>
            </w:pPr>
            <w:r w:rsidRPr="001814D2">
              <w:t>Personnel services costs capitalised for capital projects and excluded from above in 2021 $2,711,000 ($1,585,470 in 2020).</w:t>
            </w:r>
          </w:p>
        </w:tc>
      </w:tr>
    </w:tbl>
    <w:p w14:paraId="08F55B48" w14:textId="77777777" w:rsidR="009103CC" w:rsidRPr="001814D2" w:rsidRDefault="009103CC" w:rsidP="009103CC">
      <w:pPr>
        <w:pStyle w:val="Tabletext"/>
      </w:pPr>
    </w:p>
    <w:p w14:paraId="47BB9A1E" w14:textId="77777777" w:rsidR="009103CC" w:rsidRPr="00F677EB" w:rsidRDefault="009103CC" w:rsidP="009103CC">
      <w:pPr>
        <w:pStyle w:val="ARbody"/>
        <w:rPr>
          <w:b/>
          <w:bCs/>
        </w:rPr>
      </w:pPr>
      <w:r w:rsidRPr="00F677EB">
        <w:rPr>
          <w:b/>
          <w:bCs/>
        </w:rPr>
        <w:t>Personnel services – salaries and wages, annual leave, sick leave and on-costs</w:t>
      </w:r>
    </w:p>
    <w:p w14:paraId="03145D40" w14:textId="77777777" w:rsidR="009103CC" w:rsidRPr="001814D2" w:rsidRDefault="009103CC" w:rsidP="009103CC">
      <w:pPr>
        <w:pStyle w:val="ARbody"/>
      </w:pPr>
      <w:r w:rsidRPr="001814D2">
        <w:t>Salaries and wages (including non-monetary benefits), annual leave and paid sick leave that are expected to be settled wholly within 12 months after the end of the period in which the employees render the service are recognised and measured at the undiscounted amounts of the benefits.</w:t>
      </w:r>
    </w:p>
    <w:p w14:paraId="3F4A0664" w14:textId="77777777" w:rsidR="009103CC" w:rsidRPr="001814D2" w:rsidRDefault="009103CC" w:rsidP="009103CC">
      <w:pPr>
        <w:pStyle w:val="ARbody"/>
      </w:pPr>
      <w:r w:rsidRPr="001814D2">
        <w:t>Annual leave is not expected to be settled wholly before twelve months after the end of the annual reporting period in which the employees render the related service. As such it is required to be measured at present value in accordance with AASB 119 Employee Benefits (although short-cut methods are permitted). Actuarial advice obtained by Treasury has confirmed that the use of a nominal approach plus the annual leave on annual leave liability can be used to approximate the present value of the annual leave liability. The Gallery has assessed the actuarial advice based on the Gallery’s circumstances and has determined that the effect of discounting is immaterial to annual leave.</w:t>
      </w:r>
    </w:p>
    <w:p w14:paraId="15E3EF44" w14:textId="77777777" w:rsidR="009103CC" w:rsidRPr="001814D2" w:rsidRDefault="009103CC" w:rsidP="009103CC">
      <w:pPr>
        <w:pStyle w:val="ARbody"/>
      </w:pPr>
      <w:r w:rsidRPr="001814D2">
        <w:t>Unused non-vesting sick leave does not give rise to a liability as it is not considered probable that sick leave taken in the future will be greater than the benefits accrued in the future.</w:t>
      </w:r>
    </w:p>
    <w:p w14:paraId="645ED260" w14:textId="77777777" w:rsidR="009103CC" w:rsidRPr="00F677EB" w:rsidRDefault="009103CC" w:rsidP="009103CC">
      <w:pPr>
        <w:pStyle w:val="ARbody"/>
        <w:rPr>
          <w:b/>
          <w:bCs/>
        </w:rPr>
      </w:pPr>
      <w:r w:rsidRPr="00F677EB">
        <w:rPr>
          <w:b/>
          <w:bCs/>
        </w:rPr>
        <w:t>Long service leave and superannuation</w:t>
      </w:r>
    </w:p>
    <w:p w14:paraId="24B9A271" w14:textId="77777777" w:rsidR="009103CC" w:rsidRPr="001814D2" w:rsidRDefault="009103CC" w:rsidP="009103CC">
      <w:pPr>
        <w:pStyle w:val="ARbody"/>
      </w:pPr>
      <w:r w:rsidRPr="001814D2">
        <w:t>The Gallery’s liabilities for long service leave and defined benefit superannuation are assumed by the Crown. The Gallery accounts for the liability as having been extinguished, resulting in the amount assumed being shown as part of the non-monetary revenue item described as ‘Acceptance by the Crown of employee benefits and other liabilities’.</w:t>
      </w:r>
    </w:p>
    <w:p w14:paraId="00997C4E" w14:textId="77777777" w:rsidR="009103CC" w:rsidRPr="001814D2" w:rsidRDefault="009103CC" w:rsidP="009103CC">
      <w:pPr>
        <w:pStyle w:val="ARbody"/>
      </w:pPr>
      <w:r w:rsidRPr="001814D2">
        <w:t>Long service leave is measured at the present value of expected future payments to be made in respect of services provided up to the reporting date. Consideration is given to certain factors based on actuarial review, including expected future wage and salary levels, experience of employee departures, and periods of service. Expected future payments are discounted using Commonwealth government bond rate at the reporting date.</w:t>
      </w:r>
    </w:p>
    <w:p w14:paraId="1B42791B" w14:textId="77777777" w:rsidR="009103CC" w:rsidRPr="001814D2" w:rsidRDefault="009103CC" w:rsidP="009103CC">
      <w:pPr>
        <w:pStyle w:val="ARbody"/>
      </w:pPr>
      <w:r w:rsidRPr="001814D2">
        <w:t>The superannuation on-cost for the financial year is determined by using the formulae specified in the Treasurer’s Directions. The expense for certain superannuation schemes (i.e. Basic Benefit and First State Super) is calculated as a percentage of the employees’ salary. For other superannuation schemes (i.e. State Superannuation Scheme and State Authorities Superannuation Scheme), the expense is calculated as a multiple of the employees’ superannuation contributions.</w:t>
      </w:r>
    </w:p>
    <w:p w14:paraId="602CC033" w14:textId="77777777" w:rsidR="009103CC" w:rsidRDefault="009103CC" w:rsidP="009103CC">
      <w:pPr>
        <w:pStyle w:val="Tabletext"/>
      </w:pPr>
      <w:r>
        <w:br w:type="page"/>
      </w:r>
    </w:p>
    <w:tbl>
      <w:tblPr>
        <w:tblW w:w="5000" w:type="pct"/>
        <w:tblCellMar>
          <w:left w:w="0" w:type="dxa"/>
          <w:right w:w="0" w:type="dxa"/>
        </w:tblCellMar>
        <w:tblLook w:val="0000" w:firstRow="0" w:lastRow="0" w:firstColumn="0" w:lastColumn="0" w:noHBand="0" w:noVBand="0"/>
        <w:tblCaption w:val="Note 3 expenditure: other operating expenses and depreciation and amortisation"/>
        <w:tblDescription w:val="This table provides figures for 2020 and 2021 for both the consolidated entity and parent entity."/>
      </w:tblPr>
      <w:tblGrid>
        <w:gridCol w:w="3937"/>
        <w:gridCol w:w="1284"/>
        <w:gridCol w:w="1284"/>
        <w:gridCol w:w="1284"/>
        <w:gridCol w:w="1281"/>
      </w:tblGrid>
      <w:tr w:rsidR="009103CC" w:rsidRPr="00F677EB" w14:paraId="3647ED09" w14:textId="77777777" w:rsidTr="002718DF">
        <w:trPr>
          <w:cantSplit/>
          <w:trHeight w:hRule="exact" w:val="332"/>
          <w:tblHeader/>
        </w:trPr>
        <w:tc>
          <w:tcPr>
            <w:tcW w:w="2170" w:type="pct"/>
            <w:tcBorders>
              <w:bottom w:val="single" w:sz="4" w:space="0" w:color="auto"/>
            </w:tcBorders>
            <w:tcMar>
              <w:top w:w="0" w:type="dxa"/>
              <w:left w:w="0" w:type="dxa"/>
              <w:bottom w:w="0" w:type="dxa"/>
              <w:right w:w="0" w:type="dxa"/>
            </w:tcMar>
            <w:vAlign w:val="center"/>
          </w:tcPr>
          <w:p w14:paraId="2FD63D22" w14:textId="77777777" w:rsidR="009103CC" w:rsidRPr="00F677EB" w:rsidRDefault="009103CC" w:rsidP="002718DF">
            <w:pPr>
              <w:pStyle w:val="Tabletext"/>
              <w:jc w:val="center"/>
              <w:rPr>
                <w:b/>
                <w:bCs/>
              </w:rPr>
            </w:pPr>
          </w:p>
        </w:tc>
        <w:tc>
          <w:tcPr>
            <w:tcW w:w="1416" w:type="pct"/>
            <w:gridSpan w:val="2"/>
            <w:tcBorders>
              <w:bottom w:val="single" w:sz="4" w:space="0" w:color="auto"/>
            </w:tcBorders>
            <w:tcMar>
              <w:top w:w="0" w:type="dxa"/>
              <w:left w:w="0" w:type="dxa"/>
              <w:bottom w:w="0" w:type="dxa"/>
              <w:right w:w="0" w:type="dxa"/>
            </w:tcMar>
            <w:vAlign w:val="center"/>
          </w:tcPr>
          <w:p w14:paraId="48F3FFFE" w14:textId="77777777" w:rsidR="009103CC" w:rsidRPr="00F677EB" w:rsidRDefault="009103CC" w:rsidP="002718DF">
            <w:pPr>
              <w:pStyle w:val="Tabletext"/>
              <w:jc w:val="center"/>
              <w:rPr>
                <w:rFonts w:cs="Preston"/>
                <w:b/>
                <w:bCs/>
                <w:szCs w:val="18"/>
              </w:rPr>
            </w:pPr>
            <w:r w:rsidRPr="00F677EB">
              <w:rPr>
                <w:rFonts w:cs="Preston"/>
                <w:b/>
                <w:bCs/>
                <w:szCs w:val="18"/>
              </w:rPr>
              <w:t>Consolidated entity</w:t>
            </w:r>
          </w:p>
        </w:tc>
        <w:tc>
          <w:tcPr>
            <w:tcW w:w="1414" w:type="pct"/>
            <w:gridSpan w:val="2"/>
            <w:tcBorders>
              <w:bottom w:val="single" w:sz="4" w:space="0" w:color="auto"/>
            </w:tcBorders>
            <w:tcMar>
              <w:top w:w="0" w:type="dxa"/>
              <w:left w:w="0" w:type="dxa"/>
              <w:bottom w:w="0" w:type="dxa"/>
              <w:right w:w="0" w:type="dxa"/>
            </w:tcMar>
            <w:vAlign w:val="center"/>
          </w:tcPr>
          <w:p w14:paraId="53B0876B" w14:textId="77777777" w:rsidR="009103CC" w:rsidRPr="00F677EB" w:rsidRDefault="009103CC" w:rsidP="002718DF">
            <w:pPr>
              <w:pStyle w:val="Tabletext"/>
              <w:jc w:val="center"/>
              <w:rPr>
                <w:rFonts w:cs="Preston"/>
                <w:b/>
                <w:bCs/>
                <w:szCs w:val="18"/>
              </w:rPr>
            </w:pPr>
            <w:r w:rsidRPr="00F677EB">
              <w:rPr>
                <w:rFonts w:cs="Preston"/>
                <w:b/>
                <w:bCs/>
                <w:szCs w:val="18"/>
              </w:rPr>
              <w:t>Parent entity</w:t>
            </w:r>
          </w:p>
        </w:tc>
      </w:tr>
      <w:tr w:rsidR="009103CC" w:rsidRPr="00F677EB" w14:paraId="0B923272" w14:textId="77777777" w:rsidTr="002718DF">
        <w:trPr>
          <w:cantSplit/>
          <w:trHeight w:hRule="exact" w:val="553"/>
          <w:tblHeader/>
        </w:trPr>
        <w:tc>
          <w:tcPr>
            <w:tcW w:w="2170" w:type="pct"/>
            <w:tcBorders>
              <w:top w:val="single" w:sz="4" w:space="0" w:color="auto"/>
            </w:tcBorders>
            <w:tcMar>
              <w:top w:w="0" w:type="dxa"/>
              <w:left w:w="0" w:type="dxa"/>
              <w:bottom w:w="0" w:type="dxa"/>
              <w:right w:w="0" w:type="dxa"/>
            </w:tcMar>
            <w:vAlign w:val="center"/>
          </w:tcPr>
          <w:p w14:paraId="005D51F5" w14:textId="77777777" w:rsidR="009103CC" w:rsidRPr="00F677EB" w:rsidRDefault="009103CC" w:rsidP="002718DF">
            <w:pPr>
              <w:pStyle w:val="Tabletext"/>
              <w:rPr>
                <w:rFonts w:cs="Preston"/>
                <w:b/>
                <w:bCs/>
                <w:szCs w:val="18"/>
              </w:rPr>
            </w:pPr>
            <w:r w:rsidRPr="00F677EB">
              <w:rPr>
                <w:rFonts w:cs="Preston"/>
                <w:b/>
                <w:bCs/>
                <w:szCs w:val="18"/>
              </w:rPr>
              <w:t>3 Expenditure</w:t>
            </w:r>
          </w:p>
          <w:p w14:paraId="171DD5C2" w14:textId="77777777" w:rsidR="009103CC" w:rsidRPr="00F677EB" w:rsidRDefault="009103CC" w:rsidP="002718DF">
            <w:pPr>
              <w:pStyle w:val="Tabletext"/>
              <w:rPr>
                <w:rFonts w:cs="Preston"/>
                <w:b/>
                <w:bCs/>
                <w:szCs w:val="18"/>
              </w:rPr>
            </w:pPr>
          </w:p>
        </w:tc>
        <w:tc>
          <w:tcPr>
            <w:tcW w:w="708" w:type="pct"/>
            <w:tcBorders>
              <w:top w:val="single" w:sz="4" w:space="0" w:color="auto"/>
            </w:tcBorders>
            <w:tcMar>
              <w:top w:w="0" w:type="dxa"/>
              <w:left w:w="0" w:type="dxa"/>
              <w:bottom w:w="0" w:type="dxa"/>
              <w:right w:w="0" w:type="dxa"/>
            </w:tcMar>
            <w:vAlign w:val="center"/>
          </w:tcPr>
          <w:p w14:paraId="6E9E3E54" w14:textId="77777777" w:rsidR="009103CC" w:rsidRPr="00F677EB" w:rsidRDefault="009103CC" w:rsidP="002718DF">
            <w:pPr>
              <w:pStyle w:val="Tabletext"/>
              <w:jc w:val="right"/>
              <w:rPr>
                <w:rFonts w:cs="Preston"/>
                <w:b/>
                <w:bCs/>
                <w:szCs w:val="18"/>
              </w:rPr>
            </w:pPr>
            <w:r w:rsidRPr="00F677EB">
              <w:rPr>
                <w:rFonts w:cs="Preston"/>
                <w:b/>
                <w:bCs/>
                <w:szCs w:val="18"/>
              </w:rPr>
              <w:t>2021</w:t>
            </w:r>
          </w:p>
          <w:p w14:paraId="47CA1655" w14:textId="77777777" w:rsidR="009103CC" w:rsidRPr="00F677EB" w:rsidRDefault="009103CC" w:rsidP="002718DF">
            <w:pPr>
              <w:pStyle w:val="Tabletext"/>
              <w:jc w:val="right"/>
              <w:rPr>
                <w:rFonts w:cs="Preston"/>
                <w:b/>
                <w:bCs/>
                <w:szCs w:val="18"/>
              </w:rPr>
            </w:pPr>
            <w:r w:rsidRPr="00F677EB">
              <w:rPr>
                <w:rFonts w:cs="Preston"/>
                <w:b/>
                <w:bCs/>
                <w:szCs w:val="18"/>
              </w:rPr>
              <w:t>$'000</w:t>
            </w:r>
          </w:p>
        </w:tc>
        <w:tc>
          <w:tcPr>
            <w:tcW w:w="708" w:type="pct"/>
            <w:tcBorders>
              <w:top w:val="single" w:sz="4" w:space="0" w:color="auto"/>
            </w:tcBorders>
            <w:tcMar>
              <w:top w:w="0" w:type="dxa"/>
              <w:left w:w="0" w:type="dxa"/>
              <w:bottom w:w="0" w:type="dxa"/>
              <w:right w:w="0" w:type="dxa"/>
            </w:tcMar>
            <w:vAlign w:val="center"/>
          </w:tcPr>
          <w:p w14:paraId="2EC783A3" w14:textId="77777777" w:rsidR="009103CC" w:rsidRPr="00F677EB" w:rsidRDefault="009103CC" w:rsidP="002718DF">
            <w:pPr>
              <w:pStyle w:val="Tabletext"/>
              <w:jc w:val="right"/>
              <w:rPr>
                <w:rFonts w:cs="Preston"/>
                <w:b/>
                <w:bCs/>
                <w:szCs w:val="18"/>
              </w:rPr>
            </w:pPr>
            <w:r w:rsidRPr="00F677EB">
              <w:rPr>
                <w:rFonts w:cs="Preston"/>
                <w:b/>
                <w:bCs/>
                <w:szCs w:val="18"/>
              </w:rPr>
              <w:t>2020</w:t>
            </w:r>
          </w:p>
          <w:p w14:paraId="3711C601" w14:textId="77777777" w:rsidR="009103CC" w:rsidRPr="00F677EB" w:rsidRDefault="009103CC" w:rsidP="002718DF">
            <w:pPr>
              <w:pStyle w:val="Tabletext"/>
              <w:jc w:val="right"/>
              <w:rPr>
                <w:rFonts w:cs="Preston"/>
                <w:b/>
                <w:bCs/>
                <w:szCs w:val="18"/>
              </w:rPr>
            </w:pPr>
            <w:r w:rsidRPr="00F677EB">
              <w:rPr>
                <w:rFonts w:cs="Preston"/>
                <w:b/>
                <w:bCs/>
                <w:szCs w:val="18"/>
              </w:rPr>
              <w:t>$'000</w:t>
            </w:r>
          </w:p>
        </w:tc>
        <w:tc>
          <w:tcPr>
            <w:tcW w:w="708" w:type="pct"/>
            <w:tcBorders>
              <w:top w:val="single" w:sz="4" w:space="0" w:color="auto"/>
            </w:tcBorders>
            <w:tcMar>
              <w:top w:w="0" w:type="dxa"/>
              <w:left w:w="0" w:type="dxa"/>
              <w:bottom w:w="0" w:type="dxa"/>
              <w:right w:w="0" w:type="dxa"/>
            </w:tcMar>
            <w:vAlign w:val="center"/>
          </w:tcPr>
          <w:p w14:paraId="3FE5DA46" w14:textId="77777777" w:rsidR="009103CC" w:rsidRPr="00F677EB" w:rsidRDefault="009103CC" w:rsidP="002718DF">
            <w:pPr>
              <w:pStyle w:val="Tabletext"/>
              <w:jc w:val="right"/>
              <w:rPr>
                <w:rFonts w:cs="Preston"/>
                <w:b/>
                <w:bCs/>
                <w:szCs w:val="18"/>
              </w:rPr>
            </w:pPr>
            <w:r w:rsidRPr="00F677EB">
              <w:rPr>
                <w:rFonts w:cs="Preston"/>
                <w:b/>
                <w:bCs/>
                <w:szCs w:val="18"/>
              </w:rPr>
              <w:t>2021</w:t>
            </w:r>
          </w:p>
          <w:p w14:paraId="6FF374F6" w14:textId="77777777" w:rsidR="009103CC" w:rsidRPr="00F677EB" w:rsidRDefault="009103CC" w:rsidP="002718DF">
            <w:pPr>
              <w:pStyle w:val="Tabletext"/>
              <w:jc w:val="right"/>
              <w:rPr>
                <w:rFonts w:cs="Preston"/>
                <w:b/>
                <w:bCs/>
                <w:szCs w:val="18"/>
              </w:rPr>
            </w:pPr>
            <w:r w:rsidRPr="00F677EB">
              <w:rPr>
                <w:rFonts w:cs="Preston"/>
                <w:b/>
                <w:bCs/>
                <w:szCs w:val="18"/>
              </w:rPr>
              <w:t>$'000</w:t>
            </w:r>
          </w:p>
          <w:p w14:paraId="69DAF0C9" w14:textId="77777777" w:rsidR="009103CC" w:rsidRPr="00F677EB" w:rsidRDefault="009103CC" w:rsidP="002718DF">
            <w:pPr>
              <w:pStyle w:val="Tabletext"/>
              <w:jc w:val="right"/>
              <w:rPr>
                <w:rFonts w:cs="Preston"/>
                <w:b/>
                <w:bCs/>
                <w:szCs w:val="18"/>
              </w:rPr>
            </w:pPr>
          </w:p>
        </w:tc>
        <w:tc>
          <w:tcPr>
            <w:tcW w:w="706" w:type="pct"/>
            <w:tcBorders>
              <w:top w:val="single" w:sz="4" w:space="0" w:color="auto"/>
            </w:tcBorders>
            <w:tcMar>
              <w:top w:w="0" w:type="dxa"/>
              <w:left w:w="0" w:type="dxa"/>
              <w:bottom w:w="0" w:type="dxa"/>
              <w:right w:w="0" w:type="dxa"/>
            </w:tcMar>
            <w:vAlign w:val="center"/>
          </w:tcPr>
          <w:p w14:paraId="0F542CC2" w14:textId="77777777" w:rsidR="009103CC" w:rsidRPr="00F677EB" w:rsidRDefault="009103CC" w:rsidP="002718DF">
            <w:pPr>
              <w:pStyle w:val="Tabletext"/>
              <w:jc w:val="right"/>
              <w:rPr>
                <w:rFonts w:cs="Preston"/>
                <w:b/>
                <w:bCs/>
                <w:szCs w:val="18"/>
              </w:rPr>
            </w:pPr>
            <w:r w:rsidRPr="00F677EB">
              <w:rPr>
                <w:rFonts w:cs="Preston"/>
                <w:b/>
                <w:bCs/>
                <w:szCs w:val="18"/>
              </w:rPr>
              <w:t>2020</w:t>
            </w:r>
          </w:p>
          <w:p w14:paraId="2B45CADF" w14:textId="77777777" w:rsidR="009103CC" w:rsidRPr="00F677EB" w:rsidRDefault="009103CC" w:rsidP="002718DF">
            <w:pPr>
              <w:pStyle w:val="Tabletext"/>
              <w:jc w:val="right"/>
              <w:rPr>
                <w:rFonts w:cs="Preston"/>
                <w:b/>
                <w:bCs/>
                <w:szCs w:val="18"/>
              </w:rPr>
            </w:pPr>
            <w:r w:rsidRPr="00F677EB">
              <w:rPr>
                <w:rFonts w:cs="Preston"/>
                <w:b/>
                <w:bCs/>
                <w:szCs w:val="18"/>
              </w:rPr>
              <w:t>$'000</w:t>
            </w:r>
          </w:p>
          <w:p w14:paraId="2F848FED" w14:textId="77777777" w:rsidR="009103CC" w:rsidRPr="00F677EB" w:rsidRDefault="009103CC" w:rsidP="002718DF">
            <w:pPr>
              <w:pStyle w:val="Tabletext"/>
              <w:jc w:val="right"/>
              <w:rPr>
                <w:rFonts w:cs="Preston"/>
                <w:b/>
                <w:bCs/>
                <w:szCs w:val="18"/>
              </w:rPr>
            </w:pPr>
          </w:p>
        </w:tc>
      </w:tr>
      <w:tr w:rsidR="009103CC" w:rsidRPr="00F677EB" w14:paraId="0C036D68" w14:textId="77777777" w:rsidTr="002718DF">
        <w:trPr>
          <w:cantSplit/>
          <w:trHeight w:hRule="exact" w:val="332"/>
        </w:trPr>
        <w:tc>
          <w:tcPr>
            <w:tcW w:w="2170" w:type="pct"/>
            <w:tcBorders>
              <w:bottom w:val="single" w:sz="4" w:space="0" w:color="auto"/>
            </w:tcBorders>
            <w:tcMar>
              <w:top w:w="0" w:type="dxa"/>
              <w:left w:w="0" w:type="dxa"/>
              <w:bottom w:w="0" w:type="dxa"/>
              <w:right w:w="0" w:type="dxa"/>
            </w:tcMar>
            <w:vAlign w:val="center"/>
          </w:tcPr>
          <w:p w14:paraId="02A5ED80" w14:textId="77777777" w:rsidR="009103CC" w:rsidRPr="00F677EB" w:rsidRDefault="009103CC" w:rsidP="002718DF">
            <w:pPr>
              <w:pStyle w:val="Tabletext"/>
              <w:rPr>
                <w:rFonts w:cs="Preston"/>
                <w:b/>
                <w:bCs/>
                <w:szCs w:val="18"/>
              </w:rPr>
            </w:pPr>
            <w:r w:rsidRPr="00F677EB">
              <w:rPr>
                <w:rFonts w:cs="Preston"/>
                <w:b/>
                <w:bCs/>
                <w:szCs w:val="18"/>
              </w:rPr>
              <w:t>(c) Other operating expenses</w:t>
            </w:r>
          </w:p>
        </w:tc>
        <w:tc>
          <w:tcPr>
            <w:tcW w:w="708" w:type="pct"/>
            <w:tcBorders>
              <w:bottom w:val="single" w:sz="4" w:space="0" w:color="auto"/>
            </w:tcBorders>
            <w:tcMar>
              <w:top w:w="0" w:type="dxa"/>
              <w:left w:w="0" w:type="dxa"/>
              <w:bottom w:w="0" w:type="dxa"/>
              <w:right w:w="0" w:type="dxa"/>
            </w:tcMar>
            <w:vAlign w:val="center"/>
          </w:tcPr>
          <w:p w14:paraId="3294EFD0" w14:textId="77777777" w:rsidR="009103CC" w:rsidRPr="00F677EB" w:rsidRDefault="009103CC" w:rsidP="002718DF">
            <w:pPr>
              <w:pStyle w:val="Tabletext"/>
              <w:jc w:val="right"/>
              <w:rPr>
                <w:b/>
                <w:bCs/>
              </w:rPr>
            </w:pPr>
          </w:p>
        </w:tc>
        <w:tc>
          <w:tcPr>
            <w:tcW w:w="708" w:type="pct"/>
            <w:tcBorders>
              <w:bottom w:val="single" w:sz="4" w:space="0" w:color="auto"/>
            </w:tcBorders>
            <w:tcMar>
              <w:top w:w="0" w:type="dxa"/>
              <w:left w:w="0" w:type="dxa"/>
              <w:bottom w:w="0" w:type="dxa"/>
              <w:right w:w="0" w:type="dxa"/>
            </w:tcMar>
            <w:vAlign w:val="center"/>
          </w:tcPr>
          <w:p w14:paraId="16C0CDC4" w14:textId="77777777" w:rsidR="009103CC" w:rsidRPr="00F677EB" w:rsidRDefault="009103CC" w:rsidP="002718DF">
            <w:pPr>
              <w:pStyle w:val="Tabletext"/>
              <w:jc w:val="right"/>
              <w:rPr>
                <w:b/>
                <w:bCs/>
              </w:rPr>
            </w:pPr>
          </w:p>
        </w:tc>
        <w:tc>
          <w:tcPr>
            <w:tcW w:w="708" w:type="pct"/>
            <w:tcBorders>
              <w:bottom w:val="single" w:sz="4" w:space="0" w:color="auto"/>
            </w:tcBorders>
            <w:tcMar>
              <w:top w:w="0" w:type="dxa"/>
              <w:left w:w="0" w:type="dxa"/>
              <w:bottom w:w="0" w:type="dxa"/>
              <w:right w:w="0" w:type="dxa"/>
            </w:tcMar>
            <w:vAlign w:val="center"/>
          </w:tcPr>
          <w:p w14:paraId="7DA2A274" w14:textId="77777777" w:rsidR="009103CC" w:rsidRPr="00F677EB" w:rsidRDefault="009103CC" w:rsidP="002718DF">
            <w:pPr>
              <w:pStyle w:val="Tabletext"/>
              <w:jc w:val="right"/>
              <w:rPr>
                <w:b/>
                <w:bCs/>
              </w:rPr>
            </w:pPr>
          </w:p>
        </w:tc>
        <w:tc>
          <w:tcPr>
            <w:tcW w:w="706" w:type="pct"/>
            <w:tcBorders>
              <w:bottom w:val="single" w:sz="4" w:space="0" w:color="auto"/>
            </w:tcBorders>
            <w:tcMar>
              <w:top w:w="0" w:type="dxa"/>
              <w:left w:w="0" w:type="dxa"/>
              <w:bottom w:w="0" w:type="dxa"/>
              <w:right w:w="0" w:type="dxa"/>
            </w:tcMar>
            <w:vAlign w:val="center"/>
          </w:tcPr>
          <w:p w14:paraId="633F3C91" w14:textId="77777777" w:rsidR="009103CC" w:rsidRPr="00F677EB" w:rsidRDefault="009103CC" w:rsidP="002718DF">
            <w:pPr>
              <w:pStyle w:val="Tabletext"/>
              <w:jc w:val="right"/>
              <w:rPr>
                <w:b/>
                <w:bCs/>
              </w:rPr>
            </w:pPr>
          </w:p>
        </w:tc>
      </w:tr>
      <w:tr w:rsidR="009103CC" w:rsidRPr="001814D2" w14:paraId="45A7671C" w14:textId="77777777" w:rsidTr="002718DF">
        <w:trPr>
          <w:cantSplit/>
          <w:trHeight w:hRule="exact" w:val="553"/>
        </w:trPr>
        <w:tc>
          <w:tcPr>
            <w:tcW w:w="2170" w:type="pct"/>
            <w:tcBorders>
              <w:top w:val="single" w:sz="4" w:space="0" w:color="auto"/>
              <w:bottom w:val="single" w:sz="4" w:space="0" w:color="auto"/>
            </w:tcBorders>
            <w:tcMar>
              <w:top w:w="0" w:type="dxa"/>
              <w:left w:w="0" w:type="dxa"/>
              <w:bottom w:w="0" w:type="dxa"/>
              <w:right w:w="0" w:type="dxa"/>
            </w:tcMar>
            <w:vAlign w:val="center"/>
          </w:tcPr>
          <w:p w14:paraId="7A88E361" w14:textId="77777777" w:rsidR="009103CC" w:rsidRPr="001814D2" w:rsidRDefault="009103CC" w:rsidP="002718DF">
            <w:pPr>
              <w:pStyle w:val="Tabletext"/>
            </w:pPr>
            <w:r w:rsidRPr="001814D2">
              <w:t xml:space="preserve">Auditor's remuneration – </w:t>
            </w:r>
            <w:r w:rsidRPr="001814D2">
              <w:br/>
              <w:t>audit of the financial statements</w:t>
            </w:r>
          </w:p>
        </w:tc>
        <w:tc>
          <w:tcPr>
            <w:tcW w:w="708" w:type="pct"/>
            <w:tcBorders>
              <w:top w:val="single" w:sz="4" w:space="0" w:color="auto"/>
              <w:bottom w:val="single" w:sz="4" w:space="0" w:color="auto"/>
            </w:tcBorders>
            <w:tcMar>
              <w:top w:w="0" w:type="dxa"/>
              <w:left w:w="0" w:type="dxa"/>
              <w:bottom w:w="0" w:type="dxa"/>
              <w:right w:w="0" w:type="dxa"/>
            </w:tcMar>
            <w:vAlign w:val="center"/>
          </w:tcPr>
          <w:p w14:paraId="7087EDB5" w14:textId="77777777" w:rsidR="009103CC" w:rsidRPr="001814D2" w:rsidRDefault="009103CC" w:rsidP="002718DF">
            <w:pPr>
              <w:pStyle w:val="Tabletext"/>
              <w:jc w:val="right"/>
              <w:rPr>
                <w:rFonts w:cs="Preston"/>
                <w:szCs w:val="18"/>
              </w:rPr>
            </w:pPr>
            <w:r w:rsidRPr="001814D2">
              <w:rPr>
                <w:rFonts w:cs="Preston"/>
                <w:szCs w:val="18"/>
              </w:rPr>
              <w:t>113</w:t>
            </w:r>
          </w:p>
          <w:p w14:paraId="29B72121" w14:textId="77777777" w:rsidR="009103CC" w:rsidRPr="001814D2" w:rsidRDefault="009103CC" w:rsidP="002718DF">
            <w:pPr>
              <w:pStyle w:val="Tabletext"/>
              <w:jc w:val="right"/>
              <w:rPr>
                <w:rFonts w:cs="Preston"/>
                <w:szCs w:val="18"/>
              </w:rPr>
            </w:pPr>
          </w:p>
        </w:tc>
        <w:tc>
          <w:tcPr>
            <w:tcW w:w="708" w:type="pct"/>
            <w:tcBorders>
              <w:top w:val="single" w:sz="4" w:space="0" w:color="auto"/>
              <w:bottom w:val="single" w:sz="4" w:space="0" w:color="auto"/>
            </w:tcBorders>
            <w:tcMar>
              <w:top w:w="0" w:type="dxa"/>
              <w:left w:w="0" w:type="dxa"/>
              <w:bottom w:w="0" w:type="dxa"/>
              <w:right w:w="0" w:type="dxa"/>
            </w:tcMar>
            <w:vAlign w:val="center"/>
          </w:tcPr>
          <w:p w14:paraId="717EC9E0" w14:textId="77777777" w:rsidR="009103CC" w:rsidRPr="001814D2" w:rsidRDefault="009103CC" w:rsidP="002718DF">
            <w:pPr>
              <w:pStyle w:val="Tabletext"/>
              <w:jc w:val="right"/>
              <w:rPr>
                <w:rFonts w:cs="Preston"/>
                <w:szCs w:val="18"/>
              </w:rPr>
            </w:pPr>
            <w:r w:rsidRPr="001814D2">
              <w:rPr>
                <w:rFonts w:cs="Preston"/>
                <w:szCs w:val="18"/>
              </w:rPr>
              <w:t>111</w:t>
            </w:r>
          </w:p>
          <w:p w14:paraId="28137CE1" w14:textId="77777777" w:rsidR="009103CC" w:rsidRPr="001814D2" w:rsidRDefault="009103CC" w:rsidP="002718DF">
            <w:pPr>
              <w:pStyle w:val="Tabletext"/>
              <w:jc w:val="right"/>
              <w:rPr>
                <w:rFonts w:cs="Preston"/>
                <w:szCs w:val="18"/>
              </w:rPr>
            </w:pPr>
          </w:p>
        </w:tc>
        <w:tc>
          <w:tcPr>
            <w:tcW w:w="708" w:type="pct"/>
            <w:tcBorders>
              <w:top w:val="single" w:sz="4" w:space="0" w:color="auto"/>
              <w:bottom w:val="single" w:sz="4" w:space="0" w:color="auto"/>
            </w:tcBorders>
            <w:tcMar>
              <w:top w:w="0" w:type="dxa"/>
              <w:left w:w="0" w:type="dxa"/>
              <w:bottom w:w="0" w:type="dxa"/>
              <w:right w:w="0" w:type="dxa"/>
            </w:tcMar>
            <w:vAlign w:val="center"/>
          </w:tcPr>
          <w:p w14:paraId="0EAA89CD" w14:textId="77777777" w:rsidR="009103CC" w:rsidRPr="001814D2" w:rsidRDefault="009103CC" w:rsidP="002718DF">
            <w:pPr>
              <w:pStyle w:val="Tabletext"/>
              <w:jc w:val="right"/>
              <w:rPr>
                <w:rFonts w:cs="Preston"/>
                <w:szCs w:val="18"/>
              </w:rPr>
            </w:pPr>
            <w:r w:rsidRPr="001814D2">
              <w:rPr>
                <w:rFonts w:cs="Preston"/>
                <w:szCs w:val="18"/>
              </w:rPr>
              <w:t>105</w:t>
            </w:r>
          </w:p>
          <w:p w14:paraId="3F752A94" w14:textId="77777777" w:rsidR="009103CC" w:rsidRPr="001814D2" w:rsidRDefault="009103CC" w:rsidP="002718DF">
            <w:pPr>
              <w:pStyle w:val="Tabletext"/>
              <w:jc w:val="right"/>
              <w:rPr>
                <w:rFonts w:cs="Preston"/>
                <w:szCs w:val="18"/>
              </w:rPr>
            </w:pPr>
          </w:p>
        </w:tc>
        <w:tc>
          <w:tcPr>
            <w:tcW w:w="706" w:type="pct"/>
            <w:tcBorders>
              <w:top w:val="single" w:sz="4" w:space="0" w:color="auto"/>
              <w:bottom w:val="single" w:sz="4" w:space="0" w:color="auto"/>
            </w:tcBorders>
            <w:tcMar>
              <w:top w:w="0" w:type="dxa"/>
              <w:left w:w="0" w:type="dxa"/>
              <w:bottom w:w="0" w:type="dxa"/>
              <w:right w:w="0" w:type="dxa"/>
            </w:tcMar>
            <w:vAlign w:val="center"/>
          </w:tcPr>
          <w:p w14:paraId="0CEF56F2" w14:textId="77777777" w:rsidR="009103CC" w:rsidRPr="001814D2" w:rsidRDefault="009103CC" w:rsidP="002718DF">
            <w:pPr>
              <w:pStyle w:val="Tabletext"/>
              <w:jc w:val="right"/>
              <w:rPr>
                <w:rFonts w:cs="Preston"/>
                <w:szCs w:val="18"/>
              </w:rPr>
            </w:pPr>
            <w:r w:rsidRPr="001814D2">
              <w:rPr>
                <w:rFonts w:cs="Preston"/>
                <w:szCs w:val="18"/>
              </w:rPr>
              <w:t>103</w:t>
            </w:r>
          </w:p>
          <w:p w14:paraId="54E739F6" w14:textId="77777777" w:rsidR="009103CC" w:rsidRPr="001814D2" w:rsidRDefault="009103CC" w:rsidP="002718DF">
            <w:pPr>
              <w:pStyle w:val="Tabletext"/>
              <w:jc w:val="right"/>
              <w:rPr>
                <w:rFonts w:cs="Preston"/>
                <w:szCs w:val="18"/>
              </w:rPr>
            </w:pPr>
          </w:p>
        </w:tc>
      </w:tr>
      <w:tr w:rsidR="009103CC" w:rsidRPr="001814D2" w14:paraId="431D9EEB"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422B87B8" w14:textId="77777777" w:rsidR="009103CC" w:rsidRPr="001814D2" w:rsidRDefault="009103CC" w:rsidP="002718DF">
            <w:pPr>
              <w:pStyle w:val="Tabletext"/>
            </w:pPr>
            <w:r w:rsidRPr="001814D2">
              <w:t>Cost of sales</w:t>
            </w:r>
          </w:p>
        </w:tc>
        <w:tc>
          <w:tcPr>
            <w:tcW w:w="708" w:type="pct"/>
            <w:tcBorders>
              <w:top w:val="single" w:sz="4" w:space="0" w:color="auto"/>
              <w:bottom w:val="single" w:sz="4" w:space="0" w:color="auto"/>
            </w:tcBorders>
            <w:tcMar>
              <w:top w:w="0" w:type="dxa"/>
              <w:left w:w="0" w:type="dxa"/>
              <w:bottom w:w="0" w:type="dxa"/>
              <w:right w:w="0" w:type="dxa"/>
            </w:tcMar>
            <w:vAlign w:val="center"/>
          </w:tcPr>
          <w:p w14:paraId="1B0282ED" w14:textId="77777777" w:rsidR="009103CC" w:rsidRPr="001814D2" w:rsidRDefault="009103CC" w:rsidP="002718DF">
            <w:pPr>
              <w:pStyle w:val="Tabletext"/>
              <w:jc w:val="right"/>
              <w:rPr>
                <w:rFonts w:cs="Preston"/>
                <w:szCs w:val="18"/>
              </w:rPr>
            </w:pPr>
            <w:r w:rsidRPr="001814D2">
              <w:rPr>
                <w:rFonts w:cs="Preston"/>
                <w:szCs w:val="18"/>
              </w:rPr>
              <w:t>1,596</w:t>
            </w:r>
          </w:p>
        </w:tc>
        <w:tc>
          <w:tcPr>
            <w:tcW w:w="708" w:type="pct"/>
            <w:tcBorders>
              <w:top w:val="single" w:sz="4" w:space="0" w:color="auto"/>
              <w:bottom w:val="single" w:sz="4" w:space="0" w:color="auto"/>
            </w:tcBorders>
            <w:tcMar>
              <w:top w:w="0" w:type="dxa"/>
              <w:left w:w="0" w:type="dxa"/>
              <w:bottom w:w="0" w:type="dxa"/>
              <w:right w:w="0" w:type="dxa"/>
            </w:tcMar>
            <w:vAlign w:val="center"/>
          </w:tcPr>
          <w:p w14:paraId="4A6572D9" w14:textId="77777777" w:rsidR="009103CC" w:rsidRPr="001814D2" w:rsidRDefault="009103CC" w:rsidP="002718DF">
            <w:pPr>
              <w:pStyle w:val="Tabletext"/>
              <w:jc w:val="right"/>
              <w:rPr>
                <w:rFonts w:cs="Preston"/>
                <w:szCs w:val="18"/>
              </w:rPr>
            </w:pPr>
            <w:r w:rsidRPr="001814D2">
              <w:rPr>
                <w:rFonts w:cs="Preston"/>
                <w:szCs w:val="18"/>
              </w:rPr>
              <w:t>1,944</w:t>
            </w:r>
          </w:p>
        </w:tc>
        <w:tc>
          <w:tcPr>
            <w:tcW w:w="708" w:type="pct"/>
            <w:tcBorders>
              <w:top w:val="single" w:sz="4" w:space="0" w:color="auto"/>
              <w:bottom w:val="single" w:sz="4" w:space="0" w:color="auto"/>
            </w:tcBorders>
            <w:tcMar>
              <w:top w:w="0" w:type="dxa"/>
              <w:left w:w="0" w:type="dxa"/>
              <w:bottom w:w="0" w:type="dxa"/>
              <w:right w:w="0" w:type="dxa"/>
            </w:tcMar>
            <w:vAlign w:val="center"/>
          </w:tcPr>
          <w:p w14:paraId="30F3C3E0" w14:textId="77777777" w:rsidR="009103CC" w:rsidRPr="001814D2" w:rsidRDefault="009103CC" w:rsidP="002718DF">
            <w:pPr>
              <w:pStyle w:val="Tabletext"/>
              <w:jc w:val="right"/>
              <w:rPr>
                <w:rFonts w:cs="Preston"/>
                <w:szCs w:val="18"/>
              </w:rPr>
            </w:pPr>
            <w:r w:rsidRPr="001814D2">
              <w:rPr>
                <w:rFonts w:cs="Preston"/>
                <w:szCs w:val="18"/>
              </w:rPr>
              <w:t>1,596</w:t>
            </w:r>
          </w:p>
        </w:tc>
        <w:tc>
          <w:tcPr>
            <w:tcW w:w="706" w:type="pct"/>
            <w:tcBorders>
              <w:top w:val="single" w:sz="4" w:space="0" w:color="auto"/>
              <w:bottom w:val="single" w:sz="4" w:space="0" w:color="auto"/>
            </w:tcBorders>
            <w:tcMar>
              <w:top w:w="0" w:type="dxa"/>
              <w:left w:w="0" w:type="dxa"/>
              <w:bottom w:w="0" w:type="dxa"/>
              <w:right w:w="0" w:type="dxa"/>
            </w:tcMar>
            <w:vAlign w:val="center"/>
          </w:tcPr>
          <w:p w14:paraId="12AE4870" w14:textId="77777777" w:rsidR="009103CC" w:rsidRPr="001814D2" w:rsidRDefault="009103CC" w:rsidP="002718DF">
            <w:pPr>
              <w:pStyle w:val="Tabletext"/>
              <w:jc w:val="right"/>
              <w:rPr>
                <w:rFonts w:cs="Preston"/>
                <w:szCs w:val="18"/>
              </w:rPr>
            </w:pPr>
            <w:r w:rsidRPr="001814D2">
              <w:rPr>
                <w:rFonts w:cs="Preston"/>
                <w:szCs w:val="18"/>
              </w:rPr>
              <w:t>1,944</w:t>
            </w:r>
          </w:p>
        </w:tc>
      </w:tr>
      <w:tr w:rsidR="009103CC" w:rsidRPr="001814D2" w14:paraId="693FA588"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626679FB" w14:textId="77777777" w:rsidR="009103CC" w:rsidRPr="001814D2" w:rsidRDefault="009103CC" w:rsidP="002718DF">
            <w:pPr>
              <w:pStyle w:val="Tabletext"/>
            </w:pPr>
            <w:r w:rsidRPr="001814D2">
              <w:t>Travel and accommodation</w:t>
            </w:r>
          </w:p>
        </w:tc>
        <w:tc>
          <w:tcPr>
            <w:tcW w:w="708" w:type="pct"/>
            <w:tcBorders>
              <w:top w:val="single" w:sz="4" w:space="0" w:color="auto"/>
              <w:bottom w:val="single" w:sz="4" w:space="0" w:color="auto"/>
            </w:tcBorders>
            <w:tcMar>
              <w:top w:w="0" w:type="dxa"/>
              <w:left w:w="0" w:type="dxa"/>
              <w:bottom w:w="0" w:type="dxa"/>
              <w:right w:w="0" w:type="dxa"/>
            </w:tcMar>
            <w:vAlign w:val="center"/>
          </w:tcPr>
          <w:p w14:paraId="10627F82" w14:textId="77777777" w:rsidR="009103CC" w:rsidRPr="001814D2" w:rsidRDefault="009103CC" w:rsidP="002718DF">
            <w:pPr>
              <w:pStyle w:val="Tabletext"/>
              <w:jc w:val="right"/>
              <w:rPr>
                <w:rFonts w:cs="Preston"/>
                <w:szCs w:val="18"/>
              </w:rPr>
            </w:pPr>
            <w:r w:rsidRPr="001814D2">
              <w:rPr>
                <w:rFonts w:cs="Preston"/>
                <w:szCs w:val="18"/>
              </w:rPr>
              <w:t>192</w:t>
            </w:r>
          </w:p>
        </w:tc>
        <w:tc>
          <w:tcPr>
            <w:tcW w:w="708" w:type="pct"/>
            <w:tcBorders>
              <w:top w:val="single" w:sz="4" w:space="0" w:color="auto"/>
              <w:bottom w:val="single" w:sz="4" w:space="0" w:color="auto"/>
            </w:tcBorders>
            <w:tcMar>
              <w:top w:w="0" w:type="dxa"/>
              <w:left w:w="0" w:type="dxa"/>
              <w:bottom w:w="0" w:type="dxa"/>
              <w:right w:w="0" w:type="dxa"/>
            </w:tcMar>
            <w:vAlign w:val="center"/>
          </w:tcPr>
          <w:p w14:paraId="2DC2523A" w14:textId="77777777" w:rsidR="009103CC" w:rsidRPr="001814D2" w:rsidRDefault="009103CC" w:rsidP="002718DF">
            <w:pPr>
              <w:pStyle w:val="Tabletext"/>
              <w:jc w:val="right"/>
              <w:rPr>
                <w:rFonts w:cs="Preston"/>
                <w:szCs w:val="18"/>
              </w:rPr>
            </w:pPr>
            <w:r w:rsidRPr="001814D2">
              <w:rPr>
                <w:rFonts w:cs="Preston"/>
                <w:szCs w:val="18"/>
              </w:rPr>
              <w:t>913</w:t>
            </w:r>
          </w:p>
        </w:tc>
        <w:tc>
          <w:tcPr>
            <w:tcW w:w="708" w:type="pct"/>
            <w:tcBorders>
              <w:top w:val="single" w:sz="4" w:space="0" w:color="auto"/>
              <w:bottom w:val="single" w:sz="4" w:space="0" w:color="auto"/>
            </w:tcBorders>
            <w:tcMar>
              <w:top w:w="0" w:type="dxa"/>
              <w:left w:w="0" w:type="dxa"/>
              <w:bottom w:w="0" w:type="dxa"/>
              <w:right w:w="0" w:type="dxa"/>
            </w:tcMar>
            <w:vAlign w:val="center"/>
          </w:tcPr>
          <w:p w14:paraId="12D95729" w14:textId="77777777" w:rsidR="009103CC" w:rsidRPr="001814D2" w:rsidRDefault="009103CC" w:rsidP="002718DF">
            <w:pPr>
              <w:pStyle w:val="Tabletext"/>
              <w:jc w:val="right"/>
              <w:rPr>
                <w:rFonts w:cs="Preston"/>
                <w:szCs w:val="18"/>
              </w:rPr>
            </w:pPr>
            <w:r w:rsidRPr="001814D2">
              <w:rPr>
                <w:rFonts w:cs="Preston"/>
                <w:szCs w:val="18"/>
              </w:rPr>
              <w:t>192</w:t>
            </w:r>
          </w:p>
        </w:tc>
        <w:tc>
          <w:tcPr>
            <w:tcW w:w="706" w:type="pct"/>
            <w:tcBorders>
              <w:top w:val="single" w:sz="4" w:space="0" w:color="auto"/>
              <w:bottom w:val="single" w:sz="4" w:space="0" w:color="auto"/>
            </w:tcBorders>
            <w:tcMar>
              <w:top w:w="0" w:type="dxa"/>
              <w:left w:w="0" w:type="dxa"/>
              <w:bottom w:w="0" w:type="dxa"/>
              <w:right w:w="0" w:type="dxa"/>
            </w:tcMar>
            <w:vAlign w:val="center"/>
          </w:tcPr>
          <w:p w14:paraId="36F17C70" w14:textId="77777777" w:rsidR="009103CC" w:rsidRPr="001814D2" w:rsidRDefault="009103CC" w:rsidP="002718DF">
            <w:pPr>
              <w:pStyle w:val="Tabletext"/>
              <w:jc w:val="right"/>
              <w:rPr>
                <w:rFonts w:cs="Preston"/>
                <w:szCs w:val="18"/>
              </w:rPr>
            </w:pPr>
            <w:r w:rsidRPr="001814D2">
              <w:rPr>
                <w:rFonts w:cs="Preston"/>
                <w:szCs w:val="18"/>
              </w:rPr>
              <w:t>913</w:t>
            </w:r>
          </w:p>
        </w:tc>
      </w:tr>
      <w:tr w:rsidR="009103CC" w:rsidRPr="001814D2" w14:paraId="3F41B0E5"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49BE523C" w14:textId="77777777" w:rsidR="009103CC" w:rsidRPr="001814D2" w:rsidRDefault="009103CC" w:rsidP="002718DF">
            <w:pPr>
              <w:pStyle w:val="Tabletext"/>
            </w:pPr>
            <w:r w:rsidRPr="001814D2">
              <w:t>Short-term lease expenses</w:t>
            </w:r>
          </w:p>
        </w:tc>
        <w:tc>
          <w:tcPr>
            <w:tcW w:w="708" w:type="pct"/>
            <w:tcBorders>
              <w:top w:val="single" w:sz="4" w:space="0" w:color="auto"/>
              <w:bottom w:val="single" w:sz="4" w:space="0" w:color="auto"/>
            </w:tcBorders>
            <w:tcMar>
              <w:top w:w="0" w:type="dxa"/>
              <w:left w:w="0" w:type="dxa"/>
              <w:bottom w:w="0" w:type="dxa"/>
              <w:right w:w="0" w:type="dxa"/>
            </w:tcMar>
            <w:vAlign w:val="center"/>
          </w:tcPr>
          <w:p w14:paraId="25659CFE" w14:textId="77777777" w:rsidR="009103CC" w:rsidRPr="001814D2" w:rsidRDefault="009103CC" w:rsidP="002718DF">
            <w:pPr>
              <w:pStyle w:val="Tabletext"/>
              <w:jc w:val="right"/>
              <w:rPr>
                <w:rFonts w:cs="Preston"/>
                <w:szCs w:val="18"/>
              </w:rPr>
            </w:pPr>
            <w:r w:rsidRPr="001814D2">
              <w:rPr>
                <w:rFonts w:cs="Preston"/>
                <w:szCs w:val="18"/>
              </w:rPr>
              <w:t>122</w:t>
            </w:r>
          </w:p>
        </w:tc>
        <w:tc>
          <w:tcPr>
            <w:tcW w:w="708" w:type="pct"/>
            <w:tcBorders>
              <w:top w:val="single" w:sz="4" w:space="0" w:color="auto"/>
              <w:bottom w:val="single" w:sz="4" w:space="0" w:color="auto"/>
            </w:tcBorders>
            <w:tcMar>
              <w:top w:w="0" w:type="dxa"/>
              <w:left w:w="0" w:type="dxa"/>
              <w:bottom w:w="0" w:type="dxa"/>
              <w:right w:w="0" w:type="dxa"/>
            </w:tcMar>
            <w:vAlign w:val="center"/>
          </w:tcPr>
          <w:p w14:paraId="464483E8" w14:textId="77777777" w:rsidR="009103CC" w:rsidRPr="001814D2" w:rsidRDefault="009103CC" w:rsidP="002718DF">
            <w:pPr>
              <w:pStyle w:val="Tabletext"/>
              <w:jc w:val="right"/>
              <w:rPr>
                <w:rFonts w:cs="Preston"/>
                <w:szCs w:val="18"/>
              </w:rPr>
            </w:pPr>
            <w:r w:rsidRPr="001814D2">
              <w:rPr>
                <w:rFonts w:cs="Preston"/>
                <w:szCs w:val="18"/>
              </w:rPr>
              <w:t>123</w:t>
            </w:r>
          </w:p>
        </w:tc>
        <w:tc>
          <w:tcPr>
            <w:tcW w:w="708" w:type="pct"/>
            <w:tcBorders>
              <w:top w:val="single" w:sz="4" w:space="0" w:color="auto"/>
              <w:bottom w:val="single" w:sz="4" w:space="0" w:color="auto"/>
            </w:tcBorders>
            <w:tcMar>
              <w:top w:w="0" w:type="dxa"/>
              <w:left w:w="0" w:type="dxa"/>
              <w:bottom w:w="0" w:type="dxa"/>
              <w:right w:w="0" w:type="dxa"/>
            </w:tcMar>
            <w:vAlign w:val="center"/>
          </w:tcPr>
          <w:p w14:paraId="4D8527A2" w14:textId="77777777" w:rsidR="009103CC" w:rsidRPr="001814D2" w:rsidRDefault="009103CC" w:rsidP="002718DF">
            <w:pPr>
              <w:pStyle w:val="Tabletext"/>
              <w:jc w:val="right"/>
              <w:rPr>
                <w:rFonts w:cs="Preston"/>
                <w:szCs w:val="18"/>
              </w:rPr>
            </w:pPr>
            <w:r w:rsidRPr="001814D2">
              <w:rPr>
                <w:rFonts w:cs="Preston"/>
                <w:szCs w:val="18"/>
              </w:rPr>
              <w:t>122</w:t>
            </w:r>
          </w:p>
        </w:tc>
        <w:tc>
          <w:tcPr>
            <w:tcW w:w="706" w:type="pct"/>
            <w:tcBorders>
              <w:top w:val="single" w:sz="4" w:space="0" w:color="auto"/>
              <w:bottom w:val="single" w:sz="4" w:space="0" w:color="auto"/>
            </w:tcBorders>
            <w:tcMar>
              <w:top w:w="0" w:type="dxa"/>
              <w:left w:w="0" w:type="dxa"/>
              <w:bottom w:w="0" w:type="dxa"/>
              <w:right w:w="0" w:type="dxa"/>
            </w:tcMar>
            <w:vAlign w:val="center"/>
          </w:tcPr>
          <w:p w14:paraId="084E4F37" w14:textId="77777777" w:rsidR="009103CC" w:rsidRPr="001814D2" w:rsidRDefault="009103CC" w:rsidP="002718DF">
            <w:pPr>
              <w:pStyle w:val="Tabletext"/>
              <w:jc w:val="right"/>
              <w:rPr>
                <w:rFonts w:cs="Preston"/>
                <w:szCs w:val="18"/>
              </w:rPr>
            </w:pPr>
            <w:r w:rsidRPr="001814D2">
              <w:rPr>
                <w:rFonts w:cs="Preston"/>
                <w:szCs w:val="18"/>
              </w:rPr>
              <w:t>123</w:t>
            </w:r>
          </w:p>
        </w:tc>
      </w:tr>
      <w:tr w:rsidR="009103CC" w:rsidRPr="001814D2" w14:paraId="07A59519"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562C18B5" w14:textId="77777777" w:rsidR="009103CC" w:rsidRPr="001814D2" w:rsidRDefault="009103CC" w:rsidP="002718DF">
            <w:pPr>
              <w:pStyle w:val="Tabletext"/>
            </w:pPr>
            <w:r w:rsidRPr="001814D2">
              <w:t>Maintenance*</w:t>
            </w:r>
          </w:p>
        </w:tc>
        <w:tc>
          <w:tcPr>
            <w:tcW w:w="708" w:type="pct"/>
            <w:tcBorders>
              <w:top w:val="single" w:sz="4" w:space="0" w:color="auto"/>
              <w:bottom w:val="single" w:sz="4" w:space="0" w:color="auto"/>
            </w:tcBorders>
            <w:tcMar>
              <w:top w:w="0" w:type="dxa"/>
              <w:left w:w="0" w:type="dxa"/>
              <w:bottom w:w="0" w:type="dxa"/>
              <w:right w:w="0" w:type="dxa"/>
            </w:tcMar>
            <w:vAlign w:val="center"/>
          </w:tcPr>
          <w:p w14:paraId="74BCB796" w14:textId="77777777" w:rsidR="009103CC" w:rsidRPr="001814D2" w:rsidRDefault="009103CC" w:rsidP="002718DF">
            <w:pPr>
              <w:pStyle w:val="Tabletext"/>
              <w:jc w:val="right"/>
              <w:rPr>
                <w:rFonts w:cs="Preston"/>
                <w:szCs w:val="18"/>
              </w:rPr>
            </w:pPr>
            <w:r w:rsidRPr="001814D2">
              <w:rPr>
                <w:rFonts w:cs="Preston"/>
                <w:szCs w:val="18"/>
              </w:rPr>
              <w:t>323</w:t>
            </w:r>
          </w:p>
        </w:tc>
        <w:tc>
          <w:tcPr>
            <w:tcW w:w="708" w:type="pct"/>
            <w:tcBorders>
              <w:top w:val="single" w:sz="4" w:space="0" w:color="auto"/>
              <w:bottom w:val="single" w:sz="4" w:space="0" w:color="auto"/>
            </w:tcBorders>
            <w:tcMar>
              <w:top w:w="0" w:type="dxa"/>
              <w:left w:w="0" w:type="dxa"/>
              <w:bottom w:w="0" w:type="dxa"/>
              <w:right w:w="0" w:type="dxa"/>
            </w:tcMar>
            <w:vAlign w:val="center"/>
          </w:tcPr>
          <w:p w14:paraId="06DBDB8C" w14:textId="77777777" w:rsidR="009103CC" w:rsidRPr="001814D2" w:rsidRDefault="009103CC" w:rsidP="002718DF">
            <w:pPr>
              <w:pStyle w:val="Tabletext"/>
              <w:jc w:val="right"/>
              <w:rPr>
                <w:rFonts w:cs="Preston"/>
                <w:szCs w:val="18"/>
              </w:rPr>
            </w:pPr>
            <w:r w:rsidRPr="001814D2">
              <w:rPr>
                <w:rFonts w:cs="Preston"/>
                <w:szCs w:val="18"/>
              </w:rPr>
              <w:t>213</w:t>
            </w:r>
          </w:p>
        </w:tc>
        <w:tc>
          <w:tcPr>
            <w:tcW w:w="708" w:type="pct"/>
            <w:tcBorders>
              <w:top w:val="single" w:sz="4" w:space="0" w:color="auto"/>
              <w:bottom w:val="single" w:sz="4" w:space="0" w:color="auto"/>
            </w:tcBorders>
            <w:tcMar>
              <w:top w:w="0" w:type="dxa"/>
              <w:left w:w="0" w:type="dxa"/>
              <w:bottom w:w="0" w:type="dxa"/>
              <w:right w:w="0" w:type="dxa"/>
            </w:tcMar>
            <w:vAlign w:val="center"/>
          </w:tcPr>
          <w:p w14:paraId="3B824C9F" w14:textId="77777777" w:rsidR="009103CC" w:rsidRPr="001814D2" w:rsidRDefault="009103CC" w:rsidP="002718DF">
            <w:pPr>
              <w:pStyle w:val="Tabletext"/>
              <w:jc w:val="right"/>
              <w:rPr>
                <w:rFonts w:cs="Preston"/>
                <w:szCs w:val="18"/>
              </w:rPr>
            </w:pPr>
            <w:r w:rsidRPr="001814D2">
              <w:rPr>
                <w:rFonts w:cs="Preston"/>
                <w:szCs w:val="18"/>
              </w:rPr>
              <w:t>323</w:t>
            </w:r>
          </w:p>
        </w:tc>
        <w:tc>
          <w:tcPr>
            <w:tcW w:w="706" w:type="pct"/>
            <w:tcBorders>
              <w:top w:val="single" w:sz="4" w:space="0" w:color="auto"/>
              <w:bottom w:val="single" w:sz="4" w:space="0" w:color="auto"/>
            </w:tcBorders>
            <w:tcMar>
              <w:top w:w="0" w:type="dxa"/>
              <w:left w:w="0" w:type="dxa"/>
              <w:bottom w:w="0" w:type="dxa"/>
              <w:right w:w="0" w:type="dxa"/>
            </w:tcMar>
            <w:vAlign w:val="center"/>
          </w:tcPr>
          <w:p w14:paraId="10C24389" w14:textId="77777777" w:rsidR="009103CC" w:rsidRPr="001814D2" w:rsidRDefault="009103CC" w:rsidP="002718DF">
            <w:pPr>
              <w:pStyle w:val="Tabletext"/>
              <w:jc w:val="right"/>
              <w:rPr>
                <w:rFonts w:cs="Preston"/>
                <w:szCs w:val="18"/>
              </w:rPr>
            </w:pPr>
            <w:r w:rsidRPr="001814D2">
              <w:rPr>
                <w:rFonts w:cs="Preston"/>
                <w:szCs w:val="18"/>
              </w:rPr>
              <w:t>213</w:t>
            </w:r>
          </w:p>
        </w:tc>
      </w:tr>
      <w:tr w:rsidR="009103CC" w:rsidRPr="001814D2" w14:paraId="68ED5678"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765587A4" w14:textId="77777777" w:rsidR="009103CC" w:rsidRPr="001814D2" w:rsidRDefault="009103CC" w:rsidP="002718DF">
            <w:pPr>
              <w:pStyle w:val="Tabletext"/>
            </w:pPr>
            <w:r w:rsidRPr="001814D2">
              <w:t>Insurance</w:t>
            </w:r>
          </w:p>
        </w:tc>
        <w:tc>
          <w:tcPr>
            <w:tcW w:w="708" w:type="pct"/>
            <w:tcBorders>
              <w:top w:val="single" w:sz="4" w:space="0" w:color="auto"/>
              <w:bottom w:val="single" w:sz="4" w:space="0" w:color="auto"/>
            </w:tcBorders>
            <w:tcMar>
              <w:top w:w="0" w:type="dxa"/>
              <w:left w:w="0" w:type="dxa"/>
              <w:bottom w:w="0" w:type="dxa"/>
              <w:right w:w="0" w:type="dxa"/>
            </w:tcMar>
            <w:vAlign w:val="center"/>
          </w:tcPr>
          <w:p w14:paraId="4A419B2F" w14:textId="77777777" w:rsidR="009103CC" w:rsidRPr="001814D2" w:rsidRDefault="009103CC" w:rsidP="002718DF">
            <w:pPr>
              <w:pStyle w:val="Tabletext"/>
              <w:jc w:val="right"/>
              <w:rPr>
                <w:rFonts w:cs="Preston"/>
                <w:szCs w:val="18"/>
              </w:rPr>
            </w:pPr>
            <w:r w:rsidRPr="001814D2">
              <w:rPr>
                <w:rFonts w:cs="Preston"/>
                <w:szCs w:val="18"/>
              </w:rPr>
              <w:t>1,410</w:t>
            </w:r>
          </w:p>
        </w:tc>
        <w:tc>
          <w:tcPr>
            <w:tcW w:w="708" w:type="pct"/>
            <w:tcBorders>
              <w:top w:val="single" w:sz="4" w:space="0" w:color="auto"/>
              <w:bottom w:val="single" w:sz="4" w:space="0" w:color="auto"/>
            </w:tcBorders>
            <w:tcMar>
              <w:top w:w="0" w:type="dxa"/>
              <w:left w:w="0" w:type="dxa"/>
              <w:bottom w:w="0" w:type="dxa"/>
              <w:right w:w="0" w:type="dxa"/>
            </w:tcMar>
            <w:vAlign w:val="center"/>
          </w:tcPr>
          <w:p w14:paraId="51EB369C" w14:textId="77777777" w:rsidR="009103CC" w:rsidRPr="001814D2" w:rsidRDefault="009103CC" w:rsidP="002718DF">
            <w:pPr>
              <w:pStyle w:val="Tabletext"/>
              <w:jc w:val="right"/>
              <w:rPr>
                <w:rFonts w:cs="Preston"/>
                <w:szCs w:val="18"/>
              </w:rPr>
            </w:pPr>
            <w:r w:rsidRPr="001814D2">
              <w:rPr>
                <w:rFonts w:cs="Preston"/>
                <w:szCs w:val="18"/>
              </w:rPr>
              <w:t>1,936</w:t>
            </w:r>
          </w:p>
        </w:tc>
        <w:tc>
          <w:tcPr>
            <w:tcW w:w="708" w:type="pct"/>
            <w:tcBorders>
              <w:top w:val="single" w:sz="4" w:space="0" w:color="auto"/>
              <w:bottom w:val="single" w:sz="4" w:space="0" w:color="auto"/>
            </w:tcBorders>
            <w:tcMar>
              <w:top w:w="0" w:type="dxa"/>
              <w:left w:w="0" w:type="dxa"/>
              <w:bottom w:w="0" w:type="dxa"/>
              <w:right w:w="0" w:type="dxa"/>
            </w:tcMar>
            <w:vAlign w:val="center"/>
          </w:tcPr>
          <w:p w14:paraId="479AE506" w14:textId="77777777" w:rsidR="009103CC" w:rsidRPr="001814D2" w:rsidRDefault="009103CC" w:rsidP="002718DF">
            <w:pPr>
              <w:pStyle w:val="Tabletext"/>
              <w:jc w:val="right"/>
              <w:rPr>
                <w:rFonts w:cs="Preston"/>
                <w:szCs w:val="18"/>
              </w:rPr>
            </w:pPr>
            <w:r w:rsidRPr="001814D2">
              <w:rPr>
                <w:rFonts w:cs="Preston"/>
                <w:szCs w:val="18"/>
              </w:rPr>
              <w:t>1,410</w:t>
            </w:r>
          </w:p>
        </w:tc>
        <w:tc>
          <w:tcPr>
            <w:tcW w:w="706" w:type="pct"/>
            <w:tcBorders>
              <w:top w:val="single" w:sz="4" w:space="0" w:color="auto"/>
              <w:bottom w:val="single" w:sz="4" w:space="0" w:color="auto"/>
            </w:tcBorders>
            <w:tcMar>
              <w:top w:w="0" w:type="dxa"/>
              <w:left w:w="0" w:type="dxa"/>
              <w:bottom w:w="0" w:type="dxa"/>
              <w:right w:w="0" w:type="dxa"/>
            </w:tcMar>
            <w:vAlign w:val="center"/>
          </w:tcPr>
          <w:p w14:paraId="1C50F5AB" w14:textId="77777777" w:rsidR="009103CC" w:rsidRPr="001814D2" w:rsidRDefault="009103CC" w:rsidP="002718DF">
            <w:pPr>
              <w:pStyle w:val="Tabletext"/>
              <w:jc w:val="right"/>
              <w:rPr>
                <w:rFonts w:cs="Preston"/>
                <w:szCs w:val="18"/>
              </w:rPr>
            </w:pPr>
            <w:r w:rsidRPr="001814D2">
              <w:rPr>
                <w:rFonts w:cs="Preston"/>
                <w:szCs w:val="18"/>
              </w:rPr>
              <w:t>1,936</w:t>
            </w:r>
          </w:p>
        </w:tc>
      </w:tr>
      <w:tr w:rsidR="009103CC" w:rsidRPr="001814D2" w14:paraId="2AD8FF75"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741B2005" w14:textId="77777777" w:rsidR="009103CC" w:rsidRPr="001814D2" w:rsidRDefault="009103CC" w:rsidP="002718DF">
            <w:pPr>
              <w:pStyle w:val="Tabletext"/>
            </w:pPr>
            <w:r w:rsidRPr="001814D2">
              <w:t>Consultants</w:t>
            </w:r>
          </w:p>
        </w:tc>
        <w:tc>
          <w:tcPr>
            <w:tcW w:w="708" w:type="pct"/>
            <w:tcBorders>
              <w:top w:val="single" w:sz="4" w:space="0" w:color="auto"/>
              <w:bottom w:val="single" w:sz="4" w:space="0" w:color="auto"/>
            </w:tcBorders>
            <w:tcMar>
              <w:top w:w="0" w:type="dxa"/>
              <w:left w:w="0" w:type="dxa"/>
              <w:bottom w:w="0" w:type="dxa"/>
              <w:right w:w="0" w:type="dxa"/>
            </w:tcMar>
            <w:vAlign w:val="center"/>
          </w:tcPr>
          <w:p w14:paraId="4FA84545" w14:textId="77777777" w:rsidR="009103CC" w:rsidRPr="001814D2" w:rsidRDefault="009103CC" w:rsidP="002718DF">
            <w:pPr>
              <w:pStyle w:val="Tabletext"/>
              <w:jc w:val="right"/>
              <w:rPr>
                <w:rFonts w:cs="Preston"/>
                <w:szCs w:val="18"/>
              </w:rPr>
            </w:pPr>
            <w:r w:rsidRPr="001814D2">
              <w:rPr>
                <w:rFonts w:cs="Preston"/>
                <w:szCs w:val="18"/>
              </w:rPr>
              <w:t>1,084</w:t>
            </w:r>
          </w:p>
        </w:tc>
        <w:tc>
          <w:tcPr>
            <w:tcW w:w="708" w:type="pct"/>
            <w:tcBorders>
              <w:top w:val="single" w:sz="4" w:space="0" w:color="auto"/>
              <w:bottom w:val="single" w:sz="4" w:space="0" w:color="auto"/>
            </w:tcBorders>
            <w:tcMar>
              <w:top w:w="0" w:type="dxa"/>
              <w:left w:w="0" w:type="dxa"/>
              <w:bottom w:w="0" w:type="dxa"/>
              <w:right w:w="0" w:type="dxa"/>
            </w:tcMar>
            <w:vAlign w:val="center"/>
          </w:tcPr>
          <w:p w14:paraId="05763FD0" w14:textId="77777777" w:rsidR="009103CC" w:rsidRPr="001814D2" w:rsidRDefault="009103CC" w:rsidP="002718DF">
            <w:pPr>
              <w:pStyle w:val="Tabletext"/>
              <w:jc w:val="right"/>
              <w:rPr>
                <w:rFonts w:cs="Preston"/>
                <w:szCs w:val="18"/>
              </w:rPr>
            </w:pPr>
            <w:r w:rsidRPr="001814D2">
              <w:rPr>
                <w:rFonts w:cs="Preston"/>
                <w:szCs w:val="18"/>
              </w:rPr>
              <w:t>559</w:t>
            </w:r>
          </w:p>
        </w:tc>
        <w:tc>
          <w:tcPr>
            <w:tcW w:w="708" w:type="pct"/>
            <w:tcBorders>
              <w:top w:val="single" w:sz="4" w:space="0" w:color="auto"/>
              <w:bottom w:val="single" w:sz="4" w:space="0" w:color="auto"/>
            </w:tcBorders>
            <w:tcMar>
              <w:top w:w="0" w:type="dxa"/>
              <w:left w:w="0" w:type="dxa"/>
              <w:bottom w:w="0" w:type="dxa"/>
              <w:right w:w="0" w:type="dxa"/>
            </w:tcMar>
            <w:vAlign w:val="center"/>
          </w:tcPr>
          <w:p w14:paraId="247AB694" w14:textId="77777777" w:rsidR="009103CC" w:rsidRPr="001814D2" w:rsidRDefault="009103CC" w:rsidP="002718DF">
            <w:pPr>
              <w:pStyle w:val="Tabletext"/>
              <w:jc w:val="right"/>
              <w:rPr>
                <w:rFonts w:cs="Preston"/>
                <w:szCs w:val="18"/>
              </w:rPr>
            </w:pPr>
            <w:r w:rsidRPr="001814D2">
              <w:rPr>
                <w:rFonts w:cs="Preston"/>
                <w:szCs w:val="18"/>
              </w:rPr>
              <w:t>1,084</w:t>
            </w:r>
          </w:p>
        </w:tc>
        <w:tc>
          <w:tcPr>
            <w:tcW w:w="706" w:type="pct"/>
            <w:tcBorders>
              <w:top w:val="single" w:sz="4" w:space="0" w:color="auto"/>
              <w:bottom w:val="single" w:sz="4" w:space="0" w:color="auto"/>
            </w:tcBorders>
            <w:tcMar>
              <w:top w:w="0" w:type="dxa"/>
              <w:left w:w="0" w:type="dxa"/>
              <w:bottom w:w="0" w:type="dxa"/>
              <w:right w:w="0" w:type="dxa"/>
            </w:tcMar>
            <w:vAlign w:val="center"/>
          </w:tcPr>
          <w:p w14:paraId="12BAFF18" w14:textId="77777777" w:rsidR="009103CC" w:rsidRPr="001814D2" w:rsidRDefault="009103CC" w:rsidP="002718DF">
            <w:pPr>
              <w:pStyle w:val="Tabletext"/>
              <w:jc w:val="right"/>
              <w:rPr>
                <w:rFonts w:cs="Preston"/>
                <w:szCs w:val="18"/>
              </w:rPr>
            </w:pPr>
            <w:r w:rsidRPr="001814D2">
              <w:rPr>
                <w:rFonts w:cs="Preston"/>
                <w:szCs w:val="18"/>
              </w:rPr>
              <w:t>559</w:t>
            </w:r>
          </w:p>
        </w:tc>
      </w:tr>
      <w:tr w:rsidR="009103CC" w:rsidRPr="001814D2" w14:paraId="0EEBE5A6"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61CCE6C5" w14:textId="77777777" w:rsidR="009103CC" w:rsidRPr="001814D2" w:rsidRDefault="009103CC" w:rsidP="002718DF">
            <w:pPr>
              <w:pStyle w:val="Tabletext"/>
            </w:pPr>
            <w:r w:rsidRPr="001814D2">
              <w:t>Contractors</w:t>
            </w:r>
          </w:p>
        </w:tc>
        <w:tc>
          <w:tcPr>
            <w:tcW w:w="708" w:type="pct"/>
            <w:tcBorders>
              <w:top w:val="single" w:sz="4" w:space="0" w:color="auto"/>
              <w:bottom w:val="single" w:sz="4" w:space="0" w:color="auto"/>
            </w:tcBorders>
            <w:tcMar>
              <w:top w:w="0" w:type="dxa"/>
              <w:left w:w="0" w:type="dxa"/>
              <w:bottom w:w="0" w:type="dxa"/>
              <w:right w:w="0" w:type="dxa"/>
            </w:tcMar>
            <w:vAlign w:val="center"/>
          </w:tcPr>
          <w:p w14:paraId="0CBE0769" w14:textId="77777777" w:rsidR="009103CC" w:rsidRPr="001814D2" w:rsidRDefault="009103CC" w:rsidP="002718DF">
            <w:pPr>
              <w:pStyle w:val="Tabletext"/>
              <w:jc w:val="right"/>
              <w:rPr>
                <w:rFonts w:cs="Preston"/>
                <w:szCs w:val="18"/>
              </w:rPr>
            </w:pPr>
            <w:r w:rsidRPr="001814D2">
              <w:rPr>
                <w:rFonts w:cs="Preston"/>
                <w:szCs w:val="18"/>
              </w:rPr>
              <w:t>385</w:t>
            </w:r>
          </w:p>
        </w:tc>
        <w:tc>
          <w:tcPr>
            <w:tcW w:w="708" w:type="pct"/>
            <w:tcBorders>
              <w:top w:val="single" w:sz="4" w:space="0" w:color="auto"/>
              <w:bottom w:val="single" w:sz="4" w:space="0" w:color="auto"/>
            </w:tcBorders>
            <w:tcMar>
              <w:top w:w="0" w:type="dxa"/>
              <w:left w:w="0" w:type="dxa"/>
              <w:bottom w:w="0" w:type="dxa"/>
              <w:right w:w="0" w:type="dxa"/>
            </w:tcMar>
            <w:vAlign w:val="center"/>
          </w:tcPr>
          <w:p w14:paraId="712EF393" w14:textId="77777777" w:rsidR="009103CC" w:rsidRPr="001814D2" w:rsidRDefault="009103CC" w:rsidP="002718DF">
            <w:pPr>
              <w:pStyle w:val="Tabletext"/>
              <w:jc w:val="right"/>
              <w:rPr>
                <w:rFonts w:cs="Preston"/>
                <w:szCs w:val="18"/>
              </w:rPr>
            </w:pPr>
            <w:r w:rsidRPr="001814D2">
              <w:rPr>
                <w:rFonts w:cs="Preston"/>
                <w:szCs w:val="18"/>
              </w:rPr>
              <w:t>309</w:t>
            </w:r>
          </w:p>
        </w:tc>
        <w:tc>
          <w:tcPr>
            <w:tcW w:w="708" w:type="pct"/>
            <w:tcBorders>
              <w:top w:val="single" w:sz="4" w:space="0" w:color="auto"/>
              <w:bottom w:val="single" w:sz="4" w:space="0" w:color="auto"/>
            </w:tcBorders>
            <w:tcMar>
              <w:top w:w="0" w:type="dxa"/>
              <w:left w:w="0" w:type="dxa"/>
              <w:bottom w:w="0" w:type="dxa"/>
              <w:right w:w="0" w:type="dxa"/>
            </w:tcMar>
            <w:vAlign w:val="center"/>
          </w:tcPr>
          <w:p w14:paraId="31434397" w14:textId="77777777" w:rsidR="009103CC" w:rsidRPr="001814D2" w:rsidRDefault="009103CC" w:rsidP="002718DF">
            <w:pPr>
              <w:pStyle w:val="Tabletext"/>
              <w:jc w:val="right"/>
              <w:rPr>
                <w:rFonts w:cs="Preston"/>
                <w:szCs w:val="18"/>
              </w:rPr>
            </w:pPr>
            <w:r w:rsidRPr="001814D2">
              <w:rPr>
                <w:rFonts w:cs="Preston"/>
                <w:szCs w:val="18"/>
              </w:rPr>
              <w:t>385</w:t>
            </w:r>
          </w:p>
        </w:tc>
        <w:tc>
          <w:tcPr>
            <w:tcW w:w="706" w:type="pct"/>
            <w:tcBorders>
              <w:top w:val="single" w:sz="4" w:space="0" w:color="auto"/>
              <w:bottom w:val="single" w:sz="4" w:space="0" w:color="auto"/>
            </w:tcBorders>
            <w:tcMar>
              <w:top w:w="0" w:type="dxa"/>
              <w:left w:w="0" w:type="dxa"/>
              <w:bottom w:w="0" w:type="dxa"/>
              <w:right w:w="0" w:type="dxa"/>
            </w:tcMar>
            <w:vAlign w:val="center"/>
          </w:tcPr>
          <w:p w14:paraId="7C84D4FD" w14:textId="77777777" w:rsidR="009103CC" w:rsidRPr="001814D2" w:rsidRDefault="009103CC" w:rsidP="002718DF">
            <w:pPr>
              <w:pStyle w:val="Tabletext"/>
              <w:jc w:val="right"/>
              <w:rPr>
                <w:rFonts w:cs="Preston"/>
                <w:szCs w:val="18"/>
              </w:rPr>
            </w:pPr>
            <w:r w:rsidRPr="001814D2">
              <w:rPr>
                <w:rFonts w:cs="Preston"/>
                <w:szCs w:val="18"/>
              </w:rPr>
              <w:t>309</w:t>
            </w:r>
          </w:p>
        </w:tc>
      </w:tr>
      <w:tr w:rsidR="009103CC" w:rsidRPr="001814D2" w14:paraId="60098D6F"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0AD5CEF9" w14:textId="77777777" w:rsidR="009103CC" w:rsidRPr="001814D2" w:rsidRDefault="009103CC" w:rsidP="002718DF">
            <w:pPr>
              <w:pStyle w:val="Tabletext"/>
            </w:pPr>
            <w:r w:rsidRPr="001814D2">
              <w:t>Consumables</w:t>
            </w:r>
          </w:p>
        </w:tc>
        <w:tc>
          <w:tcPr>
            <w:tcW w:w="708" w:type="pct"/>
            <w:tcBorders>
              <w:top w:val="single" w:sz="4" w:space="0" w:color="auto"/>
              <w:bottom w:val="single" w:sz="4" w:space="0" w:color="auto"/>
            </w:tcBorders>
            <w:tcMar>
              <w:top w:w="0" w:type="dxa"/>
              <w:left w:w="0" w:type="dxa"/>
              <w:bottom w:w="0" w:type="dxa"/>
              <w:right w:w="0" w:type="dxa"/>
            </w:tcMar>
            <w:vAlign w:val="center"/>
          </w:tcPr>
          <w:p w14:paraId="4771ECBD" w14:textId="77777777" w:rsidR="009103CC" w:rsidRPr="001814D2" w:rsidRDefault="009103CC" w:rsidP="002718DF">
            <w:pPr>
              <w:pStyle w:val="Tabletext"/>
              <w:jc w:val="right"/>
              <w:rPr>
                <w:rFonts w:cs="Preston"/>
                <w:szCs w:val="18"/>
              </w:rPr>
            </w:pPr>
            <w:r w:rsidRPr="001814D2">
              <w:rPr>
                <w:rFonts w:cs="Preston"/>
                <w:szCs w:val="18"/>
              </w:rPr>
              <w:t>807</w:t>
            </w:r>
          </w:p>
        </w:tc>
        <w:tc>
          <w:tcPr>
            <w:tcW w:w="708" w:type="pct"/>
            <w:tcBorders>
              <w:top w:val="single" w:sz="4" w:space="0" w:color="auto"/>
              <w:bottom w:val="single" w:sz="4" w:space="0" w:color="auto"/>
            </w:tcBorders>
            <w:tcMar>
              <w:top w:w="0" w:type="dxa"/>
              <w:left w:w="0" w:type="dxa"/>
              <w:bottom w:w="0" w:type="dxa"/>
              <w:right w:w="0" w:type="dxa"/>
            </w:tcMar>
            <w:vAlign w:val="center"/>
          </w:tcPr>
          <w:p w14:paraId="7893F708" w14:textId="77777777" w:rsidR="009103CC" w:rsidRPr="001814D2" w:rsidRDefault="009103CC" w:rsidP="002718DF">
            <w:pPr>
              <w:pStyle w:val="Tabletext"/>
              <w:jc w:val="right"/>
              <w:rPr>
                <w:rFonts w:cs="Preston"/>
                <w:szCs w:val="18"/>
              </w:rPr>
            </w:pPr>
            <w:r w:rsidRPr="001814D2">
              <w:rPr>
                <w:rFonts w:cs="Preston"/>
                <w:szCs w:val="18"/>
              </w:rPr>
              <w:t>653</w:t>
            </w:r>
          </w:p>
        </w:tc>
        <w:tc>
          <w:tcPr>
            <w:tcW w:w="708" w:type="pct"/>
            <w:tcBorders>
              <w:top w:val="single" w:sz="4" w:space="0" w:color="auto"/>
              <w:bottom w:val="single" w:sz="4" w:space="0" w:color="auto"/>
            </w:tcBorders>
            <w:tcMar>
              <w:top w:w="0" w:type="dxa"/>
              <w:left w:w="0" w:type="dxa"/>
              <w:bottom w:w="0" w:type="dxa"/>
              <w:right w:w="0" w:type="dxa"/>
            </w:tcMar>
            <w:vAlign w:val="center"/>
          </w:tcPr>
          <w:p w14:paraId="5F78EF15" w14:textId="77777777" w:rsidR="009103CC" w:rsidRPr="001814D2" w:rsidRDefault="009103CC" w:rsidP="002718DF">
            <w:pPr>
              <w:pStyle w:val="Tabletext"/>
              <w:jc w:val="right"/>
              <w:rPr>
                <w:rFonts w:cs="Preston"/>
                <w:szCs w:val="18"/>
              </w:rPr>
            </w:pPr>
            <w:r w:rsidRPr="001814D2">
              <w:rPr>
                <w:rFonts w:cs="Preston"/>
                <w:szCs w:val="18"/>
              </w:rPr>
              <w:t>807</w:t>
            </w:r>
          </w:p>
        </w:tc>
        <w:tc>
          <w:tcPr>
            <w:tcW w:w="706" w:type="pct"/>
            <w:tcBorders>
              <w:top w:val="single" w:sz="4" w:space="0" w:color="auto"/>
              <w:bottom w:val="single" w:sz="4" w:space="0" w:color="auto"/>
            </w:tcBorders>
            <w:tcMar>
              <w:top w:w="0" w:type="dxa"/>
              <w:left w:w="0" w:type="dxa"/>
              <w:bottom w:w="0" w:type="dxa"/>
              <w:right w:w="0" w:type="dxa"/>
            </w:tcMar>
            <w:vAlign w:val="center"/>
          </w:tcPr>
          <w:p w14:paraId="3D78D82A" w14:textId="77777777" w:rsidR="009103CC" w:rsidRPr="001814D2" w:rsidRDefault="009103CC" w:rsidP="002718DF">
            <w:pPr>
              <w:pStyle w:val="Tabletext"/>
              <w:jc w:val="right"/>
              <w:rPr>
                <w:rFonts w:cs="Preston"/>
                <w:szCs w:val="18"/>
              </w:rPr>
            </w:pPr>
            <w:r w:rsidRPr="001814D2">
              <w:rPr>
                <w:rFonts w:cs="Preston"/>
                <w:szCs w:val="18"/>
              </w:rPr>
              <w:t>653</w:t>
            </w:r>
          </w:p>
        </w:tc>
      </w:tr>
      <w:tr w:rsidR="009103CC" w:rsidRPr="001814D2" w14:paraId="6C2D0B8D"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6983D4C8" w14:textId="77777777" w:rsidR="009103CC" w:rsidRPr="001814D2" w:rsidRDefault="009103CC" w:rsidP="002718DF">
            <w:pPr>
              <w:pStyle w:val="Tabletext"/>
            </w:pPr>
            <w:r w:rsidRPr="001814D2">
              <w:t>Exhibition fees and related costs</w:t>
            </w:r>
          </w:p>
        </w:tc>
        <w:tc>
          <w:tcPr>
            <w:tcW w:w="708" w:type="pct"/>
            <w:tcBorders>
              <w:top w:val="single" w:sz="4" w:space="0" w:color="auto"/>
              <w:bottom w:val="single" w:sz="4" w:space="0" w:color="auto"/>
            </w:tcBorders>
            <w:tcMar>
              <w:top w:w="0" w:type="dxa"/>
              <w:left w:w="0" w:type="dxa"/>
              <w:bottom w:w="0" w:type="dxa"/>
              <w:right w:w="0" w:type="dxa"/>
            </w:tcMar>
            <w:vAlign w:val="center"/>
          </w:tcPr>
          <w:p w14:paraId="0186E75C" w14:textId="77777777" w:rsidR="009103CC" w:rsidRPr="001814D2" w:rsidRDefault="009103CC" w:rsidP="002718DF">
            <w:pPr>
              <w:pStyle w:val="Tabletext"/>
              <w:jc w:val="right"/>
              <w:rPr>
                <w:rFonts w:cs="Preston"/>
                <w:szCs w:val="18"/>
              </w:rPr>
            </w:pPr>
            <w:r w:rsidRPr="001814D2">
              <w:rPr>
                <w:rFonts w:cs="Preston"/>
                <w:szCs w:val="18"/>
              </w:rPr>
              <w:t>1,182</w:t>
            </w:r>
          </w:p>
        </w:tc>
        <w:tc>
          <w:tcPr>
            <w:tcW w:w="708" w:type="pct"/>
            <w:tcBorders>
              <w:top w:val="single" w:sz="4" w:space="0" w:color="auto"/>
              <w:bottom w:val="single" w:sz="4" w:space="0" w:color="auto"/>
            </w:tcBorders>
            <w:tcMar>
              <w:top w:w="0" w:type="dxa"/>
              <w:left w:w="0" w:type="dxa"/>
              <w:bottom w:w="0" w:type="dxa"/>
              <w:right w:w="0" w:type="dxa"/>
            </w:tcMar>
            <w:vAlign w:val="center"/>
          </w:tcPr>
          <w:p w14:paraId="2F665AB6" w14:textId="77777777" w:rsidR="009103CC" w:rsidRPr="001814D2" w:rsidRDefault="009103CC" w:rsidP="002718DF">
            <w:pPr>
              <w:pStyle w:val="Tabletext"/>
              <w:jc w:val="right"/>
              <w:rPr>
                <w:rFonts w:cs="Preston"/>
                <w:szCs w:val="18"/>
              </w:rPr>
            </w:pPr>
            <w:r w:rsidRPr="001814D2">
              <w:rPr>
                <w:rFonts w:cs="Preston"/>
                <w:szCs w:val="18"/>
              </w:rPr>
              <w:t>332</w:t>
            </w:r>
          </w:p>
        </w:tc>
        <w:tc>
          <w:tcPr>
            <w:tcW w:w="708" w:type="pct"/>
            <w:tcBorders>
              <w:top w:val="single" w:sz="4" w:space="0" w:color="auto"/>
              <w:bottom w:val="single" w:sz="4" w:space="0" w:color="auto"/>
            </w:tcBorders>
            <w:tcMar>
              <w:top w:w="0" w:type="dxa"/>
              <w:left w:w="0" w:type="dxa"/>
              <w:bottom w:w="0" w:type="dxa"/>
              <w:right w:w="0" w:type="dxa"/>
            </w:tcMar>
            <w:vAlign w:val="center"/>
          </w:tcPr>
          <w:p w14:paraId="04B2CAFE" w14:textId="77777777" w:rsidR="009103CC" w:rsidRPr="001814D2" w:rsidRDefault="009103CC" w:rsidP="002718DF">
            <w:pPr>
              <w:pStyle w:val="Tabletext"/>
              <w:jc w:val="right"/>
              <w:rPr>
                <w:rFonts w:cs="Preston"/>
                <w:szCs w:val="18"/>
              </w:rPr>
            </w:pPr>
            <w:r w:rsidRPr="001814D2">
              <w:rPr>
                <w:rFonts w:cs="Preston"/>
                <w:szCs w:val="18"/>
              </w:rPr>
              <w:t>1,182</w:t>
            </w:r>
          </w:p>
        </w:tc>
        <w:tc>
          <w:tcPr>
            <w:tcW w:w="706" w:type="pct"/>
            <w:tcBorders>
              <w:top w:val="single" w:sz="4" w:space="0" w:color="auto"/>
              <w:bottom w:val="single" w:sz="4" w:space="0" w:color="auto"/>
            </w:tcBorders>
            <w:tcMar>
              <w:top w:w="0" w:type="dxa"/>
              <w:left w:w="0" w:type="dxa"/>
              <w:bottom w:w="0" w:type="dxa"/>
              <w:right w:w="0" w:type="dxa"/>
            </w:tcMar>
            <w:vAlign w:val="center"/>
          </w:tcPr>
          <w:p w14:paraId="5A222D34" w14:textId="77777777" w:rsidR="009103CC" w:rsidRPr="001814D2" w:rsidRDefault="009103CC" w:rsidP="002718DF">
            <w:pPr>
              <w:pStyle w:val="Tabletext"/>
              <w:jc w:val="right"/>
              <w:rPr>
                <w:rFonts w:cs="Preston"/>
                <w:szCs w:val="18"/>
              </w:rPr>
            </w:pPr>
            <w:r w:rsidRPr="001814D2">
              <w:rPr>
                <w:rFonts w:cs="Preston"/>
                <w:szCs w:val="18"/>
              </w:rPr>
              <w:t>332</w:t>
            </w:r>
          </w:p>
        </w:tc>
      </w:tr>
      <w:tr w:rsidR="009103CC" w:rsidRPr="001814D2" w14:paraId="0D54EE56"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172118B6" w14:textId="77777777" w:rsidR="009103CC" w:rsidRPr="001814D2" w:rsidRDefault="009103CC" w:rsidP="002718DF">
            <w:pPr>
              <w:pStyle w:val="Tabletext"/>
            </w:pPr>
            <w:r w:rsidRPr="001814D2">
              <w:t>Fees – general professional</w:t>
            </w:r>
          </w:p>
        </w:tc>
        <w:tc>
          <w:tcPr>
            <w:tcW w:w="708" w:type="pct"/>
            <w:tcBorders>
              <w:top w:val="single" w:sz="4" w:space="0" w:color="auto"/>
              <w:bottom w:val="single" w:sz="4" w:space="0" w:color="auto"/>
            </w:tcBorders>
            <w:tcMar>
              <w:top w:w="0" w:type="dxa"/>
              <w:left w:w="0" w:type="dxa"/>
              <w:bottom w:w="0" w:type="dxa"/>
              <w:right w:w="0" w:type="dxa"/>
            </w:tcMar>
            <w:vAlign w:val="center"/>
          </w:tcPr>
          <w:p w14:paraId="6BBDB496" w14:textId="77777777" w:rsidR="009103CC" w:rsidRPr="001814D2" w:rsidRDefault="009103CC" w:rsidP="002718DF">
            <w:pPr>
              <w:pStyle w:val="Tabletext"/>
              <w:jc w:val="right"/>
              <w:rPr>
                <w:rFonts w:cs="Preston"/>
                <w:szCs w:val="18"/>
              </w:rPr>
            </w:pPr>
            <w:r w:rsidRPr="001814D2">
              <w:rPr>
                <w:rFonts w:cs="Preston"/>
                <w:szCs w:val="18"/>
              </w:rPr>
              <w:t>1,168</w:t>
            </w:r>
          </w:p>
        </w:tc>
        <w:tc>
          <w:tcPr>
            <w:tcW w:w="708" w:type="pct"/>
            <w:tcBorders>
              <w:top w:val="single" w:sz="4" w:space="0" w:color="auto"/>
              <w:bottom w:val="single" w:sz="4" w:space="0" w:color="auto"/>
            </w:tcBorders>
            <w:tcMar>
              <w:top w:w="0" w:type="dxa"/>
              <w:left w:w="0" w:type="dxa"/>
              <w:bottom w:w="0" w:type="dxa"/>
              <w:right w:w="0" w:type="dxa"/>
            </w:tcMar>
            <w:vAlign w:val="center"/>
          </w:tcPr>
          <w:p w14:paraId="67C5E0B7" w14:textId="77777777" w:rsidR="009103CC" w:rsidRPr="001814D2" w:rsidRDefault="009103CC" w:rsidP="002718DF">
            <w:pPr>
              <w:pStyle w:val="Tabletext"/>
              <w:jc w:val="right"/>
              <w:rPr>
                <w:rFonts w:cs="Preston"/>
                <w:szCs w:val="18"/>
              </w:rPr>
            </w:pPr>
            <w:r w:rsidRPr="001814D2">
              <w:rPr>
                <w:rFonts w:cs="Preston"/>
                <w:szCs w:val="18"/>
              </w:rPr>
              <w:t>1,052</w:t>
            </w:r>
          </w:p>
        </w:tc>
        <w:tc>
          <w:tcPr>
            <w:tcW w:w="708" w:type="pct"/>
            <w:tcBorders>
              <w:top w:val="single" w:sz="4" w:space="0" w:color="auto"/>
              <w:bottom w:val="single" w:sz="4" w:space="0" w:color="auto"/>
            </w:tcBorders>
            <w:tcMar>
              <w:top w:w="0" w:type="dxa"/>
              <w:left w:w="0" w:type="dxa"/>
              <w:bottom w:w="0" w:type="dxa"/>
              <w:right w:w="0" w:type="dxa"/>
            </w:tcMar>
            <w:vAlign w:val="center"/>
          </w:tcPr>
          <w:p w14:paraId="2D4AC0FF" w14:textId="77777777" w:rsidR="009103CC" w:rsidRPr="001814D2" w:rsidRDefault="009103CC" w:rsidP="002718DF">
            <w:pPr>
              <w:pStyle w:val="Tabletext"/>
              <w:jc w:val="right"/>
              <w:rPr>
                <w:rFonts w:cs="Preston"/>
                <w:szCs w:val="18"/>
              </w:rPr>
            </w:pPr>
            <w:r w:rsidRPr="001814D2">
              <w:rPr>
                <w:rFonts w:cs="Preston"/>
                <w:szCs w:val="18"/>
              </w:rPr>
              <w:t>1,168</w:t>
            </w:r>
          </w:p>
        </w:tc>
        <w:tc>
          <w:tcPr>
            <w:tcW w:w="706" w:type="pct"/>
            <w:tcBorders>
              <w:top w:val="single" w:sz="4" w:space="0" w:color="auto"/>
              <w:bottom w:val="single" w:sz="4" w:space="0" w:color="auto"/>
            </w:tcBorders>
            <w:tcMar>
              <w:top w:w="0" w:type="dxa"/>
              <w:left w:w="0" w:type="dxa"/>
              <w:bottom w:w="0" w:type="dxa"/>
              <w:right w:w="0" w:type="dxa"/>
            </w:tcMar>
            <w:vAlign w:val="center"/>
          </w:tcPr>
          <w:p w14:paraId="27DABB6C" w14:textId="77777777" w:rsidR="009103CC" w:rsidRPr="001814D2" w:rsidRDefault="009103CC" w:rsidP="002718DF">
            <w:pPr>
              <w:pStyle w:val="Tabletext"/>
              <w:jc w:val="right"/>
              <w:rPr>
                <w:rFonts w:cs="Preston"/>
                <w:szCs w:val="18"/>
              </w:rPr>
            </w:pPr>
            <w:r w:rsidRPr="001814D2">
              <w:rPr>
                <w:rFonts w:cs="Preston"/>
                <w:szCs w:val="18"/>
              </w:rPr>
              <w:t>1,052</w:t>
            </w:r>
          </w:p>
        </w:tc>
      </w:tr>
      <w:tr w:rsidR="009103CC" w:rsidRPr="001814D2" w14:paraId="6490F1CD"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0E481364" w14:textId="77777777" w:rsidR="009103CC" w:rsidRPr="001814D2" w:rsidRDefault="009103CC" w:rsidP="002718DF">
            <w:pPr>
              <w:pStyle w:val="Tabletext"/>
            </w:pPr>
            <w:r w:rsidRPr="001814D2">
              <w:t>Freight, packing and storage</w:t>
            </w:r>
          </w:p>
        </w:tc>
        <w:tc>
          <w:tcPr>
            <w:tcW w:w="708" w:type="pct"/>
            <w:tcBorders>
              <w:top w:val="single" w:sz="4" w:space="0" w:color="auto"/>
              <w:bottom w:val="single" w:sz="4" w:space="0" w:color="auto"/>
            </w:tcBorders>
            <w:tcMar>
              <w:top w:w="0" w:type="dxa"/>
              <w:left w:w="0" w:type="dxa"/>
              <w:bottom w:w="0" w:type="dxa"/>
              <w:right w:w="0" w:type="dxa"/>
            </w:tcMar>
            <w:vAlign w:val="center"/>
          </w:tcPr>
          <w:p w14:paraId="7E1C9501" w14:textId="77777777" w:rsidR="009103CC" w:rsidRPr="001814D2" w:rsidRDefault="009103CC" w:rsidP="002718DF">
            <w:pPr>
              <w:pStyle w:val="Tabletext"/>
              <w:jc w:val="right"/>
              <w:rPr>
                <w:rFonts w:cs="Preston"/>
                <w:szCs w:val="18"/>
              </w:rPr>
            </w:pPr>
            <w:r w:rsidRPr="001814D2">
              <w:rPr>
                <w:rFonts w:cs="Preston"/>
                <w:szCs w:val="18"/>
              </w:rPr>
              <w:t>1,139</w:t>
            </w:r>
          </w:p>
        </w:tc>
        <w:tc>
          <w:tcPr>
            <w:tcW w:w="708" w:type="pct"/>
            <w:tcBorders>
              <w:top w:val="single" w:sz="4" w:space="0" w:color="auto"/>
              <w:bottom w:val="single" w:sz="4" w:space="0" w:color="auto"/>
            </w:tcBorders>
            <w:tcMar>
              <w:top w:w="0" w:type="dxa"/>
              <w:left w:w="0" w:type="dxa"/>
              <w:bottom w:w="0" w:type="dxa"/>
              <w:right w:w="0" w:type="dxa"/>
            </w:tcMar>
            <w:vAlign w:val="center"/>
          </w:tcPr>
          <w:p w14:paraId="298D319D" w14:textId="77777777" w:rsidR="009103CC" w:rsidRPr="001814D2" w:rsidRDefault="009103CC" w:rsidP="002718DF">
            <w:pPr>
              <w:pStyle w:val="Tabletext"/>
              <w:jc w:val="right"/>
              <w:rPr>
                <w:rFonts w:cs="Preston"/>
                <w:szCs w:val="18"/>
              </w:rPr>
            </w:pPr>
            <w:r w:rsidRPr="001814D2">
              <w:rPr>
                <w:rFonts w:cs="Preston"/>
                <w:szCs w:val="18"/>
              </w:rPr>
              <w:t>2,760</w:t>
            </w:r>
          </w:p>
        </w:tc>
        <w:tc>
          <w:tcPr>
            <w:tcW w:w="708" w:type="pct"/>
            <w:tcBorders>
              <w:top w:val="single" w:sz="4" w:space="0" w:color="auto"/>
              <w:bottom w:val="single" w:sz="4" w:space="0" w:color="auto"/>
            </w:tcBorders>
            <w:tcMar>
              <w:top w:w="0" w:type="dxa"/>
              <w:left w:w="0" w:type="dxa"/>
              <w:bottom w:w="0" w:type="dxa"/>
              <w:right w:w="0" w:type="dxa"/>
            </w:tcMar>
            <w:vAlign w:val="center"/>
          </w:tcPr>
          <w:p w14:paraId="28B51D64" w14:textId="77777777" w:rsidR="009103CC" w:rsidRPr="001814D2" w:rsidRDefault="009103CC" w:rsidP="002718DF">
            <w:pPr>
              <w:pStyle w:val="Tabletext"/>
              <w:jc w:val="right"/>
              <w:rPr>
                <w:rFonts w:cs="Preston"/>
                <w:szCs w:val="18"/>
              </w:rPr>
            </w:pPr>
            <w:r w:rsidRPr="001814D2">
              <w:rPr>
                <w:rFonts w:cs="Preston"/>
                <w:szCs w:val="18"/>
              </w:rPr>
              <w:t>1,139</w:t>
            </w:r>
          </w:p>
        </w:tc>
        <w:tc>
          <w:tcPr>
            <w:tcW w:w="706" w:type="pct"/>
            <w:tcBorders>
              <w:top w:val="single" w:sz="4" w:space="0" w:color="auto"/>
              <w:bottom w:val="single" w:sz="4" w:space="0" w:color="auto"/>
            </w:tcBorders>
            <w:tcMar>
              <w:top w:w="0" w:type="dxa"/>
              <w:left w:w="0" w:type="dxa"/>
              <w:bottom w:w="0" w:type="dxa"/>
              <w:right w:w="0" w:type="dxa"/>
            </w:tcMar>
            <w:vAlign w:val="center"/>
          </w:tcPr>
          <w:p w14:paraId="47355880" w14:textId="77777777" w:rsidR="009103CC" w:rsidRPr="001814D2" w:rsidRDefault="009103CC" w:rsidP="002718DF">
            <w:pPr>
              <w:pStyle w:val="Tabletext"/>
              <w:jc w:val="right"/>
              <w:rPr>
                <w:rFonts w:cs="Preston"/>
                <w:szCs w:val="18"/>
              </w:rPr>
            </w:pPr>
            <w:r w:rsidRPr="001814D2">
              <w:rPr>
                <w:rFonts w:cs="Preston"/>
                <w:szCs w:val="18"/>
              </w:rPr>
              <w:t>2,760</w:t>
            </w:r>
          </w:p>
        </w:tc>
      </w:tr>
      <w:tr w:rsidR="009103CC" w:rsidRPr="001814D2" w14:paraId="09BF02A7"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2799345E" w14:textId="77777777" w:rsidR="009103CC" w:rsidRPr="001814D2" w:rsidRDefault="009103CC" w:rsidP="002718DF">
            <w:pPr>
              <w:pStyle w:val="Tabletext"/>
            </w:pPr>
            <w:r w:rsidRPr="001814D2">
              <w:t>Marketing and promotion</w:t>
            </w:r>
          </w:p>
        </w:tc>
        <w:tc>
          <w:tcPr>
            <w:tcW w:w="708" w:type="pct"/>
            <w:tcBorders>
              <w:top w:val="single" w:sz="4" w:space="0" w:color="auto"/>
              <w:bottom w:val="single" w:sz="4" w:space="0" w:color="auto"/>
            </w:tcBorders>
            <w:tcMar>
              <w:top w:w="0" w:type="dxa"/>
              <w:left w:w="0" w:type="dxa"/>
              <w:bottom w:w="0" w:type="dxa"/>
              <w:right w:w="0" w:type="dxa"/>
            </w:tcMar>
            <w:vAlign w:val="center"/>
          </w:tcPr>
          <w:p w14:paraId="3B7ACD65" w14:textId="77777777" w:rsidR="009103CC" w:rsidRPr="001814D2" w:rsidRDefault="009103CC" w:rsidP="002718DF">
            <w:pPr>
              <w:pStyle w:val="Tabletext"/>
              <w:jc w:val="right"/>
              <w:rPr>
                <w:rFonts w:cs="Preston"/>
                <w:szCs w:val="18"/>
              </w:rPr>
            </w:pPr>
            <w:r w:rsidRPr="001814D2">
              <w:rPr>
                <w:rFonts w:cs="Preston"/>
                <w:szCs w:val="18"/>
              </w:rPr>
              <w:t>1,452</w:t>
            </w:r>
          </w:p>
        </w:tc>
        <w:tc>
          <w:tcPr>
            <w:tcW w:w="708" w:type="pct"/>
            <w:tcBorders>
              <w:top w:val="single" w:sz="4" w:space="0" w:color="auto"/>
              <w:bottom w:val="single" w:sz="4" w:space="0" w:color="auto"/>
            </w:tcBorders>
            <w:tcMar>
              <w:top w:w="0" w:type="dxa"/>
              <w:left w:w="0" w:type="dxa"/>
              <w:bottom w:w="0" w:type="dxa"/>
              <w:right w:w="0" w:type="dxa"/>
            </w:tcMar>
            <w:vAlign w:val="center"/>
          </w:tcPr>
          <w:p w14:paraId="71266DF6" w14:textId="77777777" w:rsidR="009103CC" w:rsidRPr="001814D2" w:rsidRDefault="009103CC" w:rsidP="002718DF">
            <w:pPr>
              <w:pStyle w:val="Tabletext"/>
              <w:jc w:val="right"/>
              <w:rPr>
                <w:rFonts w:cs="Preston"/>
                <w:szCs w:val="18"/>
              </w:rPr>
            </w:pPr>
            <w:r w:rsidRPr="001814D2">
              <w:rPr>
                <w:rFonts w:cs="Preston"/>
                <w:szCs w:val="18"/>
              </w:rPr>
              <w:t>1,636</w:t>
            </w:r>
          </w:p>
        </w:tc>
        <w:tc>
          <w:tcPr>
            <w:tcW w:w="708" w:type="pct"/>
            <w:tcBorders>
              <w:top w:val="single" w:sz="4" w:space="0" w:color="auto"/>
              <w:bottom w:val="single" w:sz="4" w:space="0" w:color="auto"/>
            </w:tcBorders>
            <w:tcMar>
              <w:top w:w="0" w:type="dxa"/>
              <w:left w:w="0" w:type="dxa"/>
              <w:bottom w:w="0" w:type="dxa"/>
              <w:right w:w="0" w:type="dxa"/>
            </w:tcMar>
            <w:vAlign w:val="center"/>
          </w:tcPr>
          <w:p w14:paraId="6A556123" w14:textId="77777777" w:rsidR="009103CC" w:rsidRPr="001814D2" w:rsidRDefault="009103CC" w:rsidP="002718DF">
            <w:pPr>
              <w:pStyle w:val="Tabletext"/>
              <w:jc w:val="right"/>
              <w:rPr>
                <w:rFonts w:cs="Preston"/>
                <w:szCs w:val="18"/>
              </w:rPr>
            </w:pPr>
            <w:r w:rsidRPr="001814D2">
              <w:rPr>
                <w:rFonts w:cs="Preston"/>
                <w:szCs w:val="18"/>
              </w:rPr>
              <w:t>1,446</w:t>
            </w:r>
          </w:p>
        </w:tc>
        <w:tc>
          <w:tcPr>
            <w:tcW w:w="706" w:type="pct"/>
            <w:tcBorders>
              <w:top w:val="single" w:sz="4" w:space="0" w:color="auto"/>
              <w:bottom w:val="single" w:sz="4" w:space="0" w:color="auto"/>
            </w:tcBorders>
            <w:tcMar>
              <w:top w:w="0" w:type="dxa"/>
              <w:left w:w="0" w:type="dxa"/>
              <w:bottom w:w="0" w:type="dxa"/>
              <w:right w:w="0" w:type="dxa"/>
            </w:tcMar>
            <w:vAlign w:val="center"/>
          </w:tcPr>
          <w:p w14:paraId="687C75C5" w14:textId="77777777" w:rsidR="009103CC" w:rsidRPr="001814D2" w:rsidRDefault="009103CC" w:rsidP="002718DF">
            <w:pPr>
              <w:pStyle w:val="Tabletext"/>
              <w:jc w:val="right"/>
              <w:rPr>
                <w:rFonts w:cs="Preston"/>
                <w:szCs w:val="18"/>
              </w:rPr>
            </w:pPr>
            <w:r w:rsidRPr="001814D2">
              <w:rPr>
                <w:rFonts w:cs="Preston"/>
                <w:szCs w:val="18"/>
              </w:rPr>
              <w:t>1,434</w:t>
            </w:r>
          </w:p>
        </w:tc>
      </w:tr>
      <w:tr w:rsidR="009103CC" w:rsidRPr="001814D2" w14:paraId="6A771964"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7FD56C59" w14:textId="77777777" w:rsidR="009103CC" w:rsidRPr="001814D2" w:rsidRDefault="009103CC" w:rsidP="002718DF">
            <w:pPr>
              <w:pStyle w:val="Tabletext"/>
            </w:pPr>
            <w:r w:rsidRPr="001814D2">
              <w:t>Printing/graphics</w:t>
            </w:r>
          </w:p>
        </w:tc>
        <w:tc>
          <w:tcPr>
            <w:tcW w:w="708" w:type="pct"/>
            <w:tcBorders>
              <w:top w:val="single" w:sz="4" w:space="0" w:color="auto"/>
              <w:bottom w:val="single" w:sz="4" w:space="0" w:color="auto"/>
            </w:tcBorders>
            <w:tcMar>
              <w:top w:w="0" w:type="dxa"/>
              <w:left w:w="0" w:type="dxa"/>
              <w:bottom w:w="0" w:type="dxa"/>
              <w:right w:w="0" w:type="dxa"/>
            </w:tcMar>
            <w:vAlign w:val="center"/>
          </w:tcPr>
          <w:p w14:paraId="39AA8E90" w14:textId="77777777" w:rsidR="009103CC" w:rsidRPr="001814D2" w:rsidRDefault="009103CC" w:rsidP="002718DF">
            <w:pPr>
              <w:pStyle w:val="Tabletext"/>
              <w:jc w:val="right"/>
              <w:rPr>
                <w:rFonts w:cs="Preston"/>
                <w:szCs w:val="18"/>
              </w:rPr>
            </w:pPr>
            <w:r w:rsidRPr="001814D2">
              <w:rPr>
                <w:rFonts w:cs="Preston"/>
                <w:szCs w:val="18"/>
              </w:rPr>
              <w:t>355</w:t>
            </w:r>
          </w:p>
        </w:tc>
        <w:tc>
          <w:tcPr>
            <w:tcW w:w="708" w:type="pct"/>
            <w:tcBorders>
              <w:top w:val="single" w:sz="4" w:space="0" w:color="auto"/>
              <w:bottom w:val="single" w:sz="4" w:space="0" w:color="auto"/>
            </w:tcBorders>
            <w:tcMar>
              <w:top w:w="0" w:type="dxa"/>
              <w:left w:w="0" w:type="dxa"/>
              <w:bottom w:w="0" w:type="dxa"/>
              <w:right w:w="0" w:type="dxa"/>
            </w:tcMar>
            <w:vAlign w:val="center"/>
          </w:tcPr>
          <w:p w14:paraId="5F2C0A72" w14:textId="77777777" w:rsidR="009103CC" w:rsidRPr="001814D2" w:rsidRDefault="009103CC" w:rsidP="002718DF">
            <w:pPr>
              <w:pStyle w:val="Tabletext"/>
              <w:jc w:val="right"/>
              <w:rPr>
                <w:rFonts w:cs="Preston"/>
                <w:szCs w:val="18"/>
              </w:rPr>
            </w:pPr>
            <w:r w:rsidRPr="001814D2">
              <w:rPr>
                <w:rFonts w:cs="Preston"/>
                <w:szCs w:val="18"/>
              </w:rPr>
              <w:t>672</w:t>
            </w:r>
          </w:p>
        </w:tc>
        <w:tc>
          <w:tcPr>
            <w:tcW w:w="708" w:type="pct"/>
            <w:tcBorders>
              <w:top w:val="single" w:sz="4" w:space="0" w:color="auto"/>
              <w:bottom w:val="single" w:sz="4" w:space="0" w:color="auto"/>
            </w:tcBorders>
            <w:tcMar>
              <w:top w:w="0" w:type="dxa"/>
              <w:left w:w="0" w:type="dxa"/>
              <w:bottom w:w="0" w:type="dxa"/>
              <w:right w:w="0" w:type="dxa"/>
            </w:tcMar>
            <w:vAlign w:val="center"/>
          </w:tcPr>
          <w:p w14:paraId="379992FA" w14:textId="77777777" w:rsidR="009103CC" w:rsidRPr="001814D2" w:rsidRDefault="009103CC" w:rsidP="002718DF">
            <w:pPr>
              <w:pStyle w:val="Tabletext"/>
              <w:jc w:val="right"/>
              <w:rPr>
                <w:rFonts w:cs="Preston"/>
                <w:szCs w:val="18"/>
              </w:rPr>
            </w:pPr>
            <w:r w:rsidRPr="001814D2">
              <w:rPr>
                <w:rFonts w:cs="Preston"/>
                <w:szCs w:val="18"/>
              </w:rPr>
              <w:t>355</w:t>
            </w:r>
          </w:p>
        </w:tc>
        <w:tc>
          <w:tcPr>
            <w:tcW w:w="706" w:type="pct"/>
            <w:tcBorders>
              <w:top w:val="single" w:sz="4" w:space="0" w:color="auto"/>
              <w:bottom w:val="single" w:sz="4" w:space="0" w:color="auto"/>
            </w:tcBorders>
            <w:tcMar>
              <w:top w:w="0" w:type="dxa"/>
              <w:left w:w="0" w:type="dxa"/>
              <w:bottom w:w="0" w:type="dxa"/>
              <w:right w:w="0" w:type="dxa"/>
            </w:tcMar>
            <w:vAlign w:val="center"/>
          </w:tcPr>
          <w:p w14:paraId="19A85950" w14:textId="77777777" w:rsidR="009103CC" w:rsidRPr="001814D2" w:rsidRDefault="009103CC" w:rsidP="002718DF">
            <w:pPr>
              <w:pStyle w:val="Tabletext"/>
              <w:jc w:val="right"/>
              <w:rPr>
                <w:rFonts w:cs="Preston"/>
                <w:szCs w:val="18"/>
              </w:rPr>
            </w:pPr>
            <w:r w:rsidRPr="001814D2">
              <w:rPr>
                <w:rFonts w:cs="Preston"/>
                <w:szCs w:val="18"/>
              </w:rPr>
              <w:t>672</w:t>
            </w:r>
          </w:p>
        </w:tc>
      </w:tr>
      <w:tr w:rsidR="009103CC" w:rsidRPr="001814D2" w14:paraId="0DB83C10"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76160E88" w14:textId="77777777" w:rsidR="009103CC" w:rsidRPr="001814D2" w:rsidRDefault="009103CC" w:rsidP="002718DF">
            <w:pPr>
              <w:pStyle w:val="Tabletext"/>
            </w:pPr>
            <w:r w:rsidRPr="001814D2">
              <w:t>Property expenses</w:t>
            </w:r>
          </w:p>
        </w:tc>
        <w:tc>
          <w:tcPr>
            <w:tcW w:w="708" w:type="pct"/>
            <w:tcBorders>
              <w:top w:val="single" w:sz="4" w:space="0" w:color="auto"/>
              <w:bottom w:val="single" w:sz="4" w:space="0" w:color="auto"/>
            </w:tcBorders>
            <w:tcMar>
              <w:top w:w="0" w:type="dxa"/>
              <w:left w:w="0" w:type="dxa"/>
              <w:bottom w:w="0" w:type="dxa"/>
              <w:right w:w="0" w:type="dxa"/>
            </w:tcMar>
            <w:vAlign w:val="center"/>
          </w:tcPr>
          <w:p w14:paraId="47386540" w14:textId="77777777" w:rsidR="009103CC" w:rsidRPr="001814D2" w:rsidRDefault="009103CC" w:rsidP="002718DF">
            <w:pPr>
              <w:pStyle w:val="Tabletext"/>
              <w:jc w:val="right"/>
              <w:rPr>
                <w:rFonts w:cs="Preston"/>
                <w:szCs w:val="18"/>
              </w:rPr>
            </w:pPr>
            <w:r w:rsidRPr="001814D2">
              <w:rPr>
                <w:rFonts w:cs="Preston"/>
                <w:szCs w:val="18"/>
              </w:rPr>
              <w:t>2,443</w:t>
            </w:r>
          </w:p>
        </w:tc>
        <w:tc>
          <w:tcPr>
            <w:tcW w:w="708" w:type="pct"/>
            <w:tcBorders>
              <w:top w:val="single" w:sz="4" w:space="0" w:color="auto"/>
              <w:bottom w:val="single" w:sz="4" w:space="0" w:color="auto"/>
            </w:tcBorders>
            <w:tcMar>
              <w:top w:w="0" w:type="dxa"/>
              <w:left w:w="0" w:type="dxa"/>
              <w:bottom w:w="0" w:type="dxa"/>
              <w:right w:w="0" w:type="dxa"/>
            </w:tcMar>
            <w:vAlign w:val="center"/>
          </w:tcPr>
          <w:p w14:paraId="59912D2D" w14:textId="77777777" w:rsidR="009103CC" w:rsidRPr="001814D2" w:rsidRDefault="009103CC" w:rsidP="002718DF">
            <w:pPr>
              <w:pStyle w:val="Tabletext"/>
              <w:jc w:val="right"/>
              <w:rPr>
                <w:rFonts w:cs="Preston"/>
                <w:szCs w:val="18"/>
              </w:rPr>
            </w:pPr>
            <w:r w:rsidRPr="001814D2">
              <w:rPr>
                <w:rFonts w:cs="Preston"/>
                <w:szCs w:val="18"/>
              </w:rPr>
              <w:t>2,347</w:t>
            </w:r>
          </w:p>
        </w:tc>
        <w:tc>
          <w:tcPr>
            <w:tcW w:w="708" w:type="pct"/>
            <w:tcBorders>
              <w:top w:val="single" w:sz="4" w:space="0" w:color="auto"/>
              <w:bottom w:val="single" w:sz="4" w:space="0" w:color="auto"/>
            </w:tcBorders>
            <w:tcMar>
              <w:top w:w="0" w:type="dxa"/>
              <w:left w:w="0" w:type="dxa"/>
              <w:bottom w:w="0" w:type="dxa"/>
              <w:right w:w="0" w:type="dxa"/>
            </w:tcMar>
            <w:vAlign w:val="center"/>
          </w:tcPr>
          <w:p w14:paraId="317F0AE3" w14:textId="77777777" w:rsidR="009103CC" w:rsidRPr="001814D2" w:rsidRDefault="009103CC" w:rsidP="002718DF">
            <w:pPr>
              <w:pStyle w:val="Tabletext"/>
              <w:jc w:val="right"/>
              <w:rPr>
                <w:rFonts w:cs="Preston"/>
                <w:szCs w:val="18"/>
              </w:rPr>
            </w:pPr>
            <w:r w:rsidRPr="001814D2">
              <w:rPr>
                <w:rFonts w:cs="Preston"/>
                <w:szCs w:val="18"/>
              </w:rPr>
              <w:t>2,443</w:t>
            </w:r>
          </w:p>
        </w:tc>
        <w:tc>
          <w:tcPr>
            <w:tcW w:w="706" w:type="pct"/>
            <w:tcBorders>
              <w:top w:val="single" w:sz="4" w:space="0" w:color="auto"/>
              <w:bottom w:val="single" w:sz="4" w:space="0" w:color="auto"/>
            </w:tcBorders>
            <w:tcMar>
              <w:top w:w="0" w:type="dxa"/>
              <w:left w:w="0" w:type="dxa"/>
              <w:bottom w:w="0" w:type="dxa"/>
              <w:right w:w="0" w:type="dxa"/>
            </w:tcMar>
            <w:vAlign w:val="center"/>
          </w:tcPr>
          <w:p w14:paraId="71D183BF" w14:textId="77777777" w:rsidR="009103CC" w:rsidRPr="001814D2" w:rsidRDefault="009103CC" w:rsidP="002718DF">
            <w:pPr>
              <w:pStyle w:val="Tabletext"/>
              <w:jc w:val="right"/>
              <w:rPr>
                <w:rFonts w:cs="Preston"/>
                <w:szCs w:val="18"/>
              </w:rPr>
            </w:pPr>
            <w:r w:rsidRPr="001814D2">
              <w:rPr>
                <w:rFonts w:cs="Preston"/>
                <w:szCs w:val="18"/>
              </w:rPr>
              <w:t>2,347</w:t>
            </w:r>
          </w:p>
        </w:tc>
      </w:tr>
      <w:tr w:rsidR="009103CC" w:rsidRPr="001814D2" w14:paraId="7F2178AB"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6FE4E715" w14:textId="77777777" w:rsidR="009103CC" w:rsidRPr="001814D2" w:rsidRDefault="009103CC" w:rsidP="002718DF">
            <w:pPr>
              <w:pStyle w:val="Tabletext"/>
            </w:pPr>
            <w:r w:rsidRPr="001814D2">
              <w:t>Value of services provided by volunteers</w:t>
            </w:r>
          </w:p>
        </w:tc>
        <w:tc>
          <w:tcPr>
            <w:tcW w:w="708" w:type="pct"/>
            <w:tcBorders>
              <w:top w:val="single" w:sz="4" w:space="0" w:color="auto"/>
              <w:bottom w:val="single" w:sz="4" w:space="0" w:color="auto"/>
            </w:tcBorders>
            <w:tcMar>
              <w:top w:w="0" w:type="dxa"/>
              <w:left w:w="0" w:type="dxa"/>
              <w:bottom w:w="0" w:type="dxa"/>
              <w:right w:w="0" w:type="dxa"/>
            </w:tcMar>
            <w:vAlign w:val="center"/>
          </w:tcPr>
          <w:p w14:paraId="3B821674" w14:textId="77777777" w:rsidR="009103CC" w:rsidRPr="001814D2" w:rsidRDefault="009103CC" w:rsidP="002718DF">
            <w:pPr>
              <w:pStyle w:val="Tabletext"/>
              <w:jc w:val="right"/>
              <w:rPr>
                <w:rFonts w:cs="Preston"/>
                <w:szCs w:val="18"/>
              </w:rPr>
            </w:pPr>
            <w:r w:rsidRPr="001814D2">
              <w:rPr>
                <w:rFonts w:cs="Preston"/>
                <w:szCs w:val="18"/>
              </w:rPr>
              <w:t>159</w:t>
            </w:r>
          </w:p>
        </w:tc>
        <w:tc>
          <w:tcPr>
            <w:tcW w:w="708" w:type="pct"/>
            <w:tcBorders>
              <w:top w:val="single" w:sz="4" w:space="0" w:color="auto"/>
              <w:bottom w:val="single" w:sz="4" w:space="0" w:color="auto"/>
            </w:tcBorders>
            <w:tcMar>
              <w:top w:w="0" w:type="dxa"/>
              <w:left w:w="0" w:type="dxa"/>
              <w:bottom w:w="0" w:type="dxa"/>
              <w:right w:w="0" w:type="dxa"/>
            </w:tcMar>
            <w:vAlign w:val="center"/>
          </w:tcPr>
          <w:p w14:paraId="08A42381" w14:textId="77777777" w:rsidR="009103CC" w:rsidRPr="001814D2" w:rsidRDefault="009103CC" w:rsidP="002718DF">
            <w:pPr>
              <w:pStyle w:val="Tabletext"/>
              <w:jc w:val="right"/>
              <w:rPr>
                <w:rFonts w:cs="Preston"/>
                <w:szCs w:val="18"/>
              </w:rPr>
            </w:pPr>
            <w:r w:rsidRPr="001814D2">
              <w:rPr>
                <w:rFonts w:cs="Preston"/>
                <w:szCs w:val="18"/>
              </w:rPr>
              <w:t>551</w:t>
            </w:r>
          </w:p>
        </w:tc>
        <w:tc>
          <w:tcPr>
            <w:tcW w:w="708" w:type="pct"/>
            <w:tcBorders>
              <w:top w:val="single" w:sz="4" w:space="0" w:color="auto"/>
              <w:bottom w:val="single" w:sz="4" w:space="0" w:color="auto"/>
            </w:tcBorders>
            <w:tcMar>
              <w:top w:w="0" w:type="dxa"/>
              <w:left w:w="0" w:type="dxa"/>
              <w:bottom w:w="0" w:type="dxa"/>
              <w:right w:w="0" w:type="dxa"/>
            </w:tcMar>
            <w:vAlign w:val="center"/>
          </w:tcPr>
          <w:p w14:paraId="1BF2CAA8" w14:textId="77777777" w:rsidR="009103CC" w:rsidRPr="001814D2" w:rsidRDefault="009103CC" w:rsidP="002718DF">
            <w:pPr>
              <w:pStyle w:val="Tabletext"/>
              <w:jc w:val="right"/>
              <w:rPr>
                <w:rFonts w:cs="Preston"/>
                <w:szCs w:val="18"/>
              </w:rPr>
            </w:pPr>
            <w:r w:rsidRPr="001814D2">
              <w:rPr>
                <w:rFonts w:cs="Preston"/>
                <w:szCs w:val="18"/>
              </w:rPr>
              <w:t>159</w:t>
            </w:r>
          </w:p>
        </w:tc>
        <w:tc>
          <w:tcPr>
            <w:tcW w:w="706" w:type="pct"/>
            <w:tcBorders>
              <w:top w:val="single" w:sz="4" w:space="0" w:color="auto"/>
              <w:bottom w:val="single" w:sz="4" w:space="0" w:color="auto"/>
            </w:tcBorders>
            <w:tcMar>
              <w:top w:w="0" w:type="dxa"/>
              <w:left w:w="0" w:type="dxa"/>
              <w:bottom w:w="0" w:type="dxa"/>
              <w:right w:w="0" w:type="dxa"/>
            </w:tcMar>
            <w:vAlign w:val="center"/>
          </w:tcPr>
          <w:p w14:paraId="4C554AC0" w14:textId="77777777" w:rsidR="009103CC" w:rsidRPr="001814D2" w:rsidRDefault="009103CC" w:rsidP="002718DF">
            <w:pPr>
              <w:pStyle w:val="Tabletext"/>
              <w:jc w:val="right"/>
              <w:rPr>
                <w:rFonts w:cs="Preston"/>
                <w:szCs w:val="18"/>
              </w:rPr>
            </w:pPr>
            <w:r w:rsidRPr="001814D2">
              <w:rPr>
                <w:rFonts w:cs="Preston"/>
                <w:szCs w:val="18"/>
              </w:rPr>
              <w:t>551</w:t>
            </w:r>
          </w:p>
        </w:tc>
      </w:tr>
      <w:tr w:rsidR="009103CC" w:rsidRPr="001814D2" w14:paraId="46D1E4FB"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421F3EEB" w14:textId="77777777" w:rsidR="009103CC" w:rsidRPr="001814D2" w:rsidRDefault="009103CC" w:rsidP="002718DF">
            <w:pPr>
              <w:pStyle w:val="Tabletext"/>
            </w:pPr>
            <w:r w:rsidRPr="001814D2">
              <w:t>Sponsorship in kind</w:t>
            </w:r>
          </w:p>
        </w:tc>
        <w:tc>
          <w:tcPr>
            <w:tcW w:w="708" w:type="pct"/>
            <w:tcBorders>
              <w:top w:val="single" w:sz="4" w:space="0" w:color="auto"/>
              <w:bottom w:val="single" w:sz="4" w:space="0" w:color="auto"/>
            </w:tcBorders>
            <w:tcMar>
              <w:top w:w="0" w:type="dxa"/>
              <w:left w:w="0" w:type="dxa"/>
              <w:bottom w:w="0" w:type="dxa"/>
              <w:right w:w="0" w:type="dxa"/>
            </w:tcMar>
            <w:vAlign w:val="center"/>
          </w:tcPr>
          <w:p w14:paraId="43BD8E85" w14:textId="77777777" w:rsidR="009103CC" w:rsidRPr="001814D2" w:rsidRDefault="009103CC" w:rsidP="002718DF">
            <w:pPr>
              <w:pStyle w:val="Tabletext"/>
              <w:jc w:val="right"/>
              <w:rPr>
                <w:rFonts w:cs="Preston"/>
                <w:szCs w:val="18"/>
              </w:rPr>
            </w:pPr>
            <w:r w:rsidRPr="001814D2">
              <w:rPr>
                <w:rFonts w:cs="Preston"/>
                <w:szCs w:val="18"/>
              </w:rPr>
              <w:t>1,050</w:t>
            </w:r>
          </w:p>
        </w:tc>
        <w:tc>
          <w:tcPr>
            <w:tcW w:w="708" w:type="pct"/>
            <w:tcBorders>
              <w:top w:val="single" w:sz="4" w:space="0" w:color="auto"/>
              <w:bottom w:val="single" w:sz="4" w:space="0" w:color="auto"/>
            </w:tcBorders>
            <w:tcMar>
              <w:top w:w="0" w:type="dxa"/>
              <w:left w:w="0" w:type="dxa"/>
              <w:bottom w:w="0" w:type="dxa"/>
              <w:right w:w="0" w:type="dxa"/>
            </w:tcMar>
            <w:vAlign w:val="center"/>
          </w:tcPr>
          <w:p w14:paraId="5A11534A" w14:textId="77777777" w:rsidR="009103CC" w:rsidRPr="001814D2" w:rsidRDefault="009103CC" w:rsidP="002718DF">
            <w:pPr>
              <w:pStyle w:val="Tabletext"/>
              <w:jc w:val="right"/>
              <w:rPr>
                <w:rFonts w:cs="Preston"/>
                <w:szCs w:val="18"/>
              </w:rPr>
            </w:pPr>
            <w:r w:rsidRPr="001814D2">
              <w:rPr>
                <w:rFonts w:cs="Preston"/>
                <w:szCs w:val="18"/>
              </w:rPr>
              <w:t>1,661</w:t>
            </w:r>
          </w:p>
        </w:tc>
        <w:tc>
          <w:tcPr>
            <w:tcW w:w="708" w:type="pct"/>
            <w:tcBorders>
              <w:top w:val="single" w:sz="4" w:space="0" w:color="auto"/>
              <w:bottom w:val="single" w:sz="4" w:space="0" w:color="auto"/>
            </w:tcBorders>
            <w:tcMar>
              <w:top w:w="0" w:type="dxa"/>
              <w:left w:w="0" w:type="dxa"/>
              <w:bottom w:w="0" w:type="dxa"/>
              <w:right w:w="0" w:type="dxa"/>
            </w:tcMar>
            <w:vAlign w:val="center"/>
          </w:tcPr>
          <w:p w14:paraId="65B528F4" w14:textId="77777777" w:rsidR="009103CC" w:rsidRPr="001814D2" w:rsidRDefault="009103CC" w:rsidP="002718DF">
            <w:pPr>
              <w:pStyle w:val="Tabletext"/>
              <w:jc w:val="right"/>
              <w:rPr>
                <w:rFonts w:cs="Preston"/>
                <w:szCs w:val="18"/>
              </w:rPr>
            </w:pPr>
            <w:r w:rsidRPr="001814D2">
              <w:rPr>
                <w:rFonts w:cs="Preston"/>
                <w:szCs w:val="18"/>
              </w:rPr>
              <w:t>1,053</w:t>
            </w:r>
          </w:p>
        </w:tc>
        <w:tc>
          <w:tcPr>
            <w:tcW w:w="706" w:type="pct"/>
            <w:tcBorders>
              <w:top w:val="single" w:sz="4" w:space="0" w:color="auto"/>
              <w:bottom w:val="single" w:sz="4" w:space="0" w:color="auto"/>
            </w:tcBorders>
            <w:tcMar>
              <w:top w:w="0" w:type="dxa"/>
              <w:left w:w="0" w:type="dxa"/>
              <w:bottom w:w="0" w:type="dxa"/>
              <w:right w:w="0" w:type="dxa"/>
            </w:tcMar>
            <w:vAlign w:val="center"/>
          </w:tcPr>
          <w:p w14:paraId="71F10822" w14:textId="77777777" w:rsidR="009103CC" w:rsidRPr="001814D2" w:rsidRDefault="009103CC" w:rsidP="002718DF">
            <w:pPr>
              <w:pStyle w:val="Tabletext"/>
              <w:jc w:val="right"/>
              <w:rPr>
                <w:rFonts w:cs="Preston"/>
                <w:szCs w:val="18"/>
              </w:rPr>
            </w:pPr>
            <w:r w:rsidRPr="001814D2">
              <w:rPr>
                <w:rFonts w:cs="Preston"/>
                <w:szCs w:val="18"/>
              </w:rPr>
              <w:t>1,661</w:t>
            </w:r>
          </w:p>
        </w:tc>
      </w:tr>
      <w:tr w:rsidR="009103CC" w:rsidRPr="001814D2" w14:paraId="09B92097"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7D4A48EC" w14:textId="77777777" w:rsidR="009103CC" w:rsidRPr="001814D2" w:rsidRDefault="009103CC" w:rsidP="002718DF">
            <w:pPr>
              <w:pStyle w:val="Tabletext"/>
            </w:pPr>
            <w:r w:rsidRPr="001814D2">
              <w:t>Other</w:t>
            </w:r>
          </w:p>
        </w:tc>
        <w:tc>
          <w:tcPr>
            <w:tcW w:w="708" w:type="pct"/>
            <w:tcBorders>
              <w:top w:val="single" w:sz="4" w:space="0" w:color="auto"/>
              <w:bottom w:val="single" w:sz="4" w:space="0" w:color="auto"/>
            </w:tcBorders>
            <w:tcMar>
              <w:top w:w="0" w:type="dxa"/>
              <w:left w:w="0" w:type="dxa"/>
              <w:bottom w:w="0" w:type="dxa"/>
              <w:right w:w="0" w:type="dxa"/>
            </w:tcMar>
            <w:vAlign w:val="center"/>
          </w:tcPr>
          <w:p w14:paraId="25DC7A79" w14:textId="77777777" w:rsidR="009103CC" w:rsidRPr="001814D2" w:rsidRDefault="009103CC" w:rsidP="002718DF">
            <w:pPr>
              <w:pStyle w:val="Tabletext"/>
              <w:jc w:val="right"/>
              <w:rPr>
                <w:rFonts w:cs="Preston"/>
                <w:szCs w:val="18"/>
              </w:rPr>
            </w:pPr>
            <w:r w:rsidRPr="001814D2">
              <w:rPr>
                <w:rFonts w:cs="Preston"/>
                <w:szCs w:val="18"/>
              </w:rPr>
              <w:t>5,927</w:t>
            </w:r>
          </w:p>
        </w:tc>
        <w:tc>
          <w:tcPr>
            <w:tcW w:w="708" w:type="pct"/>
            <w:tcBorders>
              <w:top w:val="single" w:sz="4" w:space="0" w:color="auto"/>
              <w:bottom w:val="single" w:sz="4" w:space="0" w:color="auto"/>
            </w:tcBorders>
            <w:tcMar>
              <w:top w:w="0" w:type="dxa"/>
              <w:left w:w="0" w:type="dxa"/>
              <w:bottom w:w="0" w:type="dxa"/>
              <w:right w:w="0" w:type="dxa"/>
            </w:tcMar>
            <w:vAlign w:val="center"/>
          </w:tcPr>
          <w:p w14:paraId="16534DCD" w14:textId="77777777" w:rsidR="009103CC" w:rsidRPr="001814D2" w:rsidRDefault="009103CC" w:rsidP="002718DF">
            <w:pPr>
              <w:pStyle w:val="Tabletext"/>
              <w:jc w:val="right"/>
              <w:rPr>
                <w:rFonts w:cs="Preston"/>
                <w:szCs w:val="18"/>
              </w:rPr>
            </w:pPr>
            <w:r w:rsidRPr="001814D2">
              <w:rPr>
                <w:rFonts w:cs="Preston"/>
                <w:szCs w:val="18"/>
              </w:rPr>
              <w:t>6,806</w:t>
            </w:r>
          </w:p>
        </w:tc>
        <w:tc>
          <w:tcPr>
            <w:tcW w:w="708" w:type="pct"/>
            <w:tcBorders>
              <w:top w:val="single" w:sz="4" w:space="0" w:color="auto"/>
              <w:bottom w:val="single" w:sz="4" w:space="0" w:color="auto"/>
            </w:tcBorders>
            <w:tcMar>
              <w:top w:w="0" w:type="dxa"/>
              <w:left w:w="0" w:type="dxa"/>
              <w:bottom w:w="0" w:type="dxa"/>
              <w:right w:w="0" w:type="dxa"/>
            </w:tcMar>
            <w:vAlign w:val="center"/>
          </w:tcPr>
          <w:p w14:paraId="14DC5CC9" w14:textId="77777777" w:rsidR="009103CC" w:rsidRPr="001814D2" w:rsidRDefault="009103CC" w:rsidP="002718DF">
            <w:pPr>
              <w:pStyle w:val="Tabletext"/>
              <w:jc w:val="right"/>
              <w:rPr>
                <w:rFonts w:cs="Preston"/>
                <w:szCs w:val="18"/>
              </w:rPr>
            </w:pPr>
            <w:r w:rsidRPr="001814D2">
              <w:rPr>
                <w:rFonts w:cs="Preston"/>
                <w:szCs w:val="18"/>
              </w:rPr>
              <w:t>5,735</w:t>
            </w:r>
          </w:p>
        </w:tc>
        <w:tc>
          <w:tcPr>
            <w:tcW w:w="706" w:type="pct"/>
            <w:tcBorders>
              <w:top w:val="single" w:sz="4" w:space="0" w:color="auto"/>
              <w:bottom w:val="single" w:sz="4" w:space="0" w:color="auto"/>
            </w:tcBorders>
            <w:tcMar>
              <w:top w:w="0" w:type="dxa"/>
              <w:left w:w="0" w:type="dxa"/>
              <w:bottom w:w="0" w:type="dxa"/>
              <w:right w:w="0" w:type="dxa"/>
            </w:tcMar>
            <w:vAlign w:val="center"/>
          </w:tcPr>
          <w:p w14:paraId="64E03E0B" w14:textId="77777777" w:rsidR="009103CC" w:rsidRPr="001814D2" w:rsidRDefault="009103CC" w:rsidP="002718DF">
            <w:pPr>
              <w:pStyle w:val="Tabletext"/>
              <w:jc w:val="right"/>
              <w:rPr>
                <w:rFonts w:cs="Preston"/>
                <w:szCs w:val="18"/>
              </w:rPr>
            </w:pPr>
            <w:r w:rsidRPr="001814D2">
              <w:rPr>
                <w:rFonts w:cs="Preston"/>
                <w:szCs w:val="18"/>
              </w:rPr>
              <w:t>6,715</w:t>
            </w:r>
          </w:p>
        </w:tc>
      </w:tr>
      <w:tr w:rsidR="009103CC" w:rsidRPr="001814D2" w14:paraId="27C0715D"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1E23E63F" w14:textId="77777777" w:rsidR="009103CC" w:rsidRPr="001814D2" w:rsidRDefault="009103CC" w:rsidP="002718DF">
            <w:pPr>
              <w:pStyle w:val="Tabletext"/>
            </w:pPr>
          </w:p>
        </w:tc>
        <w:tc>
          <w:tcPr>
            <w:tcW w:w="708" w:type="pct"/>
            <w:tcBorders>
              <w:top w:val="single" w:sz="4" w:space="0" w:color="auto"/>
              <w:bottom w:val="single" w:sz="4" w:space="0" w:color="auto"/>
            </w:tcBorders>
            <w:tcMar>
              <w:top w:w="0" w:type="dxa"/>
              <w:left w:w="0" w:type="dxa"/>
              <w:bottom w:w="0" w:type="dxa"/>
              <w:right w:w="0" w:type="dxa"/>
            </w:tcMar>
            <w:vAlign w:val="center"/>
          </w:tcPr>
          <w:p w14:paraId="6244CADD" w14:textId="77777777" w:rsidR="009103CC" w:rsidRPr="001814D2" w:rsidRDefault="009103CC" w:rsidP="002718DF">
            <w:pPr>
              <w:pStyle w:val="Tabletext"/>
              <w:jc w:val="right"/>
              <w:rPr>
                <w:rFonts w:cs="Preston"/>
                <w:szCs w:val="18"/>
              </w:rPr>
            </w:pPr>
            <w:r w:rsidRPr="001814D2">
              <w:rPr>
                <w:rFonts w:cs="Preston"/>
                <w:szCs w:val="18"/>
              </w:rPr>
              <w:t>20,907</w:t>
            </w:r>
          </w:p>
        </w:tc>
        <w:tc>
          <w:tcPr>
            <w:tcW w:w="708" w:type="pct"/>
            <w:tcBorders>
              <w:top w:val="single" w:sz="4" w:space="0" w:color="auto"/>
              <w:bottom w:val="single" w:sz="4" w:space="0" w:color="auto"/>
            </w:tcBorders>
            <w:tcMar>
              <w:top w:w="0" w:type="dxa"/>
              <w:left w:w="0" w:type="dxa"/>
              <w:bottom w:w="0" w:type="dxa"/>
              <w:right w:w="0" w:type="dxa"/>
            </w:tcMar>
            <w:vAlign w:val="center"/>
          </w:tcPr>
          <w:p w14:paraId="0427612C" w14:textId="77777777" w:rsidR="009103CC" w:rsidRPr="001814D2" w:rsidRDefault="009103CC" w:rsidP="002718DF">
            <w:pPr>
              <w:pStyle w:val="Tabletext"/>
              <w:jc w:val="right"/>
              <w:rPr>
                <w:rFonts w:cs="Preston"/>
                <w:szCs w:val="18"/>
              </w:rPr>
            </w:pPr>
            <w:r w:rsidRPr="001814D2">
              <w:rPr>
                <w:rFonts w:cs="Preston"/>
                <w:szCs w:val="18"/>
              </w:rPr>
              <w:t>24,578</w:t>
            </w:r>
          </w:p>
        </w:tc>
        <w:tc>
          <w:tcPr>
            <w:tcW w:w="708" w:type="pct"/>
            <w:tcBorders>
              <w:top w:val="single" w:sz="4" w:space="0" w:color="auto"/>
              <w:bottom w:val="single" w:sz="4" w:space="0" w:color="auto"/>
            </w:tcBorders>
            <w:tcMar>
              <w:top w:w="0" w:type="dxa"/>
              <w:left w:w="0" w:type="dxa"/>
              <w:bottom w:w="0" w:type="dxa"/>
              <w:right w:w="0" w:type="dxa"/>
            </w:tcMar>
            <w:vAlign w:val="center"/>
          </w:tcPr>
          <w:p w14:paraId="75C78323" w14:textId="77777777" w:rsidR="009103CC" w:rsidRPr="001814D2" w:rsidRDefault="009103CC" w:rsidP="002718DF">
            <w:pPr>
              <w:pStyle w:val="Tabletext"/>
              <w:jc w:val="right"/>
              <w:rPr>
                <w:rFonts w:cs="Preston"/>
                <w:szCs w:val="18"/>
              </w:rPr>
            </w:pPr>
            <w:r w:rsidRPr="001814D2">
              <w:rPr>
                <w:rFonts w:cs="Preston"/>
                <w:szCs w:val="18"/>
              </w:rPr>
              <w:t>20,704</w:t>
            </w:r>
          </w:p>
        </w:tc>
        <w:tc>
          <w:tcPr>
            <w:tcW w:w="706" w:type="pct"/>
            <w:tcBorders>
              <w:top w:val="single" w:sz="4" w:space="0" w:color="auto"/>
              <w:bottom w:val="single" w:sz="4" w:space="0" w:color="auto"/>
            </w:tcBorders>
            <w:tcMar>
              <w:top w:w="0" w:type="dxa"/>
              <w:left w:w="0" w:type="dxa"/>
              <w:bottom w:w="0" w:type="dxa"/>
              <w:right w:w="0" w:type="dxa"/>
            </w:tcMar>
            <w:vAlign w:val="center"/>
          </w:tcPr>
          <w:p w14:paraId="01FED1BA" w14:textId="77777777" w:rsidR="009103CC" w:rsidRPr="001814D2" w:rsidRDefault="009103CC" w:rsidP="002718DF">
            <w:pPr>
              <w:pStyle w:val="Tabletext"/>
              <w:jc w:val="right"/>
              <w:rPr>
                <w:rFonts w:cs="Preston"/>
                <w:szCs w:val="18"/>
              </w:rPr>
            </w:pPr>
            <w:r w:rsidRPr="001814D2">
              <w:rPr>
                <w:rFonts w:cs="Preston"/>
                <w:szCs w:val="18"/>
              </w:rPr>
              <w:t>24,277</w:t>
            </w:r>
          </w:p>
        </w:tc>
      </w:tr>
      <w:tr w:rsidR="009103CC" w:rsidRPr="001814D2" w14:paraId="018CF6BC" w14:textId="77777777" w:rsidTr="002718DF">
        <w:trPr>
          <w:cantSplit/>
          <w:trHeight w:hRule="exact" w:val="332"/>
        </w:trPr>
        <w:tc>
          <w:tcPr>
            <w:tcW w:w="5000" w:type="pct"/>
            <w:gridSpan w:val="5"/>
            <w:tcBorders>
              <w:top w:val="single" w:sz="4" w:space="0" w:color="auto"/>
            </w:tcBorders>
            <w:tcMar>
              <w:top w:w="111" w:type="dxa"/>
              <w:left w:w="0" w:type="dxa"/>
              <w:bottom w:w="0" w:type="dxa"/>
              <w:right w:w="0" w:type="dxa"/>
            </w:tcMar>
          </w:tcPr>
          <w:p w14:paraId="1CC9B762" w14:textId="77777777" w:rsidR="009103CC" w:rsidRPr="00F677EB" w:rsidRDefault="009103CC" w:rsidP="002718DF">
            <w:pPr>
              <w:pStyle w:val="Tabletext"/>
            </w:pPr>
            <w:r w:rsidRPr="00F677EB">
              <w:t>* No other maintenance expense is included in Note 3a or 3b</w:t>
            </w:r>
          </w:p>
        </w:tc>
      </w:tr>
      <w:tr w:rsidR="009103CC" w:rsidRPr="001814D2" w14:paraId="36793716" w14:textId="77777777" w:rsidTr="002718DF">
        <w:trPr>
          <w:cantSplit/>
          <w:trHeight w:hRule="exact" w:val="332"/>
        </w:trPr>
        <w:tc>
          <w:tcPr>
            <w:tcW w:w="2170" w:type="pct"/>
            <w:tcMar>
              <w:top w:w="0" w:type="dxa"/>
              <w:left w:w="0" w:type="dxa"/>
              <w:bottom w:w="0" w:type="dxa"/>
              <w:right w:w="0" w:type="dxa"/>
            </w:tcMar>
            <w:vAlign w:val="center"/>
          </w:tcPr>
          <w:p w14:paraId="17E22C64"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5ACDC49B"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22FC5034"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449DAD9D" w14:textId="77777777" w:rsidR="009103CC" w:rsidRPr="001814D2" w:rsidRDefault="009103CC" w:rsidP="002718DF">
            <w:pPr>
              <w:pStyle w:val="Tabletext"/>
            </w:pPr>
          </w:p>
        </w:tc>
        <w:tc>
          <w:tcPr>
            <w:tcW w:w="706" w:type="pct"/>
            <w:tcMar>
              <w:top w:w="0" w:type="dxa"/>
              <w:left w:w="0" w:type="dxa"/>
              <w:bottom w:w="0" w:type="dxa"/>
              <w:right w:w="0" w:type="dxa"/>
            </w:tcMar>
            <w:vAlign w:val="center"/>
          </w:tcPr>
          <w:p w14:paraId="701A27E4" w14:textId="77777777" w:rsidR="009103CC" w:rsidRPr="001814D2" w:rsidRDefault="009103CC" w:rsidP="002718DF">
            <w:pPr>
              <w:pStyle w:val="Tabletext"/>
            </w:pPr>
          </w:p>
        </w:tc>
      </w:tr>
      <w:tr w:rsidR="009103CC" w:rsidRPr="00F677EB" w14:paraId="260D750D" w14:textId="77777777" w:rsidTr="002718DF">
        <w:trPr>
          <w:cantSplit/>
          <w:trHeight w:hRule="exact" w:val="332"/>
        </w:trPr>
        <w:tc>
          <w:tcPr>
            <w:tcW w:w="2170" w:type="pct"/>
            <w:tcBorders>
              <w:bottom w:val="single" w:sz="4" w:space="0" w:color="auto"/>
            </w:tcBorders>
            <w:tcMar>
              <w:top w:w="0" w:type="dxa"/>
              <w:left w:w="0" w:type="dxa"/>
              <w:bottom w:w="0" w:type="dxa"/>
              <w:right w:w="0" w:type="dxa"/>
            </w:tcMar>
            <w:vAlign w:val="center"/>
          </w:tcPr>
          <w:p w14:paraId="63431823" w14:textId="77777777" w:rsidR="009103CC" w:rsidRPr="00F677EB" w:rsidRDefault="009103CC" w:rsidP="002718DF">
            <w:pPr>
              <w:pStyle w:val="Tabletext"/>
              <w:rPr>
                <w:rFonts w:cs="Preston"/>
                <w:b/>
                <w:bCs/>
                <w:szCs w:val="18"/>
              </w:rPr>
            </w:pPr>
            <w:r w:rsidRPr="00F677EB">
              <w:rPr>
                <w:rFonts w:cs="Preston"/>
                <w:b/>
                <w:bCs/>
                <w:szCs w:val="18"/>
              </w:rPr>
              <w:t>(d) Depreciation and amortisation</w:t>
            </w:r>
          </w:p>
        </w:tc>
        <w:tc>
          <w:tcPr>
            <w:tcW w:w="708" w:type="pct"/>
            <w:tcBorders>
              <w:bottom w:val="single" w:sz="4" w:space="0" w:color="auto"/>
            </w:tcBorders>
            <w:tcMar>
              <w:top w:w="0" w:type="dxa"/>
              <w:left w:w="0" w:type="dxa"/>
              <w:bottom w:w="0" w:type="dxa"/>
              <w:right w:w="0" w:type="dxa"/>
            </w:tcMar>
            <w:vAlign w:val="center"/>
          </w:tcPr>
          <w:p w14:paraId="2001EC0E" w14:textId="77777777" w:rsidR="009103CC" w:rsidRPr="00F677EB" w:rsidRDefault="009103CC" w:rsidP="002718DF">
            <w:pPr>
              <w:pStyle w:val="Tabletext"/>
              <w:rPr>
                <w:b/>
                <w:bCs/>
              </w:rPr>
            </w:pPr>
          </w:p>
        </w:tc>
        <w:tc>
          <w:tcPr>
            <w:tcW w:w="708" w:type="pct"/>
            <w:tcBorders>
              <w:bottom w:val="single" w:sz="4" w:space="0" w:color="auto"/>
            </w:tcBorders>
            <w:tcMar>
              <w:top w:w="0" w:type="dxa"/>
              <w:left w:w="0" w:type="dxa"/>
              <w:bottom w:w="0" w:type="dxa"/>
              <w:right w:w="0" w:type="dxa"/>
            </w:tcMar>
            <w:vAlign w:val="center"/>
          </w:tcPr>
          <w:p w14:paraId="04C999CD" w14:textId="77777777" w:rsidR="009103CC" w:rsidRPr="00F677EB" w:rsidRDefault="009103CC" w:rsidP="002718DF">
            <w:pPr>
              <w:pStyle w:val="Tabletext"/>
              <w:rPr>
                <w:b/>
                <w:bCs/>
              </w:rPr>
            </w:pPr>
          </w:p>
        </w:tc>
        <w:tc>
          <w:tcPr>
            <w:tcW w:w="708" w:type="pct"/>
            <w:tcBorders>
              <w:bottom w:val="single" w:sz="4" w:space="0" w:color="auto"/>
            </w:tcBorders>
            <w:tcMar>
              <w:top w:w="0" w:type="dxa"/>
              <w:left w:w="0" w:type="dxa"/>
              <w:bottom w:w="0" w:type="dxa"/>
              <w:right w:w="0" w:type="dxa"/>
            </w:tcMar>
            <w:vAlign w:val="center"/>
          </w:tcPr>
          <w:p w14:paraId="451DF03D" w14:textId="77777777" w:rsidR="009103CC" w:rsidRPr="00F677EB" w:rsidRDefault="009103CC" w:rsidP="002718DF">
            <w:pPr>
              <w:pStyle w:val="Tabletext"/>
              <w:rPr>
                <w:b/>
                <w:bCs/>
              </w:rPr>
            </w:pPr>
          </w:p>
        </w:tc>
        <w:tc>
          <w:tcPr>
            <w:tcW w:w="706" w:type="pct"/>
            <w:tcBorders>
              <w:bottom w:val="single" w:sz="4" w:space="0" w:color="auto"/>
            </w:tcBorders>
            <w:tcMar>
              <w:top w:w="0" w:type="dxa"/>
              <w:left w:w="0" w:type="dxa"/>
              <w:bottom w:w="0" w:type="dxa"/>
              <w:right w:w="0" w:type="dxa"/>
            </w:tcMar>
            <w:vAlign w:val="center"/>
          </w:tcPr>
          <w:p w14:paraId="289638CA" w14:textId="77777777" w:rsidR="009103CC" w:rsidRPr="00F677EB" w:rsidRDefault="009103CC" w:rsidP="002718DF">
            <w:pPr>
              <w:pStyle w:val="Tabletext"/>
              <w:rPr>
                <w:b/>
                <w:bCs/>
              </w:rPr>
            </w:pPr>
          </w:p>
        </w:tc>
      </w:tr>
      <w:tr w:rsidR="009103CC" w:rsidRPr="001814D2" w14:paraId="3F453855"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6D503B20" w14:textId="77777777" w:rsidR="009103CC" w:rsidRPr="001814D2" w:rsidRDefault="009103CC" w:rsidP="002718DF">
            <w:pPr>
              <w:pStyle w:val="Tabletext"/>
            </w:pPr>
            <w:r w:rsidRPr="001814D2">
              <w:t>Buildings</w:t>
            </w:r>
          </w:p>
        </w:tc>
        <w:tc>
          <w:tcPr>
            <w:tcW w:w="708" w:type="pct"/>
            <w:tcBorders>
              <w:top w:val="single" w:sz="4" w:space="0" w:color="auto"/>
              <w:bottom w:val="single" w:sz="4" w:space="0" w:color="auto"/>
            </w:tcBorders>
            <w:tcMar>
              <w:top w:w="0" w:type="dxa"/>
              <w:left w:w="0" w:type="dxa"/>
              <w:bottom w:w="0" w:type="dxa"/>
              <w:right w:w="0" w:type="dxa"/>
            </w:tcMar>
            <w:vAlign w:val="center"/>
          </w:tcPr>
          <w:p w14:paraId="39F93ECD" w14:textId="77777777" w:rsidR="009103CC" w:rsidRPr="001814D2" w:rsidRDefault="009103CC" w:rsidP="002718DF">
            <w:pPr>
              <w:pStyle w:val="Tabletext"/>
              <w:jc w:val="right"/>
              <w:rPr>
                <w:rFonts w:cs="Preston"/>
                <w:szCs w:val="18"/>
              </w:rPr>
            </w:pPr>
            <w:r w:rsidRPr="001814D2">
              <w:rPr>
                <w:rFonts w:cs="Preston"/>
                <w:szCs w:val="18"/>
              </w:rPr>
              <w:t>2,606</w:t>
            </w:r>
          </w:p>
        </w:tc>
        <w:tc>
          <w:tcPr>
            <w:tcW w:w="708" w:type="pct"/>
            <w:tcBorders>
              <w:top w:val="single" w:sz="4" w:space="0" w:color="auto"/>
              <w:bottom w:val="single" w:sz="4" w:space="0" w:color="auto"/>
            </w:tcBorders>
            <w:tcMar>
              <w:top w:w="0" w:type="dxa"/>
              <w:left w:w="0" w:type="dxa"/>
              <w:bottom w:w="0" w:type="dxa"/>
              <w:right w:w="0" w:type="dxa"/>
            </w:tcMar>
            <w:vAlign w:val="center"/>
          </w:tcPr>
          <w:p w14:paraId="29EB01D6" w14:textId="77777777" w:rsidR="009103CC" w:rsidRPr="001814D2" w:rsidRDefault="009103CC" w:rsidP="002718DF">
            <w:pPr>
              <w:pStyle w:val="Tabletext"/>
              <w:jc w:val="right"/>
              <w:rPr>
                <w:rFonts w:cs="Preston"/>
                <w:szCs w:val="18"/>
              </w:rPr>
            </w:pPr>
            <w:r w:rsidRPr="001814D2">
              <w:rPr>
                <w:rFonts w:cs="Preston"/>
                <w:szCs w:val="18"/>
              </w:rPr>
              <w:t>3,703</w:t>
            </w:r>
          </w:p>
        </w:tc>
        <w:tc>
          <w:tcPr>
            <w:tcW w:w="708" w:type="pct"/>
            <w:tcBorders>
              <w:top w:val="single" w:sz="4" w:space="0" w:color="auto"/>
              <w:bottom w:val="single" w:sz="4" w:space="0" w:color="auto"/>
            </w:tcBorders>
            <w:tcMar>
              <w:top w:w="0" w:type="dxa"/>
              <w:left w:w="0" w:type="dxa"/>
              <w:bottom w:w="0" w:type="dxa"/>
              <w:right w:w="0" w:type="dxa"/>
            </w:tcMar>
            <w:vAlign w:val="center"/>
          </w:tcPr>
          <w:p w14:paraId="37B22D88" w14:textId="77777777" w:rsidR="009103CC" w:rsidRPr="001814D2" w:rsidRDefault="009103CC" w:rsidP="002718DF">
            <w:pPr>
              <w:pStyle w:val="Tabletext"/>
              <w:jc w:val="right"/>
              <w:rPr>
                <w:rFonts w:cs="Preston"/>
                <w:szCs w:val="18"/>
              </w:rPr>
            </w:pPr>
            <w:r w:rsidRPr="001814D2">
              <w:rPr>
                <w:rFonts w:cs="Preston"/>
                <w:szCs w:val="18"/>
              </w:rPr>
              <w:t>2,606</w:t>
            </w:r>
          </w:p>
        </w:tc>
        <w:tc>
          <w:tcPr>
            <w:tcW w:w="706" w:type="pct"/>
            <w:tcBorders>
              <w:top w:val="single" w:sz="4" w:space="0" w:color="auto"/>
              <w:bottom w:val="single" w:sz="4" w:space="0" w:color="auto"/>
            </w:tcBorders>
            <w:tcMar>
              <w:top w:w="0" w:type="dxa"/>
              <w:left w:w="0" w:type="dxa"/>
              <w:bottom w:w="0" w:type="dxa"/>
              <w:right w:w="0" w:type="dxa"/>
            </w:tcMar>
            <w:vAlign w:val="center"/>
          </w:tcPr>
          <w:p w14:paraId="49899C7D" w14:textId="77777777" w:rsidR="009103CC" w:rsidRPr="001814D2" w:rsidRDefault="009103CC" w:rsidP="002718DF">
            <w:pPr>
              <w:pStyle w:val="Tabletext"/>
              <w:jc w:val="right"/>
              <w:rPr>
                <w:rFonts w:cs="Preston"/>
                <w:szCs w:val="18"/>
              </w:rPr>
            </w:pPr>
            <w:r w:rsidRPr="001814D2">
              <w:rPr>
                <w:rFonts w:cs="Preston"/>
                <w:szCs w:val="18"/>
              </w:rPr>
              <w:t>3,703</w:t>
            </w:r>
          </w:p>
        </w:tc>
      </w:tr>
      <w:tr w:rsidR="009103CC" w:rsidRPr="001814D2" w14:paraId="4E35151D"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5D8EF54F" w14:textId="77777777" w:rsidR="009103CC" w:rsidRPr="001814D2" w:rsidRDefault="009103CC" w:rsidP="002718DF">
            <w:pPr>
              <w:pStyle w:val="Tabletext"/>
            </w:pPr>
            <w:r w:rsidRPr="001814D2">
              <w:t>Plant and equipment</w:t>
            </w:r>
          </w:p>
        </w:tc>
        <w:tc>
          <w:tcPr>
            <w:tcW w:w="708" w:type="pct"/>
            <w:tcBorders>
              <w:top w:val="single" w:sz="4" w:space="0" w:color="auto"/>
              <w:bottom w:val="single" w:sz="4" w:space="0" w:color="auto"/>
            </w:tcBorders>
            <w:tcMar>
              <w:top w:w="0" w:type="dxa"/>
              <w:left w:w="0" w:type="dxa"/>
              <w:bottom w:w="0" w:type="dxa"/>
              <w:right w:w="0" w:type="dxa"/>
            </w:tcMar>
            <w:vAlign w:val="center"/>
          </w:tcPr>
          <w:p w14:paraId="5065CF22" w14:textId="77777777" w:rsidR="009103CC" w:rsidRPr="001814D2" w:rsidRDefault="009103CC" w:rsidP="002718DF">
            <w:pPr>
              <w:pStyle w:val="Tabletext"/>
              <w:jc w:val="right"/>
              <w:rPr>
                <w:rFonts w:cs="Preston"/>
                <w:szCs w:val="18"/>
              </w:rPr>
            </w:pPr>
            <w:r w:rsidRPr="001814D2">
              <w:rPr>
                <w:rFonts w:cs="Preston"/>
                <w:szCs w:val="18"/>
              </w:rPr>
              <w:t>564</w:t>
            </w:r>
          </w:p>
        </w:tc>
        <w:tc>
          <w:tcPr>
            <w:tcW w:w="708" w:type="pct"/>
            <w:tcBorders>
              <w:top w:val="single" w:sz="4" w:space="0" w:color="auto"/>
              <w:bottom w:val="single" w:sz="4" w:space="0" w:color="auto"/>
            </w:tcBorders>
            <w:tcMar>
              <w:top w:w="0" w:type="dxa"/>
              <w:left w:w="0" w:type="dxa"/>
              <w:bottom w:w="0" w:type="dxa"/>
              <w:right w:w="0" w:type="dxa"/>
            </w:tcMar>
            <w:vAlign w:val="center"/>
          </w:tcPr>
          <w:p w14:paraId="6CC839B8" w14:textId="77777777" w:rsidR="009103CC" w:rsidRPr="001814D2" w:rsidRDefault="009103CC" w:rsidP="002718DF">
            <w:pPr>
              <w:pStyle w:val="Tabletext"/>
              <w:jc w:val="right"/>
              <w:rPr>
                <w:rFonts w:cs="Preston"/>
                <w:szCs w:val="18"/>
              </w:rPr>
            </w:pPr>
            <w:r w:rsidRPr="001814D2">
              <w:rPr>
                <w:rFonts w:cs="Preston"/>
                <w:szCs w:val="18"/>
              </w:rPr>
              <w:t>562</w:t>
            </w:r>
          </w:p>
        </w:tc>
        <w:tc>
          <w:tcPr>
            <w:tcW w:w="708" w:type="pct"/>
            <w:tcBorders>
              <w:top w:val="single" w:sz="4" w:space="0" w:color="auto"/>
              <w:bottom w:val="single" w:sz="4" w:space="0" w:color="auto"/>
            </w:tcBorders>
            <w:tcMar>
              <w:top w:w="0" w:type="dxa"/>
              <w:left w:w="0" w:type="dxa"/>
              <w:bottom w:w="0" w:type="dxa"/>
              <w:right w:w="0" w:type="dxa"/>
            </w:tcMar>
            <w:vAlign w:val="center"/>
          </w:tcPr>
          <w:p w14:paraId="585B3709" w14:textId="77777777" w:rsidR="009103CC" w:rsidRPr="001814D2" w:rsidRDefault="009103CC" w:rsidP="002718DF">
            <w:pPr>
              <w:pStyle w:val="Tabletext"/>
              <w:jc w:val="right"/>
              <w:rPr>
                <w:rFonts w:cs="Preston"/>
                <w:szCs w:val="18"/>
              </w:rPr>
            </w:pPr>
            <w:r w:rsidRPr="001814D2">
              <w:rPr>
                <w:rFonts w:cs="Preston"/>
                <w:szCs w:val="18"/>
              </w:rPr>
              <w:t>564</w:t>
            </w:r>
          </w:p>
        </w:tc>
        <w:tc>
          <w:tcPr>
            <w:tcW w:w="706" w:type="pct"/>
            <w:tcBorders>
              <w:top w:val="single" w:sz="4" w:space="0" w:color="auto"/>
              <w:bottom w:val="single" w:sz="4" w:space="0" w:color="auto"/>
            </w:tcBorders>
            <w:tcMar>
              <w:top w:w="0" w:type="dxa"/>
              <w:left w:w="0" w:type="dxa"/>
              <w:bottom w:w="0" w:type="dxa"/>
              <w:right w:w="0" w:type="dxa"/>
            </w:tcMar>
            <w:vAlign w:val="center"/>
          </w:tcPr>
          <w:p w14:paraId="3E5B4363" w14:textId="77777777" w:rsidR="009103CC" w:rsidRPr="001814D2" w:rsidRDefault="009103CC" w:rsidP="002718DF">
            <w:pPr>
              <w:pStyle w:val="Tabletext"/>
              <w:jc w:val="right"/>
              <w:rPr>
                <w:rFonts w:cs="Preston"/>
                <w:szCs w:val="18"/>
              </w:rPr>
            </w:pPr>
            <w:r w:rsidRPr="001814D2">
              <w:rPr>
                <w:rFonts w:cs="Preston"/>
                <w:szCs w:val="18"/>
              </w:rPr>
              <w:t>558</w:t>
            </w:r>
          </w:p>
        </w:tc>
      </w:tr>
      <w:tr w:rsidR="009103CC" w:rsidRPr="001814D2" w14:paraId="6A096FDD"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6577E5CE" w14:textId="77777777" w:rsidR="009103CC" w:rsidRPr="001814D2" w:rsidRDefault="009103CC" w:rsidP="002718DF">
            <w:pPr>
              <w:pStyle w:val="Tabletext"/>
            </w:pPr>
            <w:r w:rsidRPr="001814D2">
              <w:t>Intangibles</w:t>
            </w:r>
          </w:p>
        </w:tc>
        <w:tc>
          <w:tcPr>
            <w:tcW w:w="708" w:type="pct"/>
            <w:tcBorders>
              <w:top w:val="single" w:sz="4" w:space="0" w:color="auto"/>
              <w:bottom w:val="single" w:sz="4" w:space="0" w:color="auto"/>
            </w:tcBorders>
            <w:tcMar>
              <w:top w:w="0" w:type="dxa"/>
              <w:left w:w="0" w:type="dxa"/>
              <w:bottom w:w="0" w:type="dxa"/>
              <w:right w:w="0" w:type="dxa"/>
            </w:tcMar>
            <w:vAlign w:val="center"/>
          </w:tcPr>
          <w:p w14:paraId="43B7FBBC" w14:textId="77777777" w:rsidR="009103CC" w:rsidRPr="001814D2" w:rsidRDefault="009103CC" w:rsidP="002718DF">
            <w:pPr>
              <w:pStyle w:val="Tabletext"/>
              <w:jc w:val="right"/>
              <w:rPr>
                <w:rFonts w:cs="Preston"/>
                <w:szCs w:val="18"/>
              </w:rPr>
            </w:pPr>
            <w:r w:rsidRPr="001814D2">
              <w:rPr>
                <w:rFonts w:cs="Preston"/>
                <w:szCs w:val="18"/>
              </w:rPr>
              <w:t>351</w:t>
            </w:r>
          </w:p>
        </w:tc>
        <w:tc>
          <w:tcPr>
            <w:tcW w:w="708" w:type="pct"/>
            <w:tcBorders>
              <w:top w:val="single" w:sz="4" w:space="0" w:color="auto"/>
              <w:bottom w:val="single" w:sz="4" w:space="0" w:color="auto"/>
            </w:tcBorders>
            <w:tcMar>
              <w:top w:w="0" w:type="dxa"/>
              <w:left w:w="0" w:type="dxa"/>
              <w:bottom w:w="0" w:type="dxa"/>
              <w:right w:w="0" w:type="dxa"/>
            </w:tcMar>
            <w:vAlign w:val="center"/>
          </w:tcPr>
          <w:p w14:paraId="0441245B" w14:textId="77777777" w:rsidR="009103CC" w:rsidRPr="001814D2" w:rsidRDefault="009103CC" w:rsidP="002718DF">
            <w:pPr>
              <w:pStyle w:val="Tabletext"/>
              <w:jc w:val="right"/>
              <w:rPr>
                <w:rFonts w:cs="Preston"/>
                <w:szCs w:val="18"/>
              </w:rPr>
            </w:pPr>
            <w:r w:rsidRPr="001814D2">
              <w:rPr>
                <w:rFonts w:cs="Preston"/>
                <w:szCs w:val="18"/>
              </w:rPr>
              <w:t>321</w:t>
            </w:r>
          </w:p>
        </w:tc>
        <w:tc>
          <w:tcPr>
            <w:tcW w:w="708" w:type="pct"/>
            <w:tcBorders>
              <w:top w:val="single" w:sz="4" w:space="0" w:color="auto"/>
              <w:bottom w:val="single" w:sz="4" w:space="0" w:color="auto"/>
            </w:tcBorders>
            <w:tcMar>
              <w:top w:w="0" w:type="dxa"/>
              <w:left w:w="0" w:type="dxa"/>
              <w:bottom w:w="0" w:type="dxa"/>
              <w:right w:w="0" w:type="dxa"/>
            </w:tcMar>
            <w:vAlign w:val="center"/>
          </w:tcPr>
          <w:p w14:paraId="521C6E5B" w14:textId="77777777" w:rsidR="009103CC" w:rsidRPr="001814D2" w:rsidRDefault="009103CC" w:rsidP="002718DF">
            <w:pPr>
              <w:pStyle w:val="Tabletext"/>
              <w:jc w:val="right"/>
              <w:rPr>
                <w:rFonts w:cs="Preston"/>
                <w:szCs w:val="18"/>
              </w:rPr>
            </w:pPr>
            <w:r w:rsidRPr="001814D2">
              <w:rPr>
                <w:rFonts w:cs="Preston"/>
                <w:szCs w:val="18"/>
              </w:rPr>
              <w:t>351</w:t>
            </w:r>
          </w:p>
        </w:tc>
        <w:tc>
          <w:tcPr>
            <w:tcW w:w="706" w:type="pct"/>
            <w:tcBorders>
              <w:top w:val="single" w:sz="4" w:space="0" w:color="auto"/>
              <w:bottom w:val="single" w:sz="4" w:space="0" w:color="auto"/>
            </w:tcBorders>
            <w:tcMar>
              <w:top w:w="0" w:type="dxa"/>
              <w:left w:w="0" w:type="dxa"/>
              <w:bottom w:w="0" w:type="dxa"/>
              <w:right w:w="0" w:type="dxa"/>
            </w:tcMar>
            <w:vAlign w:val="center"/>
          </w:tcPr>
          <w:p w14:paraId="27C274D9" w14:textId="77777777" w:rsidR="009103CC" w:rsidRPr="001814D2" w:rsidRDefault="009103CC" w:rsidP="002718DF">
            <w:pPr>
              <w:pStyle w:val="Tabletext"/>
              <w:jc w:val="right"/>
              <w:rPr>
                <w:rFonts w:cs="Preston"/>
                <w:szCs w:val="18"/>
              </w:rPr>
            </w:pPr>
            <w:r w:rsidRPr="001814D2">
              <w:rPr>
                <w:rFonts w:cs="Preston"/>
                <w:szCs w:val="18"/>
              </w:rPr>
              <w:t>321</w:t>
            </w:r>
          </w:p>
        </w:tc>
      </w:tr>
      <w:tr w:rsidR="009103CC" w:rsidRPr="001814D2" w14:paraId="06F02447"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0715529F" w14:textId="77777777" w:rsidR="009103CC" w:rsidRPr="001814D2" w:rsidRDefault="009103CC" w:rsidP="002718DF">
            <w:pPr>
              <w:pStyle w:val="Tabletext"/>
            </w:pPr>
          </w:p>
        </w:tc>
        <w:tc>
          <w:tcPr>
            <w:tcW w:w="708" w:type="pct"/>
            <w:tcBorders>
              <w:top w:val="single" w:sz="4" w:space="0" w:color="auto"/>
              <w:bottom w:val="single" w:sz="4" w:space="0" w:color="auto"/>
            </w:tcBorders>
            <w:tcMar>
              <w:top w:w="0" w:type="dxa"/>
              <w:left w:w="0" w:type="dxa"/>
              <w:bottom w:w="0" w:type="dxa"/>
              <w:right w:w="0" w:type="dxa"/>
            </w:tcMar>
            <w:vAlign w:val="center"/>
          </w:tcPr>
          <w:p w14:paraId="580F4F5D" w14:textId="77777777" w:rsidR="009103CC" w:rsidRPr="001814D2" w:rsidRDefault="009103CC" w:rsidP="002718DF">
            <w:pPr>
              <w:pStyle w:val="Tabletext"/>
              <w:jc w:val="right"/>
              <w:rPr>
                <w:rFonts w:cs="Preston"/>
                <w:szCs w:val="18"/>
              </w:rPr>
            </w:pPr>
            <w:r w:rsidRPr="001814D2">
              <w:rPr>
                <w:rFonts w:cs="Preston"/>
                <w:szCs w:val="18"/>
              </w:rPr>
              <w:t>3,521</w:t>
            </w:r>
          </w:p>
        </w:tc>
        <w:tc>
          <w:tcPr>
            <w:tcW w:w="708" w:type="pct"/>
            <w:tcBorders>
              <w:top w:val="single" w:sz="4" w:space="0" w:color="auto"/>
              <w:bottom w:val="single" w:sz="4" w:space="0" w:color="auto"/>
            </w:tcBorders>
            <w:tcMar>
              <w:top w:w="0" w:type="dxa"/>
              <w:left w:w="0" w:type="dxa"/>
              <w:bottom w:w="0" w:type="dxa"/>
              <w:right w:w="0" w:type="dxa"/>
            </w:tcMar>
            <w:vAlign w:val="center"/>
          </w:tcPr>
          <w:p w14:paraId="5E648610" w14:textId="77777777" w:rsidR="009103CC" w:rsidRPr="001814D2" w:rsidRDefault="009103CC" w:rsidP="002718DF">
            <w:pPr>
              <w:pStyle w:val="Tabletext"/>
              <w:jc w:val="right"/>
              <w:rPr>
                <w:rFonts w:cs="Preston"/>
                <w:szCs w:val="18"/>
              </w:rPr>
            </w:pPr>
            <w:r w:rsidRPr="001814D2">
              <w:rPr>
                <w:rFonts w:cs="Preston"/>
                <w:szCs w:val="18"/>
              </w:rPr>
              <w:t>4,586</w:t>
            </w:r>
          </w:p>
        </w:tc>
        <w:tc>
          <w:tcPr>
            <w:tcW w:w="708" w:type="pct"/>
            <w:tcBorders>
              <w:top w:val="single" w:sz="4" w:space="0" w:color="auto"/>
              <w:bottom w:val="single" w:sz="4" w:space="0" w:color="auto"/>
            </w:tcBorders>
            <w:tcMar>
              <w:top w:w="0" w:type="dxa"/>
              <w:left w:w="0" w:type="dxa"/>
              <w:bottom w:w="0" w:type="dxa"/>
              <w:right w:w="0" w:type="dxa"/>
            </w:tcMar>
            <w:vAlign w:val="center"/>
          </w:tcPr>
          <w:p w14:paraId="51780780" w14:textId="77777777" w:rsidR="009103CC" w:rsidRPr="001814D2" w:rsidRDefault="009103CC" w:rsidP="002718DF">
            <w:pPr>
              <w:pStyle w:val="Tabletext"/>
              <w:jc w:val="right"/>
              <w:rPr>
                <w:rFonts w:cs="Preston"/>
                <w:szCs w:val="18"/>
              </w:rPr>
            </w:pPr>
            <w:r w:rsidRPr="001814D2">
              <w:rPr>
                <w:rFonts w:cs="Preston"/>
                <w:szCs w:val="18"/>
              </w:rPr>
              <w:t>3,521</w:t>
            </w:r>
          </w:p>
        </w:tc>
        <w:tc>
          <w:tcPr>
            <w:tcW w:w="706" w:type="pct"/>
            <w:tcBorders>
              <w:top w:val="single" w:sz="4" w:space="0" w:color="auto"/>
              <w:bottom w:val="single" w:sz="4" w:space="0" w:color="auto"/>
            </w:tcBorders>
            <w:tcMar>
              <w:top w:w="0" w:type="dxa"/>
              <w:left w:w="0" w:type="dxa"/>
              <w:bottom w:w="0" w:type="dxa"/>
              <w:right w:w="0" w:type="dxa"/>
            </w:tcMar>
            <w:vAlign w:val="center"/>
          </w:tcPr>
          <w:p w14:paraId="04C4A4BA" w14:textId="77777777" w:rsidR="009103CC" w:rsidRPr="001814D2" w:rsidRDefault="009103CC" w:rsidP="002718DF">
            <w:pPr>
              <w:pStyle w:val="Tabletext"/>
              <w:jc w:val="right"/>
              <w:rPr>
                <w:rFonts w:cs="Preston"/>
                <w:szCs w:val="18"/>
              </w:rPr>
            </w:pPr>
            <w:r w:rsidRPr="001814D2">
              <w:rPr>
                <w:rFonts w:cs="Preston"/>
                <w:szCs w:val="18"/>
              </w:rPr>
              <w:t>4,582</w:t>
            </w:r>
          </w:p>
        </w:tc>
      </w:tr>
    </w:tbl>
    <w:p w14:paraId="45AC6DD1" w14:textId="77777777" w:rsidR="009103CC" w:rsidRDefault="009103CC" w:rsidP="009103CC">
      <w:pPr>
        <w:pStyle w:val="Tabletext"/>
      </w:pPr>
    </w:p>
    <w:p w14:paraId="02FDC358" w14:textId="77777777" w:rsidR="009103CC" w:rsidRPr="001814D2" w:rsidRDefault="009103CC" w:rsidP="009103CC">
      <w:pPr>
        <w:pStyle w:val="ARbody"/>
      </w:pPr>
      <w:r w:rsidRPr="001814D2">
        <w:t>Refer to Note 9 and Note 10 for depreciation and amortisation policies.</w:t>
      </w:r>
    </w:p>
    <w:tbl>
      <w:tblPr>
        <w:tblW w:w="5000" w:type="pct"/>
        <w:tblBorders>
          <w:bottom w:val="single" w:sz="4" w:space="0" w:color="auto"/>
          <w:insideH w:val="single" w:sz="4" w:space="0" w:color="auto"/>
        </w:tblBorders>
        <w:tblCellMar>
          <w:left w:w="0" w:type="dxa"/>
          <w:right w:w="0" w:type="dxa"/>
        </w:tblCellMar>
        <w:tblLook w:val="0000" w:firstRow="0" w:lastRow="0" w:firstColumn="0" w:lastColumn="0" w:noHBand="0" w:noVBand="0"/>
        <w:tblCaption w:val="4 Conditions on contributions and restricted assets"/>
        <w:tblDescription w:val="This table provides figures for 2020 and 2021 for both the consolidated entity and parent entity."/>
      </w:tblPr>
      <w:tblGrid>
        <w:gridCol w:w="3937"/>
        <w:gridCol w:w="1284"/>
        <w:gridCol w:w="1284"/>
        <w:gridCol w:w="1284"/>
        <w:gridCol w:w="1281"/>
      </w:tblGrid>
      <w:tr w:rsidR="009103CC" w:rsidRPr="00F677EB" w14:paraId="0BAF4B01" w14:textId="77777777" w:rsidTr="002718DF">
        <w:trPr>
          <w:cantSplit/>
          <w:trHeight w:hRule="exact" w:val="332"/>
          <w:tblHeader/>
        </w:trPr>
        <w:tc>
          <w:tcPr>
            <w:tcW w:w="2170" w:type="pct"/>
            <w:tcBorders>
              <w:top w:val="nil"/>
            </w:tcBorders>
            <w:tcMar>
              <w:top w:w="0" w:type="dxa"/>
              <w:left w:w="0" w:type="dxa"/>
              <w:bottom w:w="0" w:type="dxa"/>
              <w:right w:w="0" w:type="dxa"/>
            </w:tcMar>
            <w:vAlign w:val="center"/>
          </w:tcPr>
          <w:p w14:paraId="5C3BC755" w14:textId="77777777" w:rsidR="009103CC" w:rsidRPr="00F677EB" w:rsidRDefault="009103CC" w:rsidP="002718DF">
            <w:pPr>
              <w:pStyle w:val="Tabletext"/>
              <w:jc w:val="center"/>
              <w:rPr>
                <w:b/>
                <w:bCs/>
              </w:rPr>
            </w:pPr>
          </w:p>
        </w:tc>
        <w:tc>
          <w:tcPr>
            <w:tcW w:w="1416" w:type="pct"/>
            <w:gridSpan w:val="2"/>
            <w:tcBorders>
              <w:top w:val="nil"/>
            </w:tcBorders>
            <w:tcMar>
              <w:top w:w="0" w:type="dxa"/>
              <w:left w:w="0" w:type="dxa"/>
              <w:bottom w:w="0" w:type="dxa"/>
              <w:right w:w="0" w:type="dxa"/>
            </w:tcMar>
            <w:vAlign w:val="center"/>
          </w:tcPr>
          <w:p w14:paraId="7C5AE2D7" w14:textId="77777777" w:rsidR="009103CC" w:rsidRPr="00F677EB" w:rsidRDefault="009103CC" w:rsidP="002718DF">
            <w:pPr>
              <w:pStyle w:val="Tabletext"/>
              <w:jc w:val="center"/>
              <w:rPr>
                <w:rFonts w:cs="Preston"/>
                <w:b/>
                <w:bCs/>
                <w:szCs w:val="18"/>
              </w:rPr>
            </w:pPr>
            <w:r w:rsidRPr="00F677EB">
              <w:rPr>
                <w:rFonts w:cs="Preston"/>
                <w:b/>
                <w:bCs/>
                <w:szCs w:val="18"/>
              </w:rPr>
              <w:t>Consolidated entity</w:t>
            </w:r>
          </w:p>
        </w:tc>
        <w:tc>
          <w:tcPr>
            <w:tcW w:w="1414" w:type="pct"/>
            <w:gridSpan w:val="2"/>
            <w:tcBorders>
              <w:top w:val="nil"/>
            </w:tcBorders>
            <w:tcMar>
              <w:top w:w="0" w:type="dxa"/>
              <w:left w:w="0" w:type="dxa"/>
              <w:bottom w:w="0" w:type="dxa"/>
              <w:right w:w="0" w:type="dxa"/>
            </w:tcMar>
            <w:vAlign w:val="center"/>
          </w:tcPr>
          <w:p w14:paraId="45BD5694" w14:textId="77777777" w:rsidR="009103CC" w:rsidRPr="00F677EB" w:rsidRDefault="009103CC" w:rsidP="002718DF">
            <w:pPr>
              <w:pStyle w:val="Tabletext"/>
              <w:jc w:val="center"/>
              <w:rPr>
                <w:rFonts w:cs="Preston"/>
                <w:b/>
                <w:bCs/>
                <w:szCs w:val="18"/>
              </w:rPr>
            </w:pPr>
            <w:r w:rsidRPr="00F677EB">
              <w:rPr>
                <w:rFonts w:cs="Preston"/>
                <w:b/>
                <w:bCs/>
                <w:szCs w:val="18"/>
              </w:rPr>
              <w:t>Parent entity</w:t>
            </w:r>
          </w:p>
        </w:tc>
      </w:tr>
      <w:tr w:rsidR="009103CC" w:rsidRPr="00F677EB" w14:paraId="23049482" w14:textId="77777777" w:rsidTr="002718DF">
        <w:trPr>
          <w:cantSplit/>
          <w:trHeight w:hRule="exact" w:val="553"/>
          <w:tblHeader/>
        </w:trPr>
        <w:tc>
          <w:tcPr>
            <w:tcW w:w="2170" w:type="pct"/>
            <w:tcMar>
              <w:top w:w="0" w:type="dxa"/>
              <w:left w:w="0" w:type="dxa"/>
              <w:bottom w:w="0" w:type="dxa"/>
              <w:right w:w="0" w:type="dxa"/>
            </w:tcMar>
            <w:vAlign w:val="center"/>
          </w:tcPr>
          <w:p w14:paraId="5EDD13AB" w14:textId="77777777" w:rsidR="009103CC" w:rsidRPr="00F677EB" w:rsidRDefault="009103CC" w:rsidP="002718DF">
            <w:pPr>
              <w:pStyle w:val="Tabletext"/>
              <w:rPr>
                <w:b/>
                <w:bCs/>
              </w:rPr>
            </w:pPr>
            <w:r w:rsidRPr="00F677EB">
              <w:rPr>
                <w:b/>
                <w:bCs/>
              </w:rPr>
              <w:t>4 Conditions on contributions and restricted assets</w:t>
            </w:r>
          </w:p>
          <w:p w14:paraId="62486AB3" w14:textId="77777777" w:rsidR="009103CC" w:rsidRPr="00F677EB" w:rsidRDefault="009103CC" w:rsidP="002718DF">
            <w:pPr>
              <w:pStyle w:val="Tabletext"/>
              <w:rPr>
                <w:b/>
                <w:bCs/>
              </w:rPr>
            </w:pPr>
          </w:p>
        </w:tc>
        <w:tc>
          <w:tcPr>
            <w:tcW w:w="708" w:type="pct"/>
            <w:tcMar>
              <w:top w:w="0" w:type="dxa"/>
              <w:left w:w="0" w:type="dxa"/>
              <w:bottom w:w="0" w:type="dxa"/>
              <w:right w:w="0" w:type="dxa"/>
            </w:tcMar>
            <w:vAlign w:val="center"/>
          </w:tcPr>
          <w:p w14:paraId="0F323E3B" w14:textId="77777777" w:rsidR="009103CC" w:rsidRPr="00F677EB" w:rsidRDefault="009103CC" w:rsidP="002718DF">
            <w:pPr>
              <w:pStyle w:val="Tabletext"/>
              <w:jc w:val="right"/>
              <w:rPr>
                <w:b/>
                <w:bCs/>
              </w:rPr>
            </w:pPr>
            <w:r w:rsidRPr="00F677EB">
              <w:rPr>
                <w:b/>
                <w:bCs/>
              </w:rPr>
              <w:t>2021</w:t>
            </w:r>
          </w:p>
          <w:p w14:paraId="158A11D0" w14:textId="77777777" w:rsidR="009103CC" w:rsidRPr="00F677EB" w:rsidRDefault="009103CC" w:rsidP="002718DF">
            <w:pPr>
              <w:pStyle w:val="Tabletext"/>
              <w:jc w:val="right"/>
              <w:rPr>
                <w:b/>
                <w:bCs/>
              </w:rPr>
            </w:pPr>
            <w:r w:rsidRPr="00F677EB">
              <w:rPr>
                <w:b/>
                <w:bCs/>
              </w:rPr>
              <w:t>$'000</w:t>
            </w:r>
          </w:p>
        </w:tc>
        <w:tc>
          <w:tcPr>
            <w:tcW w:w="708" w:type="pct"/>
            <w:tcMar>
              <w:top w:w="0" w:type="dxa"/>
              <w:left w:w="0" w:type="dxa"/>
              <w:bottom w:w="0" w:type="dxa"/>
              <w:right w:w="0" w:type="dxa"/>
            </w:tcMar>
            <w:vAlign w:val="center"/>
          </w:tcPr>
          <w:p w14:paraId="6CDA0AC3" w14:textId="77777777" w:rsidR="009103CC" w:rsidRPr="00F677EB" w:rsidRDefault="009103CC" w:rsidP="002718DF">
            <w:pPr>
              <w:pStyle w:val="Tabletext"/>
              <w:jc w:val="right"/>
              <w:rPr>
                <w:b/>
                <w:bCs/>
              </w:rPr>
            </w:pPr>
            <w:r w:rsidRPr="00F677EB">
              <w:rPr>
                <w:b/>
                <w:bCs/>
              </w:rPr>
              <w:t>2020</w:t>
            </w:r>
          </w:p>
          <w:p w14:paraId="03DBCF82" w14:textId="77777777" w:rsidR="009103CC" w:rsidRPr="00F677EB" w:rsidRDefault="009103CC" w:rsidP="002718DF">
            <w:pPr>
              <w:pStyle w:val="Tabletext"/>
              <w:jc w:val="right"/>
              <w:rPr>
                <w:b/>
                <w:bCs/>
              </w:rPr>
            </w:pPr>
            <w:r w:rsidRPr="00F677EB">
              <w:rPr>
                <w:b/>
                <w:bCs/>
              </w:rPr>
              <w:t>$'000</w:t>
            </w:r>
          </w:p>
        </w:tc>
        <w:tc>
          <w:tcPr>
            <w:tcW w:w="708" w:type="pct"/>
            <w:tcMar>
              <w:top w:w="0" w:type="dxa"/>
              <w:left w:w="0" w:type="dxa"/>
              <w:bottom w:w="0" w:type="dxa"/>
              <w:right w:w="0" w:type="dxa"/>
            </w:tcMar>
            <w:vAlign w:val="center"/>
          </w:tcPr>
          <w:p w14:paraId="22B45AA9" w14:textId="77777777" w:rsidR="009103CC" w:rsidRPr="00F677EB" w:rsidRDefault="009103CC" w:rsidP="002718DF">
            <w:pPr>
              <w:pStyle w:val="Tabletext"/>
              <w:jc w:val="right"/>
              <w:rPr>
                <w:b/>
                <w:bCs/>
              </w:rPr>
            </w:pPr>
            <w:r w:rsidRPr="00F677EB">
              <w:rPr>
                <w:b/>
                <w:bCs/>
              </w:rPr>
              <w:t>2021</w:t>
            </w:r>
          </w:p>
          <w:p w14:paraId="7C06D437" w14:textId="77777777" w:rsidR="009103CC" w:rsidRPr="00F677EB" w:rsidRDefault="009103CC" w:rsidP="002718DF">
            <w:pPr>
              <w:pStyle w:val="Tabletext"/>
              <w:jc w:val="right"/>
              <w:rPr>
                <w:b/>
                <w:bCs/>
              </w:rPr>
            </w:pPr>
            <w:r w:rsidRPr="00F677EB">
              <w:rPr>
                <w:b/>
                <w:bCs/>
              </w:rPr>
              <w:t>$'000</w:t>
            </w:r>
          </w:p>
          <w:p w14:paraId="2D08457B" w14:textId="77777777" w:rsidR="009103CC" w:rsidRPr="00F677EB" w:rsidRDefault="009103CC" w:rsidP="002718DF">
            <w:pPr>
              <w:pStyle w:val="Tabletext"/>
              <w:jc w:val="right"/>
              <w:rPr>
                <w:b/>
                <w:bCs/>
              </w:rPr>
            </w:pPr>
          </w:p>
        </w:tc>
        <w:tc>
          <w:tcPr>
            <w:tcW w:w="706" w:type="pct"/>
            <w:tcMar>
              <w:top w:w="0" w:type="dxa"/>
              <w:left w:w="0" w:type="dxa"/>
              <w:bottom w:w="0" w:type="dxa"/>
              <w:right w:w="0" w:type="dxa"/>
            </w:tcMar>
            <w:vAlign w:val="center"/>
          </w:tcPr>
          <w:p w14:paraId="315E5122" w14:textId="77777777" w:rsidR="009103CC" w:rsidRPr="00F677EB" w:rsidRDefault="009103CC" w:rsidP="002718DF">
            <w:pPr>
              <w:pStyle w:val="Tabletext"/>
              <w:jc w:val="right"/>
              <w:rPr>
                <w:b/>
                <w:bCs/>
              </w:rPr>
            </w:pPr>
            <w:r w:rsidRPr="00F677EB">
              <w:rPr>
                <w:b/>
                <w:bCs/>
              </w:rPr>
              <w:t>2020</w:t>
            </w:r>
          </w:p>
          <w:p w14:paraId="0A5B49D7" w14:textId="77777777" w:rsidR="009103CC" w:rsidRPr="00F677EB" w:rsidRDefault="009103CC" w:rsidP="002718DF">
            <w:pPr>
              <w:pStyle w:val="Tabletext"/>
              <w:jc w:val="right"/>
              <w:rPr>
                <w:b/>
                <w:bCs/>
              </w:rPr>
            </w:pPr>
            <w:r w:rsidRPr="00F677EB">
              <w:rPr>
                <w:b/>
                <w:bCs/>
              </w:rPr>
              <w:t>$'000</w:t>
            </w:r>
          </w:p>
          <w:p w14:paraId="6B2C7154" w14:textId="77777777" w:rsidR="009103CC" w:rsidRPr="00F677EB" w:rsidRDefault="009103CC" w:rsidP="002718DF">
            <w:pPr>
              <w:pStyle w:val="Tabletext"/>
              <w:jc w:val="right"/>
              <w:rPr>
                <w:b/>
                <w:bCs/>
              </w:rPr>
            </w:pPr>
          </w:p>
        </w:tc>
      </w:tr>
      <w:tr w:rsidR="009103CC" w:rsidRPr="001814D2" w14:paraId="2FE1224B" w14:textId="77777777" w:rsidTr="002718DF">
        <w:trPr>
          <w:cantSplit/>
          <w:trHeight w:hRule="exact" w:val="332"/>
        </w:trPr>
        <w:tc>
          <w:tcPr>
            <w:tcW w:w="2170" w:type="pct"/>
            <w:tcMar>
              <w:top w:w="0" w:type="dxa"/>
              <w:left w:w="0" w:type="dxa"/>
              <w:bottom w:w="0" w:type="dxa"/>
              <w:right w:w="0" w:type="dxa"/>
            </w:tcMar>
            <w:vAlign w:val="center"/>
          </w:tcPr>
          <w:p w14:paraId="01C215C6" w14:textId="77777777" w:rsidR="009103CC" w:rsidRPr="001814D2" w:rsidRDefault="009103CC" w:rsidP="002718DF">
            <w:pPr>
              <w:pStyle w:val="Tabletext"/>
            </w:pPr>
            <w:r w:rsidRPr="001814D2">
              <w:t>Bequest and Special Purpose Fund</w:t>
            </w:r>
          </w:p>
        </w:tc>
        <w:tc>
          <w:tcPr>
            <w:tcW w:w="708" w:type="pct"/>
            <w:tcMar>
              <w:top w:w="0" w:type="dxa"/>
              <w:left w:w="0" w:type="dxa"/>
              <w:bottom w:w="0" w:type="dxa"/>
              <w:right w:w="0" w:type="dxa"/>
            </w:tcMar>
            <w:vAlign w:val="center"/>
          </w:tcPr>
          <w:p w14:paraId="0DC9F88B" w14:textId="77777777" w:rsidR="009103CC" w:rsidRPr="001814D2" w:rsidRDefault="009103CC" w:rsidP="002718DF">
            <w:pPr>
              <w:pStyle w:val="Tabletext"/>
              <w:jc w:val="right"/>
            </w:pPr>
          </w:p>
        </w:tc>
        <w:tc>
          <w:tcPr>
            <w:tcW w:w="708" w:type="pct"/>
            <w:tcMar>
              <w:top w:w="0" w:type="dxa"/>
              <w:left w:w="0" w:type="dxa"/>
              <w:bottom w:w="0" w:type="dxa"/>
              <w:right w:w="0" w:type="dxa"/>
            </w:tcMar>
            <w:vAlign w:val="center"/>
          </w:tcPr>
          <w:p w14:paraId="1850950A" w14:textId="77777777" w:rsidR="009103CC" w:rsidRPr="001814D2" w:rsidRDefault="009103CC" w:rsidP="002718DF">
            <w:pPr>
              <w:pStyle w:val="Tabletext"/>
              <w:jc w:val="right"/>
            </w:pPr>
          </w:p>
        </w:tc>
        <w:tc>
          <w:tcPr>
            <w:tcW w:w="708" w:type="pct"/>
            <w:tcMar>
              <w:top w:w="0" w:type="dxa"/>
              <w:left w:w="0" w:type="dxa"/>
              <w:bottom w:w="0" w:type="dxa"/>
              <w:right w:w="0" w:type="dxa"/>
            </w:tcMar>
            <w:vAlign w:val="center"/>
          </w:tcPr>
          <w:p w14:paraId="66724F03" w14:textId="77777777" w:rsidR="009103CC" w:rsidRPr="001814D2" w:rsidRDefault="009103CC" w:rsidP="002718DF">
            <w:pPr>
              <w:pStyle w:val="Tabletext"/>
              <w:jc w:val="right"/>
            </w:pPr>
          </w:p>
        </w:tc>
        <w:tc>
          <w:tcPr>
            <w:tcW w:w="706" w:type="pct"/>
            <w:tcMar>
              <w:top w:w="0" w:type="dxa"/>
              <w:left w:w="0" w:type="dxa"/>
              <w:bottom w:w="0" w:type="dxa"/>
              <w:right w:w="0" w:type="dxa"/>
            </w:tcMar>
            <w:vAlign w:val="center"/>
          </w:tcPr>
          <w:p w14:paraId="4A4E10A3" w14:textId="77777777" w:rsidR="009103CC" w:rsidRPr="001814D2" w:rsidRDefault="009103CC" w:rsidP="002718DF">
            <w:pPr>
              <w:pStyle w:val="Tabletext"/>
              <w:jc w:val="right"/>
            </w:pPr>
          </w:p>
        </w:tc>
      </w:tr>
      <w:tr w:rsidR="009103CC" w:rsidRPr="001814D2" w14:paraId="7F448FFB" w14:textId="77777777" w:rsidTr="002718DF">
        <w:trPr>
          <w:cantSplit/>
          <w:trHeight w:hRule="exact" w:val="332"/>
        </w:trPr>
        <w:tc>
          <w:tcPr>
            <w:tcW w:w="2170" w:type="pct"/>
            <w:tcMar>
              <w:top w:w="0" w:type="dxa"/>
              <w:left w:w="0" w:type="dxa"/>
              <w:bottom w:w="0" w:type="dxa"/>
              <w:right w:w="0" w:type="dxa"/>
            </w:tcMar>
            <w:vAlign w:val="center"/>
          </w:tcPr>
          <w:p w14:paraId="6AED725B" w14:textId="77777777" w:rsidR="009103CC" w:rsidRPr="001814D2" w:rsidRDefault="009103CC" w:rsidP="002718DF">
            <w:pPr>
              <w:pStyle w:val="Tabletext"/>
            </w:pPr>
            <w:r w:rsidRPr="001814D2">
              <w:t>Short term deposits</w:t>
            </w:r>
          </w:p>
        </w:tc>
        <w:tc>
          <w:tcPr>
            <w:tcW w:w="708" w:type="pct"/>
            <w:tcMar>
              <w:top w:w="0" w:type="dxa"/>
              <w:left w:w="0" w:type="dxa"/>
              <w:bottom w:w="0" w:type="dxa"/>
              <w:right w:w="0" w:type="dxa"/>
            </w:tcMar>
            <w:vAlign w:val="center"/>
          </w:tcPr>
          <w:p w14:paraId="32490877" w14:textId="77777777" w:rsidR="009103CC" w:rsidRPr="001814D2" w:rsidRDefault="009103CC" w:rsidP="002718DF">
            <w:pPr>
              <w:pStyle w:val="Tabletext"/>
              <w:jc w:val="right"/>
            </w:pPr>
            <w:r w:rsidRPr="001814D2">
              <w:t>750</w:t>
            </w:r>
          </w:p>
        </w:tc>
        <w:tc>
          <w:tcPr>
            <w:tcW w:w="708" w:type="pct"/>
            <w:tcMar>
              <w:top w:w="0" w:type="dxa"/>
              <w:left w:w="0" w:type="dxa"/>
              <w:bottom w:w="0" w:type="dxa"/>
              <w:right w:w="0" w:type="dxa"/>
            </w:tcMar>
            <w:vAlign w:val="center"/>
          </w:tcPr>
          <w:p w14:paraId="36D69D5D" w14:textId="77777777" w:rsidR="009103CC" w:rsidRPr="001814D2" w:rsidRDefault="009103CC" w:rsidP="002718DF">
            <w:pPr>
              <w:pStyle w:val="Tabletext"/>
              <w:jc w:val="right"/>
            </w:pPr>
            <w:r w:rsidRPr="001814D2">
              <w:t>750</w:t>
            </w:r>
          </w:p>
        </w:tc>
        <w:tc>
          <w:tcPr>
            <w:tcW w:w="708" w:type="pct"/>
            <w:tcMar>
              <w:top w:w="0" w:type="dxa"/>
              <w:left w:w="0" w:type="dxa"/>
              <w:bottom w:w="0" w:type="dxa"/>
              <w:right w:w="0" w:type="dxa"/>
            </w:tcMar>
            <w:vAlign w:val="center"/>
          </w:tcPr>
          <w:p w14:paraId="625FD459" w14:textId="77777777" w:rsidR="009103CC" w:rsidRPr="001814D2" w:rsidRDefault="009103CC" w:rsidP="002718DF">
            <w:pPr>
              <w:pStyle w:val="Tabletext"/>
              <w:jc w:val="right"/>
            </w:pPr>
            <w:r w:rsidRPr="001814D2">
              <w:t>750</w:t>
            </w:r>
          </w:p>
        </w:tc>
        <w:tc>
          <w:tcPr>
            <w:tcW w:w="706" w:type="pct"/>
            <w:tcMar>
              <w:top w:w="0" w:type="dxa"/>
              <w:left w:w="0" w:type="dxa"/>
              <w:bottom w:w="0" w:type="dxa"/>
              <w:right w:w="0" w:type="dxa"/>
            </w:tcMar>
            <w:vAlign w:val="center"/>
          </w:tcPr>
          <w:p w14:paraId="116232D3" w14:textId="77777777" w:rsidR="009103CC" w:rsidRPr="001814D2" w:rsidRDefault="009103CC" w:rsidP="002718DF">
            <w:pPr>
              <w:pStyle w:val="Tabletext"/>
              <w:jc w:val="right"/>
            </w:pPr>
            <w:r w:rsidRPr="001814D2">
              <w:t>750</w:t>
            </w:r>
          </w:p>
        </w:tc>
      </w:tr>
      <w:tr w:rsidR="009103CC" w:rsidRPr="001814D2" w14:paraId="769EB7C4" w14:textId="77777777" w:rsidTr="002718DF">
        <w:trPr>
          <w:cantSplit/>
          <w:trHeight w:hRule="exact" w:val="553"/>
        </w:trPr>
        <w:tc>
          <w:tcPr>
            <w:tcW w:w="2170" w:type="pct"/>
            <w:tcMar>
              <w:top w:w="0" w:type="dxa"/>
              <w:left w:w="0" w:type="dxa"/>
              <w:bottom w:w="0" w:type="dxa"/>
              <w:right w:w="0" w:type="dxa"/>
            </w:tcMar>
            <w:vAlign w:val="center"/>
          </w:tcPr>
          <w:p w14:paraId="04548D65" w14:textId="77777777" w:rsidR="009103CC" w:rsidRPr="001814D2" w:rsidRDefault="009103CC" w:rsidP="002718DF">
            <w:pPr>
              <w:pStyle w:val="Tabletext"/>
            </w:pPr>
            <w:r w:rsidRPr="001814D2">
              <w:t xml:space="preserve">TCorpIM investment – medium term </w:t>
            </w:r>
            <w:r w:rsidRPr="001814D2">
              <w:br/>
              <w:t>and long term facilities</w:t>
            </w:r>
          </w:p>
        </w:tc>
        <w:tc>
          <w:tcPr>
            <w:tcW w:w="708" w:type="pct"/>
            <w:tcMar>
              <w:top w:w="0" w:type="dxa"/>
              <w:left w:w="0" w:type="dxa"/>
              <w:bottom w:w="0" w:type="dxa"/>
              <w:right w:w="0" w:type="dxa"/>
            </w:tcMar>
            <w:vAlign w:val="center"/>
          </w:tcPr>
          <w:p w14:paraId="3AC0FCE3" w14:textId="77777777" w:rsidR="009103CC" w:rsidRPr="001814D2" w:rsidRDefault="009103CC" w:rsidP="002718DF">
            <w:pPr>
              <w:pStyle w:val="Tabletext"/>
              <w:jc w:val="right"/>
            </w:pPr>
            <w:r w:rsidRPr="001814D2">
              <w:t>155,484</w:t>
            </w:r>
          </w:p>
        </w:tc>
        <w:tc>
          <w:tcPr>
            <w:tcW w:w="708" w:type="pct"/>
            <w:tcMar>
              <w:top w:w="0" w:type="dxa"/>
              <w:left w:w="0" w:type="dxa"/>
              <w:bottom w:w="0" w:type="dxa"/>
              <w:right w:w="0" w:type="dxa"/>
            </w:tcMar>
            <w:vAlign w:val="center"/>
          </w:tcPr>
          <w:p w14:paraId="18B255DA" w14:textId="77777777" w:rsidR="009103CC" w:rsidRPr="001814D2" w:rsidRDefault="009103CC" w:rsidP="002718DF">
            <w:pPr>
              <w:pStyle w:val="Tabletext"/>
              <w:jc w:val="right"/>
            </w:pPr>
            <w:r w:rsidRPr="001814D2">
              <w:t>119,251</w:t>
            </w:r>
          </w:p>
        </w:tc>
        <w:tc>
          <w:tcPr>
            <w:tcW w:w="708" w:type="pct"/>
            <w:tcMar>
              <w:top w:w="0" w:type="dxa"/>
              <w:left w:w="0" w:type="dxa"/>
              <w:bottom w:w="0" w:type="dxa"/>
              <w:right w:w="0" w:type="dxa"/>
            </w:tcMar>
            <w:vAlign w:val="center"/>
          </w:tcPr>
          <w:p w14:paraId="0C944751" w14:textId="77777777" w:rsidR="009103CC" w:rsidRPr="001814D2" w:rsidRDefault="009103CC" w:rsidP="002718DF">
            <w:pPr>
              <w:pStyle w:val="Tabletext"/>
              <w:jc w:val="right"/>
            </w:pPr>
            <w:r w:rsidRPr="001814D2">
              <w:t>154,015</w:t>
            </w:r>
          </w:p>
        </w:tc>
        <w:tc>
          <w:tcPr>
            <w:tcW w:w="706" w:type="pct"/>
            <w:tcMar>
              <w:top w:w="0" w:type="dxa"/>
              <w:left w:w="0" w:type="dxa"/>
              <w:bottom w:w="0" w:type="dxa"/>
              <w:right w:w="0" w:type="dxa"/>
            </w:tcMar>
            <w:vAlign w:val="center"/>
          </w:tcPr>
          <w:p w14:paraId="2F80ADF7" w14:textId="77777777" w:rsidR="009103CC" w:rsidRPr="001814D2" w:rsidRDefault="009103CC" w:rsidP="002718DF">
            <w:pPr>
              <w:pStyle w:val="Tabletext"/>
              <w:jc w:val="right"/>
            </w:pPr>
            <w:r w:rsidRPr="001814D2">
              <w:t>117,888</w:t>
            </w:r>
          </w:p>
        </w:tc>
      </w:tr>
      <w:tr w:rsidR="009103CC" w:rsidRPr="001814D2" w14:paraId="26112DB7" w14:textId="77777777" w:rsidTr="002718DF">
        <w:trPr>
          <w:cantSplit/>
          <w:trHeight w:hRule="exact" w:val="332"/>
        </w:trPr>
        <w:tc>
          <w:tcPr>
            <w:tcW w:w="2170" w:type="pct"/>
            <w:tcMar>
              <w:top w:w="0" w:type="dxa"/>
              <w:left w:w="0" w:type="dxa"/>
              <w:bottom w:w="0" w:type="dxa"/>
              <w:right w:w="0" w:type="dxa"/>
            </w:tcMar>
            <w:vAlign w:val="center"/>
          </w:tcPr>
          <w:p w14:paraId="41FCCEA4"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1A904DE9" w14:textId="77777777" w:rsidR="009103CC" w:rsidRPr="001814D2" w:rsidRDefault="009103CC" w:rsidP="002718DF">
            <w:pPr>
              <w:pStyle w:val="Tabletext"/>
              <w:jc w:val="right"/>
              <w:rPr>
                <w:rFonts w:cs="Preston"/>
                <w:szCs w:val="18"/>
              </w:rPr>
            </w:pPr>
            <w:r w:rsidRPr="001814D2">
              <w:rPr>
                <w:rFonts w:cs="Preston"/>
                <w:szCs w:val="18"/>
              </w:rPr>
              <w:t>156,234</w:t>
            </w:r>
          </w:p>
        </w:tc>
        <w:tc>
          <w:tcPr>
            <w:tcW w:w="708" w:type="pct"/>
            <w:tcMar>
              <w:top w:w="0" w:type="dxa"/>
              <w:left w:w="0" w:type="dxa"/>
              <w:bottom w:w="0" w:type="dxa"/>
              <w:right w:w="0" w:type="dxa"/>
            </w:tcMar>
            <w:vAlign w:val="center"/>
          </w:tcPr>
          <w:p w14:paraId="2D099F70" w14:textId="77777777" w:rsidR="009103CC" w:rsidRPr="001814D2" w:rsidRDefault="009103CC" w:rsidP="002718DF">
            <w:pPr>
              <w:pStyle w:val="Tabletext"/>
              <w:jc w:val="right"/>
              <w:rPr>
                <w:rFonts w:cs="Preston"/>
                <w:szCs w:val="18"/>
              </w:rPr>
            </w:pPr>
            <w:r w:rsidRPr="001814D2">
              <w:rPr>
                <w:rFonts w:cs="Preston"/>
                <w:szCs w:val="18"/>
              </w:rPr>
              <w:t>120,001</w:t>
            </w:r>
          </w:p>
        </w:tc>
        <w:tc>
          <w:tcPr>
            <w:tcW w:w="708" w:type="pct"/>
            <w:tcMar>
              <w:top w:w="0" w:type="dxa"/>
              <w:left w:w="0" w:type="dxa"/>
              <w:bottom w:w="0" w:type="dxa"/>
              <w:right w:w="0" w:type="dxa"/>
            </w:tcMar>
            <w:vAlign w:val="center"/>
          </w:tcPr>
          <w:p w14:paraId="65366394" w14:textId="77777777" w:rsidR="009103CC" w:rsidRPr="001814D2" w:rsidRDefault="009103CC" w:rsidP="002718DF">
            <w:pPr>
              <w:pStyle w:val="Tabletext"/>
              <w:jc w:val="right"/>
              <w:rPr>
                <w:rFonts w:cs="Preston"/>
                <w:szCs w:val="18"/>
              </w:rPr>
            </w:pPr>
            <w:r w:rsidRPr="001814D2">
              <w:rPr>
                <w:rFonts w:cs="Preston"/>
                <w:szCs w:val="18"/>
              </w:rPr>
              <w:t>154,765</w:t>
            </w:r>
          </w:p>
        </w:tc>
        <w:tc>
          <w:tcPr>
            <w:tcW w:w="706" w:type="pct"/>
            <w:tcMar>
              <w:top w:w="0" w:type="dxa"/>
              <w:left w:w="0" w:type="dxa"/>
              <w:bottom w:w="0" w:type="dxa"/>
              <w:right w:w="0" w:type="dxa"/>
            </w:tcMar>
            <w:vAlign w:val="center"/>
          </w:tcPr>
          <w:p w14:paraId="72970113" w14:textId="77777777" w:rsidR="009103CC" w:rsidRPr="001814D2" w:rsidRDefault="009103CC" w:rsidP="002718DF">
            <w:pPr>
              <w:pStyle w:val="Tabletext"/>
              <w:jc w:val="right"/>
              <w:rPr>
                <w:rFonts w:cs="Preston"/>
                <w:szCs w:val="18"/>
              </w:rPr>
            </w:pPr>
            <w:r w:rsidRPr="001814D2">
              <w:rPr>
                <w:rFonts w:cs="Preston"/>
                <w:szCs w:val="18"/>
              </w:rPr>
              <w:t>118,638</w:t>
            </w:r>
          </w:p>
        </w:tc>
      </w:tr>
    </w:tbl>
    <w:p w14:paraId="7C138A09" w14:textId="77777777" w:rsidR="009103CC" w:rsidRPr="001814D2" w:rsidRDefault="009103CC" w:rsidP="009103CC">
      <w:pPr>
        <w:pStyle w:val="Tabletext"/>
      </w:pPr>
    </w:p>
    <w:p w14:paraId="14A38331" w14:textId="77777777" w:rsidR="009103CC" w:rsidRPr="001814D2" w:rsidRDefault="009103CC" w:rsidP="009103CC">
      <w:pPr>
        <w:pStyle w:val="ARbody"/>
      </w:pPr>
      <w:r w:rsidRPr="001814D2">
        <w:t>The Gallery receives bequests and donations to be used in accordance with the deed of trust or other documents governing these funds. These funds have been invested in Short Term deposits and TCorpIM Investment facilities until which time they are required to fund activities to which they have been granted. See Note 8</w:t>
      </w:r>
    </w:p>
    <w:p w14:paraId="5FECB575" w14:textId="77777777" w:rsidR="009103CC" w:rsidRPr="001814D2" w:rsidRDefault="009103CC" w:rsidP="009103CC">
      <w:pPr>
        <w:pStyle w:val="ARbody"/>
      </w:pPr>
      <w:r w:rsidRPr="001814D2">
        <w:t>The Gallery receives monies and gifts of works of art. The aggregate of these contributions received for the year has been stated as revenue in the ‘Donations and gifts’ in the Statement of Profit or Loss and Other Comprehensive Income. These revenues provide for expenditure in the current year and in future years. Any revenues unspent in the current year have been carried forward for appropriate expenditure in future years.</w:t>
      </w:r>
    </w:p>
    <w:tbl>
      <w:tblPr>
        <w:tblW w:w="5000" w:type="pct"/>
        <w:tblBorders>
          <w:bottom w:val="single" w:sz="4" w:space="0" w:color="auto"/>
          <w:insideH w:val="single" w:sz="4" w:space="0" w:color="auto"/>
        </w:tblBorders>
        <w:tblCellMar>
          <w:left w:w="0" w:type="dxa"/>
          <w:right w:w="0" w:type="dxa"/>
        </w:tblCellMar>
        <w:tblLook w:val="0000" w:firstRow="0" w:lastRow="0" w:firstColumn="0" w:lastColumn="0" w:noHBand="0" w:noVBand="0"/>
        <w:tblCaption w:val="5 Current assets - cash and cash equivalents"/>
        <w:tblDescription w:val="This table provides figures for 2020 and 2021 for both the consolidated entity and parent entity."/>
      </w:tblPr>
      <w:tblGrid>
        <w:gridCol w:w="3937"/>
        <w:gridCol w:w="1284"/>
        <w:gridCol w:w="1284"/>
        <w:gridCol w:w="1284"/>
        <w:gridCol w:w="1281"/>
      </w:tblGrid>
      <w:tr w:rsidR="009103CC" w:rsidRPr="00E32786" w14:paraId="5B06BA20" w14:textId="77777777" w:rsidTr="002718DF">
        <w:trPr>
          <w:cantSplit/>
          <w:trHeight w:hRule="exact" w:val="332"/>
          <w:tblHeader/>
        </w:trPr>
        <w:tc>
          <w:tcPr>
            <w:tcW w:w="2170" w:type="pct"/>
            <w:tcMar>
              <w:top w:w="0" w:type="dxa"/>
              <w:left w:w="0" w:type="dxa"/>
              <w:bottom w:w="0" w:type="dxa"/>
              <w:right w:w="0" w:type="dxa"/>
            </w:tcMar>
            <w:vAlign w:val="center"/>
          </w:tcPr>
          <w:p w14:paraId="16FA2E5C" w14:textId="77777777" w:rsidR="009103CC" w:rsidRPr="00E32786" w:rsidRDefault="009103CC" w:rsidP="002718DF">
            <w:pPr>
              <w:pStyle w:val="Tabletext"/>
              <w:jc w:val="center"/>
              <w:rPr>
                <w:b/>
                <w:bCs/>
              </w:rPr>
            </w:pPr>
          </w:p>
        </w:tc>
        <w:tc>
          <w:tcPr>
            <w:tcW w:w="1416" w:type="pct"/>
            <w:gridSpan w:val="2"/>
            <w:tcMar>
              <w:top w:w="0" w:type="dxa"/>
              <w:left w:w="0" w:type="dxa"/>
              <w:bottom w:w="0" w:type="dxa"/>
              <w:right w:w="0" w:type="dxa"/>
            </w:tcMar>
            <w:vAlign w:val="center"/>
          </w:tcPr>
          <w:p w14:paraId="16D145A2" w14:textId="77777777" w:rsidR="009103CC" w:rsidRPr="00E32786" w:rsidRDefault="009103CC" w:rsidP="002718DF">
            <w:pPr>
              <w:pStyle w:val="Tabletext"/>
              <w:jc w:val="center"/>
              <w:rPr>
                <w:rFonts w:cs="Preston"/>
                <w:b/>
                <w:bCs/>
                <w:szCs w:val="18"/>
              </w:rPr>
            </w:pPr>
            <w:r w:rsidRPr="00E32786">
              <w:rPr>
                <w:rFonts w:cs="Preston"/>
                <w:b/>
                <w:bCs/>
                <w:szCs w:val="18"/>
              </w:rPr>
              <w:t>Consolidated entity</w:t>
            </w:r>
          </w:p>
        </w:tc>
        <w:tc>
          <w:tcPr>
            <w:tcW w:w="1414" w:type="pct"/>
            <w:gridSpan w:val="2"/>
            <w:tcMar>
              <w:top w:w="0" w:type="dxa"/>
              <w:left w:w="0" w:type="dxa"/>
              <w:bottom w:w="0" w:type="dxa"/>
              <w:right w:w="0" w:type="dxa"/>
            </w:tcMar>
            <w:vAlign w:val="center"/>
          </w:tcPr>
          <w:p w14:paraId="756912E4" w14:textId="77777777" w:rsidR="009103CC" w:rsidRPr="00E32786" w:rsidRDefault="009103CC" w:rsidP="002718DF">
            <w:pPr>
              <w:pStyle w:val="Tabletext"/>
              <w:jc w:val="center"/>
              <w:rPr>
                <w:rFonts w:cs="Preston"/>
                <w:b/>
                <w:bCs/>
                <w:szCs w:val="18"/>
              </w:rPr>
            </w:pPr>
            <w:r w:rsidRPr="00E32786">
              <w:rPr>
                <w:rFonts w:cs="Preston"/>
                <w:b/>
                <w:bCs/>
                <w:szCs w:val="18"/>
              </w:rPr>
              <w:t>Parent entity</w:t>
            </w:r>
          </w:p>
        </w:tc>
      </w:tr>
      <w:tr w:rsidR="009103CC" w:rsidRPr="00E32786" w14:paraId="4F68ACCB" w14:textId="77777777" w:rsidTr="002718DF">
        <w:trPr>
          <w:cantSplit/>
          <w:trHeight w:hRule="exact" w:val="553"/>
          <w:tblHeader/>
        </w:trPr>
        <w:tc>
          <w:tcPr>
            <w:tcW w:w="2170" w:type="pct"/>
            <w:tcMar>
              <w:top w:w="0" w:type="dxa"/>
              <w:left w:w="0" w:type="dxa"/>
              <w:bottom w:w="0" w:type="dxa"/>
              <w:right w:w="0" w:type="dxa"/>
            </w:tcMar>
            <w:vAlign w:val="center"/>
          </w:tcPr>
          <w:p w14:paraId="2C1F3CDC" w14:textId="77777777" w:rsidR="009103CC" w:rsidRPr="00E32786" w:rsidRDefault="009103CC" w:rsidP="002718DF">
            <w:pPr>
              <w:pStyle w:val="Tabletext"/>
              <w:rPr>
                <w:b/>
                <w:bCs/>
              </w:rPr>
            </w:pPr>
            <w:r w:rsidRPr="00E32786">
              <w:rPr>
                <w:b/>
                <w:bCs/>
              </w:rPr>
              <w:t>5 Current assets – cash and cash equivalents</w:t>
            </w:r>
          </w:p>
          <w:p w14:paraId="456E9897" w14:textId="77777777" w:rsidR="009103CC" w:rsidRPr="00E32786" w:rsidRDefault="009103CC" w:rsidP="002718DF">
            <w:pPr>
              <w:pStyle w:val="Tabletext"/>
              <w:rPr>
                <w:rFonts w:cs="Preston"/>
                <w:b/>
                <w:bCs/>
                <w:szCs w:val="18"/>
              </w:rPr>
            </w:pPr>
          </w:p>
        </w:tc>
        <w:tc>
          <w:tcPr>
            <w:tcW w:w="708" w:type="pct"/>
            <w:tcMar>
              <w:top w:w="0" w:type="dxa"/>
              <w:left w:w="0" w:type="dxa"/>
              <w:bottom w:w="0" w:type="dxa"/>
              <w:right w:w="0" w:type="dxa"/>
            </w:tcMar>
            <w:vAlign w:val="center"/>
          </w:tcPr>
          <w:p w14:paraId="3EE0BC70" w14:textId="77777777" w:rsidR="009103CC" w:rsidRPr="00E32786" w:rsidRDefault="009103CC" w:rsidP="002718DF">
            <w:pPr>
              <w:pStyle w:val="Tabletext"/>
              <w:jc w:val="right"/>
              <w:rPr>
                <w:rFonts w:cs="Preston"/>
                <w:b/>
                <w:bCs/>
                <w:szCs w:val="18"/>
              </w:rPr>
            </w:pPr>
            <w:r w:rsidRPr="00E32786">
              <w:rPr>
                <w:rFonts w:cs="Preston"/>
                <w:b/>
                <w:bCs/>
                <w:szCs w:val="18"/>
              </w:rPr>
              <w:t>2021</w:t>
            </w:r>
          </w:p>
          <w:p w14:paraId="4EA9D786" w14:textId="77777777" w:rsidR="009103CC" w:rsidRPr="00E32786" w:rsidRDefault="009103CC" w:rsidP="002718DF">
            <w:pPr>
              <w:pStyle w:val="Tabletext"/>
              <w:jc w:val="right"/>
              <w:rPr>
                <w:rFonts w:cs="Preston"/>
                <w:b/>
                <w:bCs/>
                <w:szCs w:val="18"/>
              </w:rPr>
            </w:pPr>
            <w:r w:rsidRPr="00E32786">
              <w:rPr>
                <w:rFonts w:cs="Preston"/>
                <w:b/>
                <w:bCs/>
                <w:szCs w:val="18"/>
              </w:rPr>
              <w:t>$'000</w:t>
            </w:r>
          </w:p>
        </w:tc>
        <w:tc>
          <w:tcPr>
            <w:tcW w:w="708" w:type="pct"/>
            <w:tcMar>
              <w:top w:w="0" w:type="dxa"/>
              <w:left w:w="0" w:type="dxa"/>
              <w:bottom w:w="0" w:type="dxa"/>
              <w:right w:w="0" w:type="dxa"/>
            </w:tcMar>
            <w:vAlign w:val="center"/>
          </w:tcPr>
          <w:p w14:paraId="64BE0A6A" w14:textId="77777777" w:rsidR="009103CC" w:rsidRPr="00E32786" w:rsidRDefault="009103CC" w:rsidP="002718DF">
            <w:pPr>
              <w:pStyle w:val="Tabletext"/>
              <w:jc w:val="right"/>
              <w:rPr>
                <w:rFonts w:cs="Preston"/>
                <w:b/>
                <w:bCs/>
                <w:szCs w:val="18"/>
              </w:rPr>
            </w:pPr>
            <w:r w:rsidRPr="00E32786">
              <w:rPr>
                <w:rFonts w:cs="Preston"/>
                <w:b/>
                <w:bCs/>
                <w:szCs w:val="18"/>
              </w:rPr>
              <w:t>2020</w:t>
            </w:r>
          </w:p>
          <w:p w14:paraId="69A2836F" w14:textId="77777777" w:rsidR="009103CC" w:rsidRPr="00E32786" w:rsidRDefault="009103CC" w:rsidP="002718DF">
            <w:pPr>
              <w:pStyle w:val="Tabletext"/>
              <w:jc w:val="right"/>
              <w:rPr>
                <w:rFonts w:cs="Preston"/>
                <w:b/>
                <w:bCs/>
                <w:szCs w:val="18"/>
              </w:rPr>
            </w:pPr>
            <w:r w:rsidRPr="00E32786">
              <w:rPr>
                <w:rFonts w:cs="Preston"/>
                <w:b/>
                <w:bCs/>
                <w:szCs w:val="18"/>
              </w:rPr>
              <w:t>$'000</w:t>
            </w:r>
          </w:p>
        </w:tc>
        <w:tc>
          <w:tcPr>
            <w:tcW w:w="708" w:type="pct"/>
            <w:tcMar>
              <w:top w:w="0" w:type="dxa"/>
              <w:left w:w="0" w:type="dxa"/>
              <w:bottom w:w="0" w:type="dxa"/>
              <w:right w:w="0" w:type="dxa"/>
            </w:tcMar>
            <w:vAlign w:val="center"/>
          </w:tcPr>
          <w:p w14:paraId="1A992DFD" w14:textId="77777777" w:rsidR="009103CC" w:rsidRPr="00E32786" w:rsidRDefault="009103CC" w:rsidP="002718DF">
            <w:pPr>
              <w:pStyle w:val="Tabletext"/>
              <w:jc w:val="right"/>
              <w:rPr>
                <w:rFonts w:cs="Preston"/>
                <w:b/>
                <w:bCs/>
                <w:szCs w:val="18"/>
              </w:rPr>
            </w:pPr>
            <w:r w:rsidRPr="00E32786">
              <w:rPr>
                <w:rFonts w:cs="Preston"/>
                <w:b/>
                <w:bCs/>
                <w:szCs w:val="18"/>
              </w:rPr>
              <w:t>2021</w:t>
            </w:r>
          </w:p>
          <w:p w14:paraId="018615A3" w14:textId="77777777" w:rsidR="009103CC" w:rsidRPr="00E32786" w:rsidRDefault="009103CC" w:rsidP="002718DF">
            <w:pPr>
              <w:pStyle w:val="Tabletext"/>
              <w:jc w:val="right"/>
              <w:rPr>
                <w:rFonts w:cs="Preston"/>
                <w:b/>
                <w:bCs/>
                <w:szCs w:val="18"/>
              </w:rPr>
            </w:pPr>
            <w:r w:rsidRPr="00E32786">
              <w:rPr>
                <w:rFonts w:cs="Preston"/>
                <w:b/>
                <w:bCs/>
                <w:szCs w:val="18"/>
              </w:rPr>
              <w:t>$'000</w:t>
            </w:r>
          </w:p>
          <w:p w14:paraId="0FF8AFB6" w14:textId="77777777" w:rsidR="009103CC" w:rsidRPr="00E32786" w:rsidRDefault="009103CC" w:rsidP="002718DF">
            <w:pPr>
              <w:pStyle w:val="Tabletext"/>
              <w:jc w:val="right"/>
              <w:rPr>
                <w:rFonts w:cs="Preston"/>
                <w:b/>
                <w:bCs/>
                <w:szCs w:val="18"/>
              </w:rPr>
            </w:pPr>
          </w:p>
        </w:tc>
        <w:tc>
          <w:tcPr>
            <w:tcW w:w="706" w:type="pct"/>
            <w:tcMar>
              <w:top w:w="0" w:type="dxa"/>
              <w:left w:w="0" w:type="dxa"/>
              <w:bottom w:w="0" w:type="dxa"/>
              <w:right w:w="0" w:type="dxa"/>
            </w:tcMar>
            <w:vAlign w:val="center"/>
          </w:tcPr>
          <w:p w14:paraId="52799403" w14:textId="77777777" w:rsidR="009103CC" w:rsidRPr="00E32786" w:rsidRDefault="009103CC" w:rsidP="002718DF">
            <w:pPr>
              <w:pStyle w:val="Tabletext"/>
              <w:jc w:val="right"/>
              <w:rPr>
                <w:rFonts w:cs="Preston"/>
                <w:b/>
                <w:bCs/>
                <w:szCs w:val="18"/>
              </w:rPr>
            </w:pPr>
            <w:r w:rsidRPr="00E32786">
              <w:rPr>
                <w:rFonts w:cs="Preston"/>
                <w:b/>
                <w:bCs/>
                <w:szCs w:val="18"/>
              </w:rPr>
              <w:t>2020</w:t>
            </w:r>
          </w:p>
          <w:p w14:paraId="1D301397" w14:textId="77777777" w:rsidR="009103CC" w:rsidRPr="00E32786" w:rsidRDefault="009103CC" w:rsidP="002718DF">
            <w:pPr>
              <w:pStyle w:val="Tabletext"/>
              <w:jc w:val="right"/>
              <w:rPr>
                <w:rFonts w:cs="Preston"/>
                <w:b/>
                <w:bCs/>
                <w:szCs w:val="18"/>
              </w:rPr>
            </w:pPr>
            <w:r w:rsidRPr="00E32786">
              <w:rPr>
                <w:rFonts w:cs="Preston"/>
                <w:b/>
                <w:bCs/>
                <w:szCs w:val="18"/>
              </w:rPr>
              <w:t>$'000</w:t>
            </w:r>
          </w:p>
          <w:p w14:paraId="586C5794" w14:textId="77777777" w:rsidR="009103CC" w:rsidRPr="00E32786" w:rsidRDefault="009103CC" w:rsidP="002718DF">
            <w:pPr>
              <w:pStyle w:val="Tabletext"/>
              <w:jc w:val="right"/>
              <w:rPr>
                <w:rFonts w:cs="Preston"/>
                <w:b/>
                <w:bCs/>
                <w:szCs w:val="18"/>
              </w:rPr>
            </w:pPr>
          </w:p>
        </w:tc>
      </w:tr>
      <w:tr w:rsidR="009103CC" w:rsidRPr="001814D2" w14:paraId="56023E97" w14:textId="77777777" w:rsidTr="002718DF">
        <w:trPr>
          <w:cantSplit/>
          <w:trHeight w:hRule="exact" w:val="332"/>
        </w:trPr>
        <w:tc>
          <w:tcPr>
            <w:tcW w:w="2170" w:type="pct"/>
            <w:tcMar>
              <w:top w:w="0" w:type="dxa"/>
              <w:left w:w="0" w:type="dxa"/>
              <w:bottom w:w="0" w:type="dxa"/>
              <w:right w:w="0" w:type="dxa"/>
            </w:tcMar>
            <w:vAlign w:val="center"/>
          </w:tcPr>
          <w:p w14:paraId="7DB9D464" w14:textId="77777777" w:rsidR="009103CC" w:rsidRPr="001814D2" w:rsidRDefault="009103CC" w:rsidP="002718DF">
            <w:pPr>
              <w:pStyle w:val="Tabletext"/>
            </w:pPr>
            <w:r w:rsidRPr="001814D2">
              <w:t>Cash at bank and on hand</w:t>
            </w:r>
          </w:p>
        </w:tc>
        <w:tc>
          <w:tcPr>
            <w:tcW w:w="708" w:type="pct"/>
            <w:tcMar>
              <w:top w:w="0" w:type="dxa"/>
              <w:left w:w="0" w:type="dxa"/>
              <w:bottom w:w="0" w:type="dxa"/>
              <w:right w:w="0" w:type="dxa"/>
            </w:tcMar>
            <w:vAlign w:val="center"/>
          </w:tcPr>
          <w:p w14:paraId="5D15E8B4" w14:textId="77777777" w:rsidR="009103CC" w:rsidRPr="001814D2" w:rsidRDefault="009103CC" w:rsidP="002718DF">
            <w:pPr>
              <w:pStyle w:val="Tabletext"/>
              <w:jc w:val="right"/>
              <w:rPr>
                <w:rFonts w:cs="Preston"/>
                <w:szCs w:val="18"/>
              </w:rPr>
            </w:pPr>
            <w:r w:rsidRPr="001814D2">
              <w:rPr>
                <w:rFonts w:cs="Preston"/>
                <w:szCs w:val="18"/>
              </w:rPr>
              <w:t>3,549</w:t>
            </w:r>
          </w:p>
        </w:tc>
        <w:tc>
          <w:tcPr>
            <w:tcW w:w="708" w:type="pct"/>
            <w:tcMar>
              <w:top w:w="0" w:type="dxa"/>
              <w:left w:w="0" w:type="dxa"/>
              <w:bottom w:w="0" w:type="dxa"/>
              <w:right w:w="0" w:type="dxa"/>
            </w:tcMar>
            <w:vAlign w:val="center"/>
          </w:tcPr>
          <w:p w14:paraId="2C8D1C48" w14:textId="77777777" w:rsidR="009103CC" w:rsidRPr="001814D2" w:rsidRDefault="009103CC" w:rsidP="002718DF">
            <w:pPr>
              <w:pStyle w:val="Tabletext"/>
              <w:jc w:val="right"/>
              <w:rPr>
                <w:rFonts w:cs="Preston"/>
                <w:szCs w:val="18"/>
              </w:rPr>
            </w:pPr>
            <w:r w:rsidRPr="001814D2">
              <w:rPr>
                <w:rFonts w:cs="Preston"/>
                <w:szCs w:val="18"/>
              </w:rPr>
              <w:t>3,950</w:t>
            </w:r>
          </w:p>
        </w:tc>
        <w:tc>
          <w:tcPr>
            <w:tcW w:w="708" w:type="pct"/>
            <w:tcMar>
              <w:top w:w="0" w:type="dxa"/>
              <w:left w:w="0" w:type="dxa"/>
              <w:bottom w:w="0" w:type="dxa"/>
              <w:right w:w="0" w:type="dxa"/>
            </w:tcMar>
            <w:vAlign w:val="center"/>
          </w:tcPr>
          <w:p w14:paraId="3C82B64C" w14:textId="77777777" w:rsidR="009103CC" w:rsidRPr="001814D2" w:rsidRDefault="009103CC" w:rsidP="002718DF">
            <w:pPr>
              <w:pStyle w:val="Tabletext"/>
              <w:jc w:val="right"/>
              <w:rPr>
                <w:rFonts w:cs="Preston"/>
                <w:szCs w:val="18"/>
              </w:rPr>
            </w:pPr>
            <w:r w:rsidRPr="001814D2">
              <w:rPr>
                <w:rFonts w:cs="Preston"/>
                <w:szCs w:val="18"/>
              </w:rPr>
              <w:t>3,479</w:t>
            </w:r>
          </w:p>
        </w:tc>
        <w:tc>
          <w:tcPr>
            <w:tcW w:w="706" w:type="pct"/>
            <w:tcMar>
              <w:top w:w="0" w:type="dxa"/>
              <w:left w:w="0" w:type="dxa"/>
              <w:bottom w:w="0" w:type="dxa"/>
              <w:right w:w="0" w:type="dxa"/>
            </w:tcMar>
            <w:vAlign w:val="center"/>
          </w:tcPr>
          <w:p w14:paraId="7D9847AA" w14:textId="77777777" w:rsidR="009103CC" w:rsidRPr="001814D2" w:rsidRDefault="009103CC" w:rsidP="002718DF">
            <w:pPr>
              <w:pStyle w:val="Tabletext"/>
              <w:jc w:val="right"/>
              <w:rPr>
                <w:rFonts w:cs="Preston"/>
                <w:szCs w:val="18"/>
              </w:rPr>
            </w:pPr>
            <w:r w:rsidRPr="001814D2">
              <w:rPr>
                <w:rFonts w:cs="Preston"/>
                <w:szCs w:val="18"/>
              </w:rPr>
              <w:t>3,902</w:t>
            </w:r>
          </w:p>
        </w:tc>
      </w:tr>
      <w:tr w:rsidR="009103CC" w:rsidRPr="001814D2" w14:paraId="78CA5CF3" w14:textId="77777777" w:rsidTr="002718DF">
        <w:trPr>
          <w:cantSplit/>
          <w:trHeight w:hRule="exact" w:val="332"/>
        </w:trPr>
        <w:tc>
          <w:tcPr>
            <w:tcW w:w="2170" w:type="pct"/>
            <w:tcMar>
              <w:top w:w="0" w:type="dxa"/>
              <w:left w:w="0" w:type="dxa"/>
              <w:bottom w:w="0" w:type="dxa"/>
              <w:right w:w="0" w:type="dxa"/>
            </w:tcMar>
            <w:vAlign w:val="center"/>
          </w:tcPr>
          <w:p w14:paraId="2F280E2F"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2EB4E70F" w14:textId="77777777" w:rsidR="009103CC" w:rsidRPr="001814D2" w:rsidRDefault="009103CC" w:rsidP="002718DF">
            <w:pPr>
              <w:pStyle w:val="Tabletext"/>
              <w:jc w:val="right"/>
              <w:rPr>
                <w:rFonts w:cs="Preston"/>
                <w:szCs w:val="18"/>
              </w:rPr>
            </w:pPr>
            <w:r w:rsidRPr="001814D2">
              <w:rPr>
                <w:rFonts w:cs="Preston"/>
                <w:szCs w:val="18"/>
              </w:rPr>
              <w:t>3,549</w:t>
            </w:r>
          </w:p>
        </w:tc>
        <w:tc>
          <w:tcPr>
            <w:tcW w:w="708" w:type="pct"/>
            <w:tcMar>
              <w:top w:w="0" w:type="dxa"/>
              <w:left w:w="0" w:type="dxa"/>
              <w:bottom w:w="0" w:type="dxa"/>
              <w:right w:w="0" w:type="dxa"/>
            </w:tcMar>
            <w:vAlign w:val="center"/>
          </w:tcPr>
          <w:p w14:paraId="6D10F6F3" w14:textId="77777777" w:rsidR="009103CC" w:rsidRPr="001814D2" w:rsidRDefault="009103CC" w:rsidP="002718DF">
            <w:pPr>
              <w:pStyle w:val="Tabletext"/>
              <w:jc w:val="right"/>
              <w:rPr>
                <w:rFonts w:cs="Preston"/>
                <w:szCs w:val="18"/>
              </w:rPr>
            </w:pPr>
            <w:r w:rsidRPr="001814D2">
              <w:rPr>
                <w:rFonts w:cs="Preston"/>
                <w:szCs w:val="18"/>
              </w:rPr>
              <w:t>3,950</w:t>
            </w:r>
          </w:p>
        </w:tc>
        <w:tc>
          <w:tcPr>
            <w:tcW w:w="708" w:type="pct"/>
            <w:tcMar>
              <w:top w:w="0" w:type="dxa"/>
              <w:left w:w="0" w:type="dxa"/>
              <w:bottom w:w="0" w:type="dxa"/>
              <w:right w:w="0" w:type="dxa"/>
            </w:tcMar>
            <w:vAlign w:val="center"/>
          </w:tcPr>
          <w:p w14:paraId="3EDEB393" w14:textId="77777777" w:rsidR="009103CC" w:rsidRPr="001814D2" w:rsidRDefault="009103CC" w:rsidP="002718DF">
            <w:pPr>
              <w:pStyle w:val="Tabletext"/>
              <w:jc w:val="right"/>
              <w:rPr>
                <w:rFonts w:cs="Preston"/>
                <w:szCs w:val="18"/>
              </w:rPr>
            </w:pPr>
            <w:r w:rsidRPr="001814D2">
              <w:rPr>
                <w:rFonts w:cs="Preston"/>
                <w:szCs w:val="18"/>
              </w:rPr>
              <w:t>3,479</w:t>
            </w:r>
          </w:p>
        </w:tc>
        <w:tc>
          <w:tcPr>
            <w:tcW w:w="706" w:type="pct"/>
            <w:tcMar>
              <w:top w:w="0" w:type="dxa"/>
              <w:left w:w="0" w:type="dxa"/>
              <w:bottom w:w="0" w:type="dxa"/>
              <w:right w:w="0" w:type="dxa"/>
            </w:tcMar>
            <w:vAlign w:val="center"/>
          </w:tcPr>
          <w:p w14:paraId="009BEC71" w14:textId="77777777" w:rsidR="009103CC" w:rsidRPr="001814D2" w:rsidRDefault="009103CC" w:rsidP="002718DF">
            <w:pPr>
              <w:pStyle w:val="Tabletext"/>
              <w:jc w:val="right"/>
              <w:rPr>
                <w:rFonts w:cs="Preston"/>
                <w:szCs w:val="18"/>
              </w:rPr>
            </w:pPr>
            <w:r w:rsidRPr="001814D2">
              <w:rPr>
                <w:rFonts w:cs="Preston"/>
                <w:szCs w:val="18"/>
              </w:rPr>
              <w:t>3,902</w:t>
            </w:r>
          </w:p>
        </w:tc>
      </w:tr>
    </w:tbl>
    <w:p w14:paraId="065CD570" w14:textId="77777777" w:rsidR="009103CC" w:rsidRPr="001814D2" w:rsidRDefault="009103CC" w:rsidP="009103CC">
      <w:pPr>
        <w:pStyle w:val="Tabletext"/>
      </w:pPr>
    </w:p>
    <w:p w14:paraId="3274CBC8" w14:textId="77777777" w:rsidR="009103CC" w:rsidRPr="001814D2" w:rsidRDefault="009103CC" w:rsidP="009103CC">
      <w:pPr>
        <w:pStyle w:val="ARbody"/>
      </w:pPr>
      <w:r w:rsidRPr="001814D2">
        <w:t>For the purpose of the Statement of Cash Flows, cash and cash equivalents includes cash at bank, cash on hand and short term deposits with original maturity of three months or less. Interest is earned on daily bank balances and received monthly at the normal commercial rate. Details regarding credit risk, liquidity risk and market risk arising from financial instruments are disclosed at notes 14.</w:t>
      </w:r>
    </w:p>
    <w:tbl>
      <w:tblPr>
        <w:tblW w:w="5000" w:type="pct"/>
        <w:tblBorders>
          <w:bottom w:val="single" w:sz="4" w:space="0" w:color="auto"/>
          <w:insideH w:val="single" w:sz="4" w:space="0" w:color="auto"/>
        </w:tblBorders>
        <w:tblCellMar>
          <w:left w:w="0" w:type="dxa"/>
          <w:right w:w="0" w:type="dxa"/>
        </w:tblCellMar>
        <w:tblLook w:val="0000" w:firstRow="0" w:lastRow="0" w:firstColumn="0" w:lastColumn="0" w:noHBand="0" w:noVBand="0"/>
        <w:tblCaption w:val="6 Current assets - receivables"/>
        <w:tblDescription w:val="This table provides figures for 2020 and 2021 for both the consolidated entity and parent entity."/>
      </w:tblPr>
      <w:tblGrid>
        <w:gridCol w:w="3937"/>
        <w:gridCol w:w="1284"/>
        <w:gridCol w:w="1284"/>
        <w:gridCol w:w="1284"/>
        <w:gridCol w:w="1281"/>
      </w:tblGrid>
      <w:tr w:rsidR="009103CC" w:rsidRPr="00E32786" w14:paraId="7F359660" w14:textId="77777777" w:rsidTr="002718DF">
        <w:trPr>
          <w:cantSplit/>
          <w:trHeight w:hRule="exact" w:val="332"/>
          <w:tblHeader/>
        </w:trPr>
        <w:tc>
          <w:tcPr>
            <w:tcW w:w="2170" w:type="pct"/>
            <w:tcMar>
              <w:top w:w="0" w:type="dxa"/>
              <w:left w:w="0" w:type="dxa"/>
              <w:bottom w:w="0" w:type="dxa"/>
              <w:right w:w="0" w:type="dxa"/>
            </w:tcMar>
            <w:vAlign w:val="center"/>
          </w:tcPr>
          <w:p w14:paraId="45BA83EF" w14:textId="77777777" w:rsidR="009103CC" w:rsidRPr="00E32786" w:rsidRDefault="009103CC" w:rsidP="002718DF">
            <w:pPr>
              <w:pStyle w:val="Tabletext"/>
              <w:jc w:val="center"/>
              <w:rPr>
                <w:b/>
                <w:bCs/>
              </w:rPr>
            </w:pPr>
          </w:p>
        </w:tc>
        <w:tc>
          <w:tcPr>
            <w:tcW w:w="1416" w:type="pct"/>
            <w:gridSpan w:val="2"/>
            <w:tcMar>
              <w:top w:w="0" w:type="dxa"/>
              <w:left w:w="0" w:type="dxa"/>
              <w:bottom w:w="0" w:type="dxa"/>
              <w:right w:w="0" w:type="dxa"/>
            </w:tcMar>
            <w:vAlign w:val="center"/>
          </w:tcPr>
          <w:p w14:paraId="1F643E38" w14:textId="77777777" w:rsidR="009103CC" w:rsidRPr="00E32786" w:rsidRDefault="009103CC" w:rsidP="002718DF">
            <w:pPr>
              <w:pStyle w:val="Tabletext"/>
              <w:jc w:val="center"/>
              <w:rPr>
                <w:rFonts w:cs="Preston"/>
                <w:b/>
                <w:bCs/>
                <w:szCs w:val="18"/>
              </w:rPr>
            </w:pPr>
            <w:r w:rsidRPr="00E32786">
              <w:rPr>
                <w:rFonts w:cs="Preston"/>
                <w:b/>
                <w:bCs/>
                <w:szCs w:val="18"/>
              </w:rPr>
              <w:t>Consolidated entity</w:t>
            </w:r>
          </w:p>
        </w:tc>
        <w:tc>
          <w:tcPr>
            <w:tcW w:w="1414" w:type="pct"/>
            <w:gridSpan w:val="2"/>
            <w:tcMar>
              <w:top w:w="0" w:type="dxa"/>
              <w:left w:w="0" w:type="dxa"/>
              <w:bottom w:w="0" w:type="dxa"/>
              <w:right w:w="0" w:type="dxa"/>
            </w:tcMar>
            <w:vAlign w:val="center"/>
          </w:tcPr>
          <w:p w14:paraId="63B3AE60" w14:textId="77777777" w:rsidR="009103CC" w:rsidRPr="00E32786" w:rsidRDefault="009103CC" w:rsidP="002718DF">
            <w:pPr>
              <w:pStyle w:val="Tabletext"/>
              <w:jc w:val="center"/>
              <w:rPr>
                <w:rFonts w:cs="Preston"/>
                <w:b/>
                <w:bCs/>
                <w:szCs w:val="18"/>
              </w:rPr>
            </w:pPr>
            <w:r w:rsidRPr="00E32786">
              <w:rPr>
                <w:rFonts w:cs="Preston"/>
                <w:b/>
                <w:bCs/>
                <w:szCs w:val="18"/>
              </w:rPr>
              <w:t>Parent entity</w:t>
            </w:r>
          </w:p>
        </w:tc>
      </w:tr>
      <w:tr w:rsidR="009103CC" w:rsidRPr="00E32786" w14:paraId="11A772D5" w14:textId="77777777" w:rsidTr="002718DF">
        <w:trPr>
          <w:cantSplit/>
          <w:trHeight w:hRule="exact" w:val="553"/>
          <w:tblHeader/>
        </w:trPr>
        <w:tc>
          <w:tcPr>
            <w:tcW w:w="2170" w:type="pct"/>
            <w:tcMar>
              <w:top w:w="0" w:type="dxa"/>
              <w:left w:w="0" w:type="dxa"/>
              <w:bottom w:w="0" w:type="dxa"/>
              <w:right w:w="0" w:type="dxa"/>
            </w:tcMar>
            <w:vAlign w:val="center"/>
          </w:tcPr>
          <w:p w14:paraId="45D6EA98" w14:textId="77777777" w:rsidR="009103CC" w:rsidRPr="00E32786" w:rsidRDefault="009103CC" w:rsidP="002718DF">
            <w:pPr>
              <w:pStyle w:val="Tabletext"/>
              <w:rPr>
                <w:b/>
                <w:bCs/>
              </w:rPr>
            </w:pPr>
            <w:r w:rsidRPr="00E32786">
              <w:rPr>
                <w:b/>
                <w:bCs/>
              </w:rPr>
              <w:t>6 Current assets – receivables</w:t>
            </w:r>
          </w:p>
          <w:p w14:paraId="60F29DA9" w14:textId="77777777" w:rsidR="009103CC" w:rsidRPr="00E32786" w:rsidRDefault="009103CC" w:rsidP="002718DF">
            <w:pPr>
              <w:pStyle w:val="Tabletext"/>
              <w:rPr>
                <w:rFonts w:cs="Preston"/>
                <w:b/>
                <w:bCs/>
                <w:szCs w:val="18"/>
              </w:rPr>
            </w:pPr>
          </w:p>
        </w:tc>
        <w:tc>
          <w:tcPr>
            <w:tcW w:w="708" w:type="pct"/>
            <w:tcMar>
              <w:top w:w="0" w:type="dxa"/>
              <w:left w:w="0" w:type="dxa"/>
              <w:bottom w:w="0" w:type="dxa"/>
              <w:right w:w="0" w:type="dxa"/>
            </w:tcMar>
            <w:vAlign w:val="center"/>
          </w:tcPr>
          <w:p w14:paraId="5697516E" w14:textId="77777777" w:rsidR="009103CC" w:rsidRPr="00E32786" w:rsidRDefault="009103CC" w:rsidP="002718DF">
            <w:pPr>
              <w:pStyle w:val="Tabletext"/>
              <w:jc w:val="right"/>
              <w:rPr>
                <w:rFonts w:cs="Preston"/>
                <w:b/>
                <w:bCs/>
                <w:szCs w:val="18"/>
              </w:rPr>
            </w:pPr>
            <w:r w:rsidRPr="00E32786">
              <w:rPr>
                <w:rFonts w:cs="Preston"/>
                <w:b/>
                <w:bCs/>
                <w:szCs w:val="18"/>
              </w:rPr>
              <w:t>2021</w:t>
            </w:r>
          </w:p>
          <w:p w14:paraId="061BDE87" w14:textId="77777777" w:rsidR="009103CC" w:rsidRPr="00E32786" w:rsidRDefault="009103CC" w:rsidP="002718DF">
            <w:pPr>
              <w:pStyle w:val="Tabletext"/>
              <w:jc w:val="right"/>
              <w:rPr>
                <w:rFonts w:cs="Preston"/>
                <w:b/>
                <w:bCs/>
                <w:szCs w:val="18"/>
              </w:rPr>
            </w:pPr>
            <w:r w:rsidRPr="00E32786">
              <w:rPr>
                <w:rFonts w:cs="Preston"/>
                <w:b/>
                <w:bCs/>
                <w:szCs w:val="18"/>
              </w:rPr>
              <w:t>$'000</w:t>
            </w:r>
          </w:p>
        </w:tc>
        <w:tc>
          <w:tcPr>
            <w:tcW w:w="708" w:type="pct"/>
            <w:tcMar>
              <w:top w:w="0" w:type="dxa"/>
              <w:left w:w="0" w:type="dxa"/>
              <w:bottom w:w="0" w:type="dxa"/>
              <w:right w:w="0" w:type="dxa"/>
            </w:tcMar>
            <w:vAlign w:val="center"/>
          </w:tcPr>
          <w:p w14:paraId="7634944A" w14:textId="77777777" w:rsidR="009103CC" w:rsidRPr="00E32786" w:rsidRDefault="009103CC" w:rsidP="002718DF">
            <w:pPr>
              <w:pStyle w:val="Tabletext"/>
              <w:jc w:val="right"/>
              <w:rPr>
                <w:rFonts w:cs="Preston"/>
                <w:b/>
                <w:bCs/>
                <w:szCs w:val="18"/>
              </w:rPr>
            </w:pPr>
            <w:r w:rsidRPr="00E32786">
              <w:rPr>
                <w:rFonts w:cs="Preston"/>
                <w:b/>
                <w:bCs/>
                <w:szCs w:val="18"/>
              </w:rPr>
              <w:t>2020</w:t>
            </w:r>
          </w:p>
          <w:p w14:paraId="5A29E460" w14:textId="77777777" w:rsidR="009103CC" w:rsidRPr="00E32786" w:rsidRDefault="009103CC" w:rsidP="002718DF">
            <w:pPr>
              <w:pStyle w:val="Tabletext"/>
              <w:jc w:val="right"/>
              <w:rPr>
                <w:rFonts w:cs="Preston"/>
                <w:b/>
                <w:bCs/>
                <w:szCs w:val="18"/>
              </w:rPr>
            </w:pPr>
            <w:r w:rsidRPr="00E32786">
              <w:rPr>
                <w:rFonts w:cs="Preston"/>
                <w:b/>
                <w:bCs/>
                <w:szCs w:val="18"/>
              </w:rPr>
              <w:t>$'000</w:t>
            </w:r>
          </w:p>
        </w:tc>
        <w:tc>
          <w:tcPr>
            <w:tcW w:w="708" w:type="pct"/>
            <w:tcMar>
              <w:top w:w="0" w:type="dxa"/>
              <w:left w:w="0" w:type="dxa"/>
              <w:bottom w:w="0" w:type="dxa"/>
              <w:right w:w="0" w:type="dxa"/>
            </w:tcMar>
            <w:vAlign w:val="center"/>
          </w:tcPr>
          <w:p w14:paraId="142B1CB5" w14:textId="77777777" w:rsidR="009103CC" w:rsidRPr="00E32786" w:rsidRDefault="009103CC" w:rsidP="002718DF">
            <w:pPr>
              <w:pStyle w:val="Tabletext"/>
              <w:jc w:val="right"/>
              <w:rPr>
                <w:rFonts w:cs="Preston"/>
                <w:b/>
                <w:bCs/>
                <w:szCs w:val="18"/>
              </w:rPr>
            </w:pPr>
            <w:r w:rsidRPr="00E32786">
              <w:rPr>
                <w:rFonts w:cs="Preston"/>
                <w:b/>
                <w:bCs/>
                <w:szCs w:val="18"/>
              </w:rPr>
              <w:t>2021</w:t>
            </w:r>
          </w:p>
          <w:p w14:paraId="54F8F976" w14:textId="77777777" w:rsidR="009103CC" w:rsidRPr="00E32786" w:rsidRDefault="009103CC" w:rsidP="002718DF">
            <w:pPr>
              <w:pStyle w:val="Tabletext"/>
              <w:jc w:val="right"/>
              <w:rPr>
                <w:rFonts w:cs="Preston"/>
                <w:b/>
                <w:bCs/>
                <w:szCs w:val="18"/>
              </w:rPr>
            </w:pPr>
            <w:r w:rsidRPr="00E32786">
              <w:rPr>
                <w:rFonts w:cs="Preston"/>
                <w:b/>
                <w:bCs/>
                <w:szCs w:val="18"/>
              </w:rPr>
              <w:t>$'000</w:t>
            </w:r>
          </w:p>
          <w:p w14:paraId="6E86F610" w14:textId="77777777" w:rsidR="009103CC" w:rsidRPr="00E32786" w:rsidRDefault="009103CC" w:rsidP="002718DF">
            <w:pPr>
              <w:pStyle w:val="Tabletext"/>
              <w:jc w:val="right"/>
              <w:rPr>
                <w:rFonts w:cs="Preston"/>
                <w:b/>
                <w:bCs/>
                <w:szCs w:val="18"/>
              </w:rPr>
            </w:pPr>
          </w:p>
        </w:tc>
        <w:tc>
          <w:tcPr>
            <w:tcW w:w="706" w:type="pct"/>
            <w:tcMar>
              <w:top w:w="0" w:type="dxa"/>
              <w:left w:w="0" w:type="dxa"/>
              <w:bottom w:w="0" w:type="dxa"/>
              <w:right w:w="0" w:type="dxa"/>
            </w:tcMar>
            <w:vAlign w:val="center"/>
          </w:tcPr>
          <w:p w14:paraId="4A9AA79E" w14:textId="77777777" w:rsidR="009103CC" w:rsidRPr="00E32786" w:rsidRDefault="009103CC" w:rsidP="002718DF">
            <w:pPr>
              <w:pStyle w:val="Tabletext"/>
              <w:jc w:val="right"/>
              <w:rPr>
                <w:rFonts w:cs="Preston"/>
                <w:b/>
                <w:bCs/>
                <w:szCs w:val="18"/>
              </w:rPr>
            </w:pPr>
            <w:r w:rsidRPr="00E32786">
              <w:rPr>
                <w:rFonts w:cs="Preston"/>
                <w:b/>
                <w:bCs/>
                <w:szCs w:val="18"/>
              </w:rPr>
              <w:t>2020</w:t>
            </w:r>
          </w:p>
          <w:p w14:paraId="2A1D3024" w14:textId="77777777" w:rsidR="009103CC" w:rsidRPr="00E32786" w:rsidRDefault="009103CC" w:rsidP="002718DF">
            <w:pPr>
              <w:pStyle w:val="Tabletext"/>
              <w:jc w:val="right"/>
              <w:rPr>
                <w:rFonts w:cs="Preston"/>
                <w:b/>
                <w:bCs/>
                <w:szCs w:val="18"/>
              </w:rPr>
            </w:pPr>
            <w:r w:rsidRPr="00E32786">
              <w:rPr>
                <w:rFonts w:cs="Preston"/>
                <w:b/>
                <w:bCs/>
                <w:szCs w:val="18"/>
              </w:rPr>
              <w:t>$'000</w:t>
            </w:r>
          </w:p>
          <w:p w14:paraId="3CCCA374" w14:textId="77777777" w:rsidR="009103CC" w:rsidRPr="00E32786" w:rsidRDefault="009103CC" w:rsidP="002718DF">
            <w:pPr>
              <w:pStyle w:val="Tabletext"/>
              <w:jc w:val="right"/>
              <w:rPr>
                <w:rFonts w:cs="Preston"/>
                <w:b/>
                <w:bCs/>
                <w:szCs w:val="18"/>
              </w:rPr>
            </w:pPr>
          </w:p>
        </w:tc>
      </w:tr>
      <w:tr w:rsidR="009103CC" w:rsidRPr="001814D2" w14:paraId="3CD6C974" w14:textId="77777777" w:rsidTr="002718DF">
        <w:trPr>
          <w:cantSplit/>
          <w:trHeight w:hRule="exact" w:val="332"/>
        </w:trPr>
        <w:tc>
          <w:tcPr>
            <w:tcW w:w="2170" w:type="pct"/>
            <w:tcMar>
              <w:top w:w="0" w:type="dxa"/>
              <w:left w:w="0" w:type="dxa"/>
              <w:bottom w:w="0" w:type="dxa"/>
              <w:right w:w="0" w:type="dxa"/>
            </w:tcMar>
            <w:vAlign w:val="center"/>
          </w:tcPr>
          <w:p w14:paraId="5FED191D" w14:textId="77777777" w:rsidR="009103CC" w:rsidRPr="001814D2" w:rsidRDefault="009103CC" w:rsidP="002718DF">
            <w:pPr>
              <w:pStyle w:val="Tabletext"/>
            </w:pPr>
            <w:r w:rsidRPr="001814D2">
              <w:t>Trade debtors (sale of goods and services)</w:t>
            </w:r>
          </w:p>
        </w:tc>
        <w:tc>
          <w:tcPr>
            <w:tcW w:w="708" w:type="pct"/>
            <w:tcMar>
              <w:top w:w="0" w:type="dxa"/>
              <w:left w:w="0" w:type="dxa"/>
              <w:bottom w:w="0" w:type="dxa"/>
              <w:right w:w="0" w:type="dxa"/>
            </w:tcMar>
            <w:vAlign w:val="center"/>
          </w:tcPr>
          <w:p w14:paraId="25E94F2B" w14:textId="77777777" w:rsidR="009103CC" w:rsidRPr="001814D2" w:rsidRDefault="009103CC" w:rsidP="002718DF">
            <w:pPr>
              <w:pStyle w:val="Tabletext"/>
              <w:jc w:val="right"/>
              <w:rPr>
                <w:rFonts w:cs="Preston"/>
                <w:szCs w:val="18"/>
              </w:rPr>
            </w:pPr>
            <w:r w:rsidRPr="001814D2">
              <w:rPr>
                <w:rFonts w:cs="Preston"/>
                <w:szCs w:val="18"/>
              </w:rPr>
              <w:t>1,596</w:t>
            </w:r>
          </w:p>
        </w:tc>
        <w:tc>
          <w:tcPr>
            <w:tcW w:w="708" w:type="pct"/>
            <w:tcMar>
              <w:top w:w="0" w:type="dxa"/>
              <w:left w:w="0" w:type="dxa"/>
              <w:bottom w:w="0" w:type="dxa"/>
              <w:right w:w="0" w:type="dxa"/>
            </w:tcMar>
            <w:vAlign w:val="center"/>
          </w:tcPr>
          <w:p w14:paraId="028EF21A" w14:textId="77777777" w:rsidR="009103CC" w:rsidRPr="001814D2" w:rsidRDefault="009103CC" w:rsidP="002718DF">
            <w:pPr>
              <w:pStyle w:val="Tabletext"/>
              <w:jc w:val="right"/>
              <w:rPr>
                <w:rFonts w:cs="Preston"/>
                <w:szCs w:val="18"/>
              </w:rPr>
            </w:pPr>
            <w:r w:rsidRPr="001814D2">
              <w:rPr>
                <w:rFonts w:cs="Preston"/>
                <w:szCs w:val="18"/>
              </w:rPr>
              <w:t>517</w:t>
            </w:r>
          </w:p>
        </w:tc>
        <w:tc>
          <w:tcPr>
            <w:tcW w:w="708" w:type="pct"/>
            <w:tcMar>
              <w:top w:w="0" w:type="dxa"/>
              <w:left w:w="0" w:type="dxa"/>
              <w:bottom w:w="0" w:type="dxa"/>
              <w:right w:w="0" w:type="dxa"/>
            </w:tcMar>
            <w:vAlign w:val="center"/>
          </w:tcPr>
          <w:p w14:paraId="40EA7BE1" w14:textId="77777777" w:rsidR="009103CC" w:rsidRPr="001814D2" w:rsidRDefault="009103CC" w:rsidP="002718DF">
            <w:pPr>
              <w:pStyle w:val="Tabletext"/>
              <w:jc w:val="right"/>
              <w:rPr>
                <w:rFonts w:cs="Preston"/>
                <w:szCs w:val="18"/>
              </w:rPr>
            </w:pPr>
            <w:r w:rsidRPr="001814D2">
              <w:rPr>
                <w:rFonts w:cs="Preston"/>
                <w:szCs w:val="18"/>
              </w:rPr>
              <w:t>1,596</w:t>
            </w:r>
          </w:p>
        </w:tc>
        <w:tc>
          <w:tcPr>
            <w:tcW w:w="706" w:type="pct"/>
            <w:tcMar>
              <w:top w:w="0" w:type="dxa"/>
              <w:left w:w="0" w:type="dxa"/>
              <w:bottom w:w="0" w:type="dxa"/>
              <w:right w:w="0" w:type="dxa"/>
            </w:tcMar>
            <w:vAlign w:val="center"/>
          </w:tcPr>
          <w:p w14:paraId="7E9F3590" w14:textId="77777777" w:rsidR="009103CC" w:rsidRPr="001814D2" w:rsidRDefault="009103CC" w:rsidP="002718DF">
            <w:pPr>
              <w:pStyle w:val="Tabletext"/>
              <w:jc w:val="right"/>
              <w:rPr>
                <w:rFonts w:cs="Preston"/>
                <w:szCs w:val="18"/>
              </w:rPr>
            </w:pPr>
            <w:r w:rsidRPr="001814D2">
              <w:rPr>
                <w:rFonts w:cs="Preston"/>
                <w:szCs w:val="18"/>
              </w:rPr>
              <w:t>517</w:t>
            </w:r>
          </w:p>
        </w:tc>
      </w:tr>
      <w:tr w:rsidR="009103CC" w:rsidRPr="001814D2" w14:paraId="709CCF14" w14:textId="77777777" w:rsidTr="002718DF">
        <w:trPr>
          <w:cantSplit/>
          <w:trHeight w:hRule="exact" w:val="332"/>
        </w:trPr>
        <w:tc>
          <w:tcPr>
            <w:tcW w:w="2170" w:type="pct"/>
            <w:tcMar>
              <w:top w:w="0" w:type="dxa"/>
              <w:left w:w="0" w:type="dxa"/>
              <w:bottom w:w="0" w:type="dxa"/>
              <w:right w:w="0" w:type="dxa"/>
            </w:tcMar>
            <w:vAlign w:val="center"/>
          </w:tcPr>
          <w:p w14:paraId="16FB2F99" w14:textId="77777777" w:rsidR="009103CC" w:rsidRPr="001814D2" w:rsidRDefault="009103CC" w:rsidP="002718DF">
            <w:pPr>
              <w:pStyle w:val="Tabletext"/>
            </w:pPr>
            <w:r w:rsidRPr="001814D2">
              <w:t>Accrued income</w:t>
            </w:r>
          </w:p>
        </w:tc>
        <w:tc>
          <w:tcPr>
            <w:tcW w:w="708" w:type="pct"/>
            <w:tcMar>
              <w:top w:w="0" w:type="dxa"/>
              <w:left w:w="0" w:type="dxa"/>
              <w:bottom w:w="0" w:type="dxa"/>
              <w:right w:w="0" w:type="dxa"/>
            </w:tcMar>
            <w:vAlign w:val="center"/>
          </w:tcPr>
          <w:p w14:paraId="3D5DCCDC" w14:textId="77777777" w:rsidR="009103CC" w:rsidRPr="001814D2" w:rsidRDefault="009103CC" w:rsidP="002718DF">
            <w:pPr>
              <w:pStyle w:val="Tabletext"/>
              <w:jc w:val="right"/>
              <w:rPr>
                <w:rFonts w:cs="Preston"/>
                <w:szCs w:val="18"/>
              </w:rPr>
            </w:pPr>
            <w:r w:rsidRPr="001814D2">
              <w:rPr>
                <w:rFonts w:cs="Preston"/>
                <w:szCs w:val="18"/>
              </w:rPr>
              <w:t>565</w:t>
            </w:r>
          </w:p>
        </w:tc>
        <w:tc>
          <w:tcPr>
            <w:tcW w:w="708" w:type="pct"/>
            <w:tcMar>
              <w:top w:w="0" w:type="dxa"/>
              <w:left w:w="0" w:type="dxa"/>
              <w:bottom w:w="0" w:type="dxa"/>
              <w:right w:w="0" w:type="dxa"/>
            </w:tcMar>
            <w:vAlign w:val="center"/>
          </w:tcPr>
          <w:p w14:paraId="5288EA50" w14:textId="77777777" w:rsidR="009103CC" w:rsidRPr="001814D2" w:rsidRDefault="009103CC" w:rsidP="002718DF">
            <w:pPr>
              <w:pStyle w:val="Tabletext"/>
              <w:jc w:val="right"/>
              <w:rPr>
                <w:rFonts w:cs="Preston"/>
                <w:szCs w:val="18"/>
              </w:rPr>
            </w:pPr>
            <w:r w:rsidRPr="001814D2">
              <w:rPr>
                <w:rFonts w:cs="Preston"/>
                <w:szCs w:val="18"/>
              </w:rPr>
              <w:t>9</w:t>
            </w:r>
          </w:p>
        </w:tc>
        <w:tc>
          <w:tcPr>
            <w:tcW w:w="708" w:type="pct"/>
            <w:tcMar>
              <w:top w:w="0" w:type="dxa"/>
              <w:left w:w="0" w:type="dxa"/>
              <w:bottom w:w="0" w:type="dxa"/>
              <w:right w:w="0" w:type="dxa"/>
            </w:tcMar>
            <w:vAlign w:val="center"/>
          </w:tcPr>
          <w:p w14:paraId="6991E975" w14:textId="77777777" w:rsidR="009103CC" w:rsidRPr="001814D2" w:rsidRDefault="009103CC" w:rsidP="002718DF">
            <w:pPr>
              <w:pStyle w:val="Tabletext"/>
              <w:jc w:val="right"/>
              <w:rPr>
                <w:rFonts w:cs="Preston"/>
                <w:szCs w:val="18"/>
              </w:rPr>
            </w:pPr>
            <w:r w:rsidRPr="001814D2">
              <w:rPr>
                <w:rFonts w:cs="Preston"/>
                <w:szCs w:val="18"/>
              </w:rPr>
              <w:t>565</w:t>
            </w:r>
          </w:p>
        </w:tc>
        <w:tc>
          <w:tcPr>
            <w:tcW w:w="706" w:type="pct"/>
            <w:tcMar>
              <w:top w:w="0" w:type="dxa"/>
              <w:left w:w="0" w:type="dxa"/>
              <w:bottom w:w="0" w:type="dxa"/>
              <w:right w:w="0" w:type="dxa"/>
            </w:tcMar>
            <w:vAlign w:val="center"/>
          </w:tcPr>
          <w:p w14:paraId="1DB62B03" w14:textId="77777777" w:rsidR="009103CC" w:rsidRPr="001814D2" w:rsidRDefault="009103CC" w:rsidP="002718DF">
            <w:pPr>
              <w:pStyle w:val="Tabletext"/>
              <w:jc w:val="right"/>
              <w:rPr>
                <w:rFonts w:cs="Preston"/>
                <w:szCs w:val="18"/>
              </w:rPr>
            </w:pPr>
            <w:r w:rsidRPr="001814D2">
              <w:rPr>
                <w:rFonts w:cs="Preston"/>
                <w:szCs w:val="18"/>
              </w:rPr>
              <w:t>9</w:t>
            </w:r>
          </w:p>
        </w:tc>
      </w:tr>
      <w:tr w:rsidR="009103CC" w:rsidRPr="001814D2" w14:paraId="51E94E8A" w14:textId="77777777" w:rsidTr="002718DF">
        <w:trPr>
          <w:cantSplit/>
          <w:trHeight w:hRule="exact" w:val="332"/>
        </w:trPr>
        <w:tc>
          <w:tcPr>
            <w:tcW w:w="2170" w:type="pct"/>
            <w:tcMar>
              <w:top w:w="0" w:type="dxa"/>
              <w:left w:w="0" w:type="dxa"/>
              <w:bottom w:w="0" w:type="dxa"/>
              <w:right w:w="0" w:type="dxa"/>
            </w:tcMar>
            <w:vAlign w:val="center"/>
          </w:tcPr>
          <w:p w14:paraId="4AC12CEC" w14:textId="77777777" w:rsidR="009103CC" w:rsidRPr="001814D2" w:rsidRDefault="009103CC" w:rsidP="002718DF">
            <w:pPr>
              <w:pStyle w:val="Tabletext"/>
            </w:pPr>
            <w:r w:rsidRPr="001814D2">
              <w:t>Other receivables</w:t>
            </w:r>
          </w:p>
        </w:tc>
        <w:tc>
          <w:tcPr>
            <w:tcW w:w="708" w:type="pct"/>
            <w:tcMar>
              <w:top w:w="0" w:type="dxa"/>
              <w:left w:w="0" w:type="dxa"/>
              <w:bottom w:w="0" w:type="dxa"/>
              <w:right w:w="0" w:type="dxa"/>
            </w:tcMar>
            <w:vAlign w:val="center"/>
          </w:tcPr>
          <w:p w14:paraId="6FE540E8" w14:textId="77777777" w:rsidR="009103CC" w:rsidRPr="001814D2" w:rsidRDefault="009103CC" w:rsidP="002718DF">
            <w:pPr>
              <w:pStyle w:val="Tabletext"/>
              <w:jc w:val="right"/>
              <w:rPr>
                <w:rFonts w:cs="Preston"/>
                <w:szCs w:val="18"/>
              </w:rPr>
            </w:pPr>
            <w:r w:rsidRPr="001814D2">
              <w:rPr>
                <w:rFonts w:cs="Preston"/>
                <w:szCs w:val="18"/>
              </w:rPr>
              <w:t>4</w:t>
            </w:r>
          </w:p>
        </w:tc>
        <w:tc>
          <w:tcPr>
            <w:tcW w:w="708" w:type="pct"/>
            <w:tcMar>
              <w:top w:w="0" w:type="dxa"/>
              <w:left w:w="0" w:type="dxa"/>
              <w:bottom w:w="0" w:type="dxa"/>
              <w:right w:w="0" w:type="dxa"/>
            </w:tcMar>
            <w:vAlign w:val="center"/>
          </w:tcPr>
          <w:p w14:paraId="48F8090E" w14:textId="77777777" w:rsidR="009103CC" w:rsidRPr="001814D2" w:rsidRDefault="009103CC" w:rsidP="002718DF">
            <w:pPr>
              <w:pStyle w:val="Tabletext"/>
              <w:jc w:val="right"/>
              <w:rPr>
                <w:rFonts w:cs="Preston"/>
                <w:szCs w:val="18"/>
              </w:rPr>
            </w:pPr>
            <w:r w:rsidRPr="001814D2">
              <w:rPr>
                <w:rFonts w:cs="Preston"/>
                <w:szCs w:val="18"/>
              </w:rPr>
              <w:t>2,605</w:t>
            </w:r>
          </w:p>
        </w:tc>
        <w:tc>
          <w:tcPr>
            <w:tcW w:w="708" w:type="pct"/>
            <w:tcMar>
              <w:top w:w="0" w:type="dxa"/>
              <w:left w:w="0" w:type="dxa"/>
              <w:bottom w:w="0" w:type="dxa"/>
              <w:right w:w="0" w:type="dxa"/>
            </w:tcMar>
            <w:vAlign w:val="center"/>
          </w:tcPr>
          <w:p w14:paraId="6E8032D4" w14:textId="77777777" w:rsidR="009103CC" w:rsidRPr="001814D2" w:rsidRDefault="009103CC" w:rsidP="002718DF">
            <w:pPr>
              <w:pStyle w:val="Tabletext"/>
              <w:jc w:val="right"/>
              <w:rPr>
                <w:rFonts w:cs="Preston"/>
                <w:szCs w:val="18"/>
              </w:rPr>
            </w:pPr>
            <w:r w:rsidRPr="001814D2">
              <w:rPr>
                <w:rFonts w:cs="Preston"/>
                <w:szCs w:val="18"/>
              </w:rPr>
              <w:t>4</w:t>
            </w:r>
          </w:p>
        </w:tc>
        <w:tc>
          <w:tcPr>
            <w:tcW w:w="706" w:type="pct"/>
            <w:tcMar>
              <w:top w:w="0" w:type="dxa"/>
              <w:left w:w="0" w:type="dxa"/>
              <w:bottom w:w="0" w:type="dxa"/>
              <w:right w:w="0" w:type="dxa"/>
            </w:tcMar>
            <w:vAlign w:val="center"/>
          </w:tcPr>
          <w:p w14:paraId="472AD990" w14:textId="77777777" w:rsidR="009103CC" w:rsidRPr="001814D2" w:rsidRDefault="009103CC" w:rsidP="002718DF">
            <w:pPr>
              <w:pStyle w:val="Tabletext"/>
              <w:jc w:val="right"/>
              <w:rPr>
                <w:rFonts w:cs="Preston"/>
                <w:szCs w:val="18"/>
              </w:rPr>
            </w:pPr>
            <w:r w:rsidRPr="001814D2">
              <w:rPr>
                <w:rFonts w:cs="Preston"/>
                <w:szCs w:val="18"/>
              </w:rPr>
              <w:t>2,605</w:t>
            </w:r>
          </w:p>
        </w:tc>
      </w:tr>
      <w:tr w:rsidR="009103CC" w:rsidRPr="001814D2" w14:paraId="410BAEBC" w14:textId="77777777" w:rsidTr="002718DF">
        <w:trPr>
          <w:cantSplit/>
          <w:trHeight w:hRule="exact" w:val="332"/>
        </w:trPr>
        <w:tc>
          <w:tcPr>
            <w:tcW w:w="2170" w:type="pct"/>
            <w:tcMar>
              <w:top w:w="0" w:type="dxa"/>
              <w:left w:w="0" w:type="dxa"/>
              <w:bottom w:w="0" w:type="dxa"/>
              <w:right w:w="0" w:type="dxa"/>
            </w:tcMar>
            <w:vAlign w:val="center"/>
          </w:tcPr>
          <w:p w14:paraId="7E76ED2E" w14:textId="77777777" w:rsidR="009103CC" w:rsidRPr="001814D2" w:rsidRDefault="009103CC" w:rsidP="002718DF">
            <w:pPr>
              <w:pStyle w:val="Tabletext"/>
            </w:pPr>
            <w:r w:rsidRPr="001814D2">
              <w:t>Prepayments</w:t>
            </w:r>
          </w:p>
        </w:tc>
        <w:tc>
          <w:tcPr>
            <w:tcW w:w="708" w:type="pct"/>
            <w:tcMar>
              <w:top w:w="0" w:type="dxa"/>
              <w:left w:w="0" w:type="dxa"/>
              <w:bottom w:w="0" w:type="dxa"/>
              <w:right w:w="0" w:type="dxa"/>
            </w:tcMar>
            <w:vAlign w:val="center"/>
          </w:tcPr>
          <w:p w14:paraId="3375F0E0" w14:textId="77777777" w:rsidR="009103CC" w:rsidRPr="001814D2" w:rsidRDefault="009103CC" w:rsidP="002718DF">
            <w:pPr>
              <w:pStyle w:val="Tabletext"/>
              <w:jc w:val="right"/>
              <w:rPr>
                <w:rFonts w:cs="Preston"/>
                <w:szCs w:val="18"/>
              </w:rPr>
            </w:pPr>
            <w:r w:rsidRPr="001814D2">
              <w:rPr>
                <w:rFonts w:cs="Preston"/>
                <w:szCs w:val="18"/>
              </w:rPr>
              <w:t>41,666</w:t>
            </w:r>
          </w:p>
        </w:tc>
        <w:tc>
          <w:tcPr>
            <w:tcW w:w="708" w:type="pct"/>
            <w:tcMar>
              <w:top w:w="0" w:type="dxa"/>
              <w:left w:w="0" w:type="dxa"/>
              <w:bottom w:w="0" w:type="dxa"/>
              <w:right w:w="0" w:type="dxa"/>
            </w:tcMar>
            <w:vAlign w:val="center"/>
          </w:tcPr>
          <w:p w14:paraId="4EA6A242" w14:textId="77777777" w:rsidR="009103CC" w:rsidRPr="001814D2" w:rsidRDefault="009103CC" w:rsidP="002718DF">
            <w:pPr>
              <w:pStyle w:val="Tabletext"/>
              <w:jc w:val="right"/>
              <w:rPr>
                <w:rFonts w:cs="Preston"/>
                <w:szCs w:val="18"/>
              </w:rPr>
            </w:pPr>
            <w:r w:rsidRPr="001814D2">
              <w:rPr>
                <w:rFonts w:cs="Preston"/>
                <w:szCs w:val="18"/>
              </w:rPr>
              <w:t>372</w:t>
            </w:r>
          </w:p>
        </w:tc>
        <w:tc>
          <w:tcPr>
            <w:tcW w:w="708" w:type="pct"/>
            <w:tcMar>
              <w:top w:w="0" w:type="dxa"/>
              <w:left w:w="0" w:type="dxa"/>
              <w:bottom w:w="0" w:type="dxa"/>
              <w:right w:w="0" w:type="dxa"/>
            </w:tcMar>
            <w:vAlign w:val="center"/>
          </w:tcPr>
          <w:p w14:paraId="69AB927E" w14:textId="77777777" w:rsidR="009103CC" w:rsidRPr="001814D2" w:rsidRDefault="009103CC" w:rsidP="002718DF">
            <w:pPr>
              <w:pStyle w:val="Tabletext"/>
              <w:jc w:val="right"/>
              <w:rPr>
                <w:rFonts w:cs="Preston"/>
                <w:szCs w:val="18"/>
              </w:rPr>
            </w:pPr>
            <w:r w:rsidRPr="001814D2">
              <w:rPr>
                <w:rFonts w:cs="Preston"/>
                <w:szCs w:val="18"/>
              </w:rPr>
              <w:t>41,666</w:t>
            </w:r>
          </w:p>
        </w:tc>
        <w:tc>
          <w:tcPr>
            <w:tcW w:w="706" w:type="pct"/>
            <w:tcMar>
              <w:top w:w="0" w:type="dxa"/>
              <w:left w:w="0" w:type="dxa"/>
              <w:bottom w:w="0" w:type="dxa"/>
              <w:right w:w="0" w:type="dxa"/>
            </w:tcMar>
            <w:vAlign w:val="center"/>
          </w:tcPr>
          <w:p w14:paraId="761FE7C7" w14:textId="77777777" w:rsidR="009103CC" w:rsidRPr="001814D2" w:rsidRDefault="009103CC" w:rsidP="002718DF">
            <w:pPr>
              <w:pStyle w:val="Tabletext"/>
              <w:jc w:val="right"/>
              <w:rPr>
                <w:rFonts w:cs="Preston"/>
                <w:szCs w:val="18"/>
              </w:rPr>
            </w:pPr>
            <w:r w:rsidRPr="001814D2">
              <w:rPr>
                <w:rFonts w:cs="Preston"/>
                <w:szCs w:val="18"/>
              </w:rPr>
              <w:t>372</w:t>
            </w:r>
          </w:p>
        </w:tc>
      </w:tr>
      <w:tr w:rsidR="009103CC" w:rsidRPr="001814D2" w14:paraId="17580171" w14:textId="77777777" w:rsidTr="002718DF">
        <w:trPr>
          <w:cantSplit/>
          <w:trHeight w:hRule="exact" w:val="332"/>
        </w:trPr>
        <w:tc>
          <w:tcPr>
            <w:tcW w:w="2170" w:type="pct"/>
            <w:tcMar>
              <w:top w:w="0" w:type="dxa"/>
              <w:left w:w="0" w:type="dxa"/>
              <w:bottom w:w="0" w:type="dxa"/>
              <w:right w:w="0" w:type="dxa"/>
            </w:tcMar>
            <w:vAlign w:val="center"/>
          </w:tcPr>
          <w:p w14:paraId="783B3C6F" w14:textId="77777777" w:rsidR="009103CC" w:rsidRPr="001814D2" w:rsidRDefault="009103CC" w:rsidP="002718DF">
            <w:pPr>
              <w:pStyle w:val="Tabletext"/>
              <w:rPr>
                <w:rFonts w:cs="Preston"/>
                <w:szCs w:val="18"/>
              </w:rPr>
            </w:pPr>
            <w:r w:rsidRPr="001814D2">
              <w:rPr>
                <w:rFonts w:cs="Preston"/>
                <w:szCs w:val="18"/>
              </w:rPr>
              <w:t>Total receivables</w:t>
            </w:r>
          </w:p>
        </w:tc>
        <w:tc>
          <w:tcPr>
            <w:tcW w:w="708" w:type="pct"/>
            <w:tcMar>
              <w:top w:w="0" w:type="dxa"/>
              <w:left w:w="0" w:type="dxa"/>
              <w:bottom w:w="0" w:type="dxa"/>
              <w:right w:w="0" w:type="dxa"/>
            </w:tcMar>
            <w:vAlign w:val="center"/>
          </w:tcPr>
          <w:p w14:paraId="138A5BDF" w14:textId="77777777" w:rsidR="009103CC" w:rsidRPr="001814D2" w:rsidRDefault="009103CC" w:rsidP="002718DF">
            <w:pPr>
              <w:pStyle w:val="Tabletext"/>
              <w:jc w:val="right"/>
              <w:rPr>
                <w:rFonts w:cs="Preston"/>
                <w:szCs w:val="18"/>
              </w:rPr>
            </w:pPr>
            <w:r w:rsidRPr="001814D2">
              <w:rPr>
                <w:rFonts w:cs="Preston"/>
                <w:szCs w:val="18"/>
              </w:rPr>
              <w:t>43,831</w:t>
            </w:r>
          </w:p>
        </w:tc>
        <w:tc>
          <w:tcPr>
            <w:tcW w:w="708" w:type="pct"/>
            <w:tcMar>
              <w:top w:w="0" w:type="dxa"/>
              <w:left w:w="0" w:type="dxa"/>
              <w:bottom w:w="0" w:type="dxa"/>
              <w:right w:w="0" w:type="dxa"/>
            </w:tcMar>
            <w:vAlign w:val="center"/>
          </w:tcPr>
          <w:p w14:paraId="3DF34311" w14:textId="77777777" w:rsidR="009103CC" w:rsidRPr="001814D2" w:rsidRDefault="009103CC" w:rsidP="002718DF">
            <w:pPr>
              <w:pStyle w:val="Tabletext"/>
              <w:jc w:val="right"/>
              <w:rPr>
                <w:rFonts w:cs="Preston"/>
                <w:szCs w:val="18"/>
              </w:rPr>
            </w:pPr>
            <w:r w:rsidRPr="001814D2">
              <w:rPr>
                <w:rFonts w:cs="Preston"/>
                <w:szCs w:val="18"/>
              </w:rPr>
              <w:t>3,503</w:t>
            </w:r>
          </w:p>
        </w:tc>
        <w:tc>
          <w:tcPr>
            <w:tcW w:w="708" w:type="pct"/>
            <w:tcMar>
              <w:top w:w="0" w:type="dxa"/>
              <w:left w:w="0" w:type="dxa"/>
              <w:bottom w:w="0" w:type="dxa"/>
              <w:right w:w="0" w:type="dxa"/>
            </w:tcMar>
            <w:vAlign w:val="center"/>
          </w:tcPr>
          <w:p w14:paraId="3860C0D6" w14:textId="77777777" w:rsidR="009103CC" w:rsidRPr="001814D2" w:rsidRDefault="009103CC" w:rsidP="002718DF">
            <w:pPr>
              <w:pStyle w:val="Tabletext"/>
              <w:jc w:val="right"/>
              <w:rPr>
                <w:rFonts w:cs="Preston"/>
                <w:szCs w:val="18"/>
              </w:rPr>
            </w:pPr>
            <w:r w:rsidRPr="001814D2">
              <w:rPr>
                <w:rFonts w:cs="Preston"/>
                <w:szCs w:val="18"/>
              </w:rPr>
              <w:t>43,831</w:t>
            </w:r>
          </w:p>
        </w:tc>
        <w:tc>
          <w:tcPr>
            <w:tcW w:w="706" w:type="pct"/>
            <w:tcMar>
              <w:top w:w="0" w:type="dxa"/>
              <w:left w:w="0" w:type="dxa"/>
              <w:bottom w:w="0" w:type="dxa"/>
              <w:right w:w="0" w:type="dxa"/>
            </w:tcMar>
            <w:vAlign w:val="center"/>
          </w:tcPr>
          <w:p w14:paraId="72D2AD87" w14:textId="77777777" w:rsidR="009103CC" w:rsidRPr="001814D2" w:rsidRDefault="009103CC" w:rsidP="002718DF">
            <w:pPr>
              <w:pStyle w:val="Tabletext"/>
              <w:jc w:val="right"/>
              <w:rPr>
                <w:rFonts w:cs="Preston"/>
                <w:szCs w:val="18"/>
              </w:rPr>
            </w:pPr>
            <w:r w:rsidRPr="001814D2">
              <w:rPr>
                <w:rFonts w:cs="Preston"/>
                <w:szCs w:val="18"/>
              </w:rPr>
              <w:t>3,503</w:t>
            </w:r>
          </w:p>
        </w:tc>
      </w:tr>
    </w:tbl>
    <w:p w14:paraId="263C0705" w14:textId="77777777" w:rsidR="009103CC" w:rsidRPr="001814D2" w:rsidRDefault="009103CC" w:rsidP="009103CC">
      <w:pPr>
        <w:pStyle w:val="Tabletext"/>
      </w:pPr>
    </w:p>
    <w:p w14:paraId="67E622C8" w14:textId="77777777" w:rsidR="009103CC" w:rsidRPr="001814D2" w:rsidRDefault="009103CC" w:rsidP="009103CC">
      <w:pPr>
        <w:pStyle w:val="ARbody"/>
      </w:pPr>
      <w:r w:rsidRPr="001814D2">
        <w:t>Trade and other receivables are non-derivative financial assets with fixed or determinable payments that are not quoted in an active market. These financial assets are recognised initially at fair value, usually based on the transaction cost or face value. Subsequent measurement is at amortised cost less an impairment allowance for expected credit losses. Trade debtors are considered low credit risk and therefore the impairment allowance is determined as 12 months expected credit losses however no such allowance has been made in the current year. Where deemed appropriate by management, payment plans have been entered into with trade debtors whose operations been impacted by Covid-19 during the current year. No amounts have been identified as irrecoverable during the current financial year.</w:t>
      </w:r>
    </w:p>
    <w:p w14:paraId="02D135F1" w14:textId="77777777" w:rsidR="009103CC" w:rsidRPr="001814D2" w:rsidRDefault="009103CC" w:rsidP="009103CC">
      <w:pPr>
        <w:pStyle w:val="ARbody"/>
      </w:pPr>
      <w:r w:rsidRPr="001814D2">
        <w:t>All trade debtors are recognised as amounts receivable at balance date. Collectability of trade debtors is reviewed on an ongoing basis. Procedures as established in the NSW Treasurer's Directions are followed to recover outstanding amounts, including letters of demand. Debts which are known to be uncollectible are written off. An allowance for impairment is raised when a significant increase in credit risk has occurred. Any changes are accounted for in the Statement of Comprehensive Income when impaired, derecognised or through the amortisation process. No interest is earned on trade debtors. The carrying amount approximates fair value. Sales are made on 30 day terms.</w:t>
      </w:r>
    </w:p>
    <w:p w14:paraId="2F0F0584" w14:textId="77777777" w:rsidR="009103CC" w:rsidRPr="001814D2" w:rsidRDefault="009103CC" w:rsidP="009103CC">
      <w:pPr>
        <w:pStyle w:val="ARbody"/>
      </w:pPr>
      <w:r w:rsidRPr="001814D2">
        <w:t>Details regarding credit risk, liquidity risk and market risk, including financial assets either past due or impaired are disclosed in note 14.</w:t>
      </w:r>
    </w:p>
    <w:tbl>
      <w:tblPr>
        <w:tblW w:w="5000" w:type="pct"/>
        <w:tblBorders>
          <w:bottom w:val="single" w:sz="4" w:space="0" w:color="auto"/>
          <w:insideH w:val="single" w:sz="4" w:space="0" w:color="auto"/>
        </w:tblBorders>
        <w:tblCellMar>
          <w:left w:w="0" w:type="dxa"/>
          <w:right w:w="0" w:type="dxa"/>
        </w:tblCellMar>
        <w:tblLook w:val="0000" w:firstRow="0" w:lastRow="0" w:firstColumn="0" w:lastColumn="0" w:noHBand="0" w:noVBand="0"/>
        <w:tblCaption w:val="7 Current assets - inventories"/>
        <w:tblDescription w:val="This table provides figures for 2020 and 2021 for both the consolidated entity and parent entity."/>
      </w:tblPr>
      <w:tblGrid>
        <w:gridCol w:w="3937"/>
        <w:gridCol w:w="1284"/>
        <w:gridCol w:w="1284"/>
        <w:gridCol w:w="1284"/>
        <w:gridCol w:w="1281"/>
      </w:tblGrid>
      <w:tr w:rsidR="009103CC" w:rsidRPr="00E32786" w14:paraId="73CA3518" w14:textId="77777777" w:rsidTr="002718DF">
        <w:trPr>
          <w:cantSplit/>
          <w:trHeight w:hRule="exact" w:val="332"/>
          <w:tblHeader/>
        </w:trPr>
        <w:tc>
          <w:tcPr>
            <w:tcW w:w="2170" w:type="pct"/>
            <w:tcBorders>
              <w:top w:val="nil"/>
            </w:tcBorders>
            <w:tcMar>
              <w:top w:w="0" w:type="dxa"/>
              <w:left w:w="0" w:type="dxa"/>
              <w:bottom w:w="0" w:type="dxa"/>
              <w:right w:w="0" w:type="dxa"/>
            </w:tcMar>
            <w:vAlign w:val="center"/>
          </w:tcPr>
          <w:p w14:paraId="6E535DD0" w14:textId="77777777" w:rsidR="009103CC" w:rsidRPr="00E32786" w:rsidRDefault="009103CC" w:rsidP="002718DF">
            <w:pPr>
              <w:pStyle w:val="Tabletext"/>
              <w:jc w:val="right"/>
              <w:rPr>
                <w:b/>
                <w:bCs/>
              </w:rPr>
            </w:pPr>
          </w:p>
        </w:tc>
        <w:tc>
          <w:tcPr>
            <w:tcW w:w="1416" w:type="pct"/>
            <w:gridSpan w:val="2"/>
            <w:tcBorders>
              <w:top w:val="nil"/>
            </w:tcBorders>
            <w:tcMar>
              <w:top w:w="0" w:type="dxa"/>
              <w:left w:w="0" w:type="dxa"/>
              <w:bottom w:w="0" w:type="dxa"/>
              <w:right w:w="0" w:type="dxa"/>
            </w:tcMar>
            <w:vAlign w:val="center"/>
          </w:tcPr>
          <w:p w14:paraId="0F42E2A3" w14:textId="77777777" w:rsidR="009103CC" w:rsidRPr="00E32786" w:rsidRDefault="009103CC" w:rsidP="002718DF">
            <w:pPr>
              <w:pStyle w:val="Tabletext"/>
              <w:jc w:val="right"/>
              <w:rPr>
                <w:rFonts w:cs="Preston"/>
                <w:b/>
                <w:bCs/>
                <w:szCs w:val="18"/>
              </w:rPr>
            </w:pPr>
            <w:r w:rsidRPr="00E32786">
              <w:rPr>
                <w:rFonts w:cs="Preston"/>
                <w:b/>
                <w:bCs/>
                <w:szCs w:val="18"/>
              </w:rPr>
              <w:t>Consolidated entity</w:t>
            </w:r>
          </w:p>
        </w:tc>
        <w:tc>
          <w:tcPr>
            <w:tcW w:w="1414" w:type="pct"/>
            <w:gridSpan w:val="2"/>
            <w:tcBorders>
              <w:top w:val="nil"/>
            </w:tcBorders>
            <w:tcMar>
              <w:top w:w="0" w:type="dxa"/>
              <w:left w:w="0" w:type="dxa"/>
              <w:bottom w:w="0" w:type="dxa"/>
              <w:right w:w="0" w:type="dxa"/>
            </w:tcMar>
            <w:vAlign w:val="center"/>
          </w:tcPr>
          <w:p w14:paraId="13FD3440" w14:textId="77777777" w:rsidR="009103CC" w:rsidRPr="00E32786" w:rsidRDefault="009103CC" w:rsidP="002718DF">
            <w:pPr>
              <w:pStyle w:val="Tabletext"/>
              <w:jc w:val="right"/>
              <w:rPr>
                <w:rFonts w:cs="Preston"/>
                <w:b/>
                <w:bCs/>
                <w:szCs w:val="18"/>
              </w:rPr>
            </w:pPr>
            <w:r w:rsidRPr="00E32786">
              <w:rPr>
                <w:rFonts w:cs="Preston"/>
                <w:b/>
                <w:bCs/>
                <w:szCs w:val="18"/>
              </w:rPr>
              <w:t>Parent entity</w:t>
            </w:r>
          </w:p>
        </w:tc>
      </w:tr>
      <w:tr w:rsidR="009103CC" w:rsidRPr="00E32786" w14:paraId="48FDF7B9" w14:textId="77777777" w:rsidTr="002718DF">
        <w:trPr>
          <w:cantSplit/>
          <w:trHeight w:hRule="exact" w:val="553"/>
          <w:tblHeader/>
        </w:trPr>
        <w:tc>
          <w:tcPr>
            <w:tcW w:w="2170" w:type="pct"/>
            <w:tcMar>
              <w:top w:w="0" w:type="dxa"/>
              <w:left w:w="0" w:type="dxa"/>
              <w:bottom w:w="0" w:type="dxa"/>
              <w:right w:w="0" w:type="dxa"/>
            </w:tcMar>
            <w:vAlign w:val="center"/>
          </w:tcPr>
          <w:p w14:paraId="2F63BC40" w14:textId="77777777" w:rsidR="009103CC" w:rsidRPr="00E32786" w:rsidRDefault="009103CC" w:rsidP="002718DF">
            <w:pPr>
              <w:pStyle w:val="Tabletext"/>
              <w:rPr>
                <w:b/>
                <w:bCs/>
              </w:rPr>
            </w:pPr>
            <w:r w:rsidRPr="00E32786">
              <w:rPr>
                <w:b/>
                <w:bCs/>
              </w:rPr>
              <w:t>7 Current assets – inventories</w:t>
            </w:r>
          </w:p>
          <w:p w14:paraId="2039B7B2" w14:textId="77777777" w:rsidR="009103CC" w:rsidRPr="00E32786" w:rsidRDefault="009103CC" w:rsidP="002718DF">
            <w:pPr>
              <w:pStyle w:val="Tabletext"/>
              <w:rPr>
                <w:rFonts w:cs="Preston"/>
                <w:b/>
                <w:bCs/>
                <w:szCs w:val="18"/>
              </w:rPr>
            </w:pPr>
          </w:p>
        </w:tc>
        <w:tc>
          <w:tcPr>
            <w:tcW w:w="708" w:type="pct"/>
            <w:tcMar>
              <w:top w:w="0" w:type="dxa"/>
              <w:left w:w="0" w:type="dxa"/>
              <w:bottom w:w="0" w:type="dxa"/>
              <w:right w:w="0" w:type="dxa"/>
            </w:tcMar>
            <w:vAlign w:val="center"/>
          </w:tcPr>
          <w:p w14:paraId="6148F656" w14:textId="77777777" w:rsidR="009103CC" w:rsidRPr="00E32786" w:rsidRDefault="009103CC" w:rsidP="002718DF">
            <w:pPr>
              <w:pStyle w:val="Tabletext"/>
              <w:jc w:val="right"/>
              <w:rPr>
                <w:rFonts w:cs="Preston"/>
                <w:b/>
                <w:bCs/>
                <w:szCs w:val="18"/>
              </w:rPr>
            </w:pPr>
            <w:r w:rsidRPr="00E32786">
              <w:rPr>
                <w:rFonts w:cs="Preston"/>
                <w:b/>
                <w:bCs/>
                <w:szCs w:val="18"/>
              </w:rPr>
              <w:t>2021</w:t>
            </w:r>
          </w:p>
          <w:p w14:paraId="471F36CE" w14:textId="77777777" w:rsidR="009103CC" w:rsidRPr="00E32786" w:rsidRDefault="009103CC" w:rsidP="002718DF">
            <w:pPr>
              <w:pStyle w:val="Tabletext"/>
              <w:jc w:val="right"/>
              <w:rPr>
                <w:rFonts w:cs="Preston"/>
                <w:b/>
                <w:bCs/>
                <w:szCs w:val="18"/>
              </w:rPr>
            </w:pPr>
            <w:r w:rsidRPr="00E32786">
              <w:rPr>
                <w:rFonts w:cs="Preston"/>
                <w:b/>
                <w:bCs/>
                <w:szCs w:val="18"/>
              </w:rPr>
              <w:t>$'000</w:t>
            </w:r>
          </w:p>
        </w:tc>
        <w:tc>
          <w:tcPr>
            <w:tcW w:w="708" w:type="pct"/>
            <w:tcMar>
              <w:top w:w="0" w:type="dxa"/>
              <w:left w:w="0" w:type="dxa"/>
              <w:bottom w:w="0" w:type="dxa"/>
              <w:right w:w="0" w:type="dxa"/>
            </w:tcMar>
            <w:vAlign w:val="center"/>
          </w:tcPr>
          <w:p w14:paraId="13865674" w14:textId="77777777" w:rsidR="009103CC" w:rsidRPr="00E32786" w:rsidRDefault="009103CC" w:rsidP="002718DF">
            <w:pPr>
              <w:pStyle w:val="Tabletext"/>
              <w:jc w:val="right"/>
              <w:rPr>
                <w:rFonts w:cs="Preston"/>
                <w:b/>
                <w:bCs/>
                <w:szCs w:val="18"/>
              </w:rPr>
            </w:pPr>
            <w:r w:rsidRPr="00E32786">
              <w:rPr>
                <w:rFonts w:cs="Preston"/>
                <w:b/>
                <w:bCs/>
                <w:szCs w:val="18"/>
              </w:rPr>
              <w:t>2020</w:t>
            </w:r>
          </w:p>
          <w:p w14:paraId="23AF5CE9" w14:textId="77777777" w:rsidR="009103CC" w:rsidRPr="00E32786" w:rsidRDefault="009103CC" w:rsidP="002718DF">
            <w:pPr>
              <w:pStyle w:val="Tabletext"/>
              <w:jc w:val="right"/>
              <w:rPr>
                <w:rFonts w:cs="Preston"/>
                <w:b/>
                <w:bCs/>
                <w:szCs w:val="18"/>
              </w:rPr>
            </w:pPr>
            <w:r w:rsidRPr="00E32786">
              <w:rPr>
                <w:rFonts w:cs="Preston"/>
                <w:b/>
                <w:bCs/>
                <w:szCs w:val="18"/>
              </w:rPr>
              <w:t>$'000</w:t>
            </w:r>
          </w:p>
        </w:tc>
        <w:tc>
          <w:tcPr>
            <w:tcW w:w="708" w:type="pct"/>
            <w:tcMar>
              <w:top w:w="0" w:type="dxa"/>
              <w:left w:w="0" w:type="dxa"/>
              <w:bottom w:w="0" w:type="dxa"/>
              <w:right w:w="0" w:type="dxa"/>
            </w:tcMar>
            <w:vAlign w:val="center"/>
          </w:tcPr>
          <w:p w14:paraId="198C1609" w14:textId="77777777" w:rsidR="009103CC" w:rsidRPr="00E32786" w:rsidRDefault="009103CC" w:rsidP="002718DF">
            <w:pPr>
              <w:pStyle w:val="Tabletext"/>
              <w:jc w:val="right"/>
              <w:rPr>
                <w:rFonts w:cs="Preston"/>
                <w:b/>
                <w:bCs/>
                <w:szCs w:val="18"/>
              </w:rPr>
            </w:pPr>
            <w:r w:rsidRPr="00E32786">
              <w:rPr>
                <w:rFonts w:cs="Preston"/>
                <w:b/>
                <w:bCs/>
                <w:szCs w:val="18"/>
              </w:rPr>
              <w:t>2021</w:t>
            </w:r>
          </w:p>
          <w:p w14:paraId="2E36245F" w14:textId="77777777" w:rsidR="009103CC" w:rsidRPr="00E32786" w:rsidRDefault="009103CC" w:rsidP="002718DF">
            <w:pPr>
              <w:pStyle w:val="Tabletext"/>
              <w:jc w:val="right"/>
              <w:rPr>
                <w:rFonts w:cs="Preston"/>
                <w:b/>
                <w:bCs/>
                <w:szCs w:val="18"/>
              </w:rPr>
            </w:pPr>
            <w:r w:rsidRPr="00E32786">
              <w:rPr>
                <w:rFonts w:cs="Preston"/>
                <w:b/>
                <w:bCs/>
                <w:szCs w:val="18"/>
              </w:rPr>
              <w:t>$'000</w:t>
            </w:r>
          </w:p>
          <w:p w14:paraId="6E1E26D4" w14:textId="77777777" w:rsidR="009103CC" w:rsidRPr="00E32786" w:rsidRDefault="009103CC" w:rsidP="002718DF">
            <w:pPr>
              <w:pStyle w:val="Tabletext"/>
              <w:jc w:val="right"/>
              <w:rPr>
                <w:rFonts w:cs="Preston"/>
                <w:b/>
                <w:bCs/>
                <w:szCs w:val="18"/>
              </w:rPr>
            </w:pPr>
          </w:p>
        </w:tc>
        <w:tc>
          <w:tcPr>
            <w:tcW w:w="706" w:type="pct"/>
            <w:tcMar>
              <w:top w:w="0" w:type="dxa"/>
              <w:left w:w="0" w:type="dxa"/>
              <w:bottom w:w="0" w:type="dxa"/>
              <w:right w:w="0" w:type="dxa"/>
            </w:tcMar>
            <w:vAlign w:val="center"/>
          </w:tcPr>
          <w:p w14:paraId="15C47673" w14:textId="77777777" w:rsidR="009103CC" w:rsidRPr="00E32786" w:rsidRDefault="009103CC" w:rsidP="002718DF">
            <w:pPr>
              <w:pStyle w:val="Tabletext"/>
              <w:jc w:val="right"/>
              <w:rPr>
                <w:rFonts w:cs="Preston"/>
                <w:b/>
                <w:bCs/>
                <w:szCs w:val="18"/>
              </w:rPr>
            </w:pPr>
            <w:r w:rsidRPr="00E32786">
              <w:rPr>
                <w:rFonts w:cs="Preston"/>
                <w:b/>
                <w:bCs/>
                <w:szCs w:val="18"/>
              </w:rPr>
              <w:t>2020</w:t>
            </w:r>
          </w:p>
          <w:p w14:paraId="2D00CEC1" w14:textId="77777777" w:rsidR="009103CC" w:rsidRPr="00E32786" w:rsidRDefault="009103CC" w:rsidP="002718DF">
            <w:pPr>
              <w:pStyle w:val="Tabletext"/>
              <w:jc w:val="right"/>
              <w:rPr>
                <w:rFonts w:cs="Preston"/>
                <w:b/>
                <w:bCs/>
                <w:szCs w:val="18"/>
              </w:rPr>
            </w:pPr>
            <w:r w:rsidRPr="00E32786">
              <w:rPr>
                <w:rFonts w:cs="Preston"/>
                <w:b/>
                <w:bCs/>
                <w:szCs w:val="18"/>
              </w:rPr>
              <w:t>$'000</w:t>
            </w:r>
          </w:p>
          <w:p w14:paraId="130885B4" w14:textId="77777777" w:rsidR="009103CC" w:rsidRPr="00E32786" w:rsidRDefault="009103CC" w:rsidP="002718DF">
            <w:pPr>
              <w:pStyle w:val="Tabletext"/>
              <w:jc w:val="right"/>
              <w:rPr>
                <w:rFonts w:cs="Preston"/>
                <w:b/>
                <w:bCs/>
                <w:szCs w:val="18"/>
              </w:rPr>
            </w:pPr>
          </w:p>
        </w:tc>
      </w:tr>
      <w:tr w:rsidR="009103CC" w:rsidRPr="001814D2" w14:paraId="0A95A643" w14:textId="77777777" w:rsidTr="002718DF">
        <w:trPr>
          <w:cantSplit/>
          <w:trHeight w:hRule="exact" w:val="332"/>
        </w:trPr>
        <w:tc>
          <w:tcPr>
            <w:tcW w:w="2170" w:type="pct"/>
            <w:tcMar>
              <w:top w:w="0" w:type="dxa"/>
              <w:left w:w="0" w:type="dxa"/>
              <w:bottom w:w="0" w:type="dxa"/>
              <w:right w:w="0" w:type="dxa"/>
            </w:tcMar>
            <w:vAlign w:val="center"/>
          </w:tcPr>
          <w:p w14:paraId="521549ED" w14:textId="77777777" w:rsidR="009103CC" w:rsidRPr="001814D2" w:rsidRDefault="009103CC" w:rsidP="002718DF">
            <w:pPr>
              <w:pStyle w:val="Tabletext"/>
            </w:pPr>
            <w:r w:rsidRPr="001814D2">
              <w:t>Held for resale</w:t>
            </w:r>
          </w:p>
        </w:tc>
        <w:tc>
          <w:tcPr>
            <w:tcW w:w="708" w:type="pct"/>
            <w:tcMar>
              <w:top w:w="0" w:type="dxa"/>
              <w:left w:w="0" w:type="dxa"/>
              <w:bottom w:w="0" w:type="dxa"/>
              <w:right w:w="0" w:type="dxa"/>
            </w:tcMar>
            <w:vAlign w:val="center"/>
          </w:tcPr>
          <w:p w14:paraId="15C1DB26" w14:textId="77777777" w:rsidR="009103CC" w:rsidRPr="001814D2" w:rsidRDefault="009103CC" w:rsidP="002718DF">
            <w:pPr>
              <w:pStyle w:val="Tabletext"/>
              <w:jc w:val="right"/>
            </w:pPr>
          </w:p>
        </w:tc>
        <w:tc>
          <w:tcPr>
            <w:tcW w:w="708" w:type="pct"/>
            <w:tcMar>
              <w:top w:w="0" w:type="dxa"/>
              <w:left w:w="0" w:type="dxa"/>
              <w:bottom w:w="0" w:type="dxa"/>
              <w:right w:w="0" w:type="dxa"/>
            </w:tcMar>
            <w:vAlign w:val="center"/>
          </w:tcPr>
          <w:p w14:paraId="4900F04F" w14:textId="77777777" w:rsidR="009103CC" w:rsidRPr="001814D2" w:rsidRDefault="009103CC" w:rsidP="002718DF">
            <w:pPr>
              <w:pStyle w:val="Tabletext"/>
              <w:jc w:val="right"/>
            </w:pPr>
          </w:p>
        </w:tc>
        <w:tc>
          <w:tcPr>
            <w:tcW w:w="708" w:type="pct"/>
            <w:tcMar>
              <w:top w:w="0" w:type="dxa"/>
              <w:left w:w="0" w:type="dxa"/>
              <w:bottom w:w="0" w:type="dxa"/>
              <w:right w:w="0" w:type="dxa"/>
            </w:tcMar>
            <w:vAlign w:val="center"/>
          </w:tcPr>
          <w:p w14:paraId="440FE6AF" w14:textId="77777777" w:rsidR="009103CC" w:rsidRPr="001814D2" w:rsidRDefault="009103CC" w:rsidP="002718DF">
            <w:pPr>
              <w:pStyle w:val="Tabletext"/>
              <w:jc w:val="right"/>
            </w:pPr>
          </w:p>
        </w:tc>
        <w:tc>
          <w:tcPr>
            <w:tcW w:w="706" w:type="pct"/>
            <w:tcMar>
              <w:top w:w="0" w:type="dxa"/>
              <w:left w:w="0" w:type="dxa"/>
              <w:bottom w:w="0" w:type="dxa"/>
              <w:right w:w="0" w:type="dxa"/>
            </w:tcMar>
            <w:vAlign w:val="center"/>
          </w:tcPr>
          <w:p w14:paraId="31119533" w14:textId="77777777" w:rsidR="009103CC" w:rsidRPr="001814D2" w:rsidRDefault="009103CC" w:rsidP="002718DF">
            <w:pPr>
              <w:pStyle w:val="Tabletext"/>
              <w:jc w:val="right"/>
            </w:pPr>
          </w:p>
        </w:tc>
      </w:tr>
      <w:tr w:rsidR="009103CC" w:rsidRPr="001814D2" w14:paraId="353706A3" w14:textId="77777777" w:rsidTr="002718DF">
        <w:trPr>
          <w:cantSplit/>
          <w:trHeight w:hRule="exact" w:val="332"/>
        </w:trPr>
        <w:tc>
          <w:tcPr>
            <w:tcW w:w="2170" w:type="pct"/>
            <w:tcMar>
              <w:top w:w="0" w:type="dxa"/>
              <w:left w:w="0" w:type="dxa"/>
              <w:bottom w:w="0" w:type="dxa"/>
              <w:right w:w="0" w:type="dxa"/>
            </w:tcMar>
            <w:vAlign w:val="center"/>
          </w:tcPr>
          <w:p w14:paraId="2A181EED" w14:textId="77777777" w:rsidR="009103CC" w:rsidRPr="001814D2" w:rsidRDefault="009103CC" w:rsidP="002718DF">
            <w:pPr>
              <w:pStyle w:val="Tabletext"/>
            </w:pPr>
            <w:r w:rsidRPr="001814D2">
              <w:t>Stock on hand – at cost</w:t>
            </w:r>
          </w:p>
        </w:tc>
        <w:tc>
          <w:tcPr>
            <w:tcW w:w="708" w:type="pct"/>
            <w:tcMar>
              <w:top w:w="0" w:type="dxa"/>
              <w:left w:w="0" w:type="dxa"/>
              <w:bottom w:w="0" w:type="dxa"/>
              <w:right w:w="0" w:type="dxa"/>
            </w:tcMar>
            <w:vAlign w:val="center"/>
          </w:tcPr>
          <w:p w14:paraId="7A67219E" w14:textId="77777777" w:rsidR="009103CC" w:rsidRPr="001814D2" w:rsidRDefault="009103CC" w:rsidP="002718DF">
            <w:pPr>
              <w:pStyle w:val="Tabletext"/>
              <w:jc w:val="right"/>
              <w:rPr>
                <w:rFonts w:cs="Preston"/>
                <w:szCs w:val="18"/>
              </w:rPr>
            </w:pPr>
            <w:r w:rsidRPr="001814D2">
              <w:rPr>
                <w:rFonts w:cs="Preston"/>
                <w:szCs w:val="18"/>
              </w:rPr>
              <w:t>1,025</w:t>
            </w:r>
          </w:p>
        </w:tc>
        <w:tc>
          <w:tcPr>
            <w:tcW w:w="708" w:type="pct"/>
            <w:tcMar>
              <w:top w:w="0" w:type="dxa"/>
              <w:left w:w="0" w:type="dxa"/>
              <w:bottom w:w="0" w:type="dxa"/>
              <w:right w:w="0" w:type="dxa"/>
            </w:tcMar>
            <w:vAlign w:val="center"/>
          </w:tcPr>
          <w:p w14:paraId="61819B17" w14:textId="77777777" w:rsidR="009103CC" w:rsidRPr="001814D2" w:rsidRDefault="009103CC" w:rsidP="002718DF">
            <w:pPr>
              <w:pStyle w:val="Tabletext"/>
              <w:jc w:val="right"/>
              <w:rPr>
                <w:rFonts w:cs="Preston"/>
                <w:szCs w:val="18"/>
              </w:rPr>
            </w:pPr>
            <w:r w:rsidRPr="001814D2">
              <w:rPr>
                <w:rFonts w:cs="Preston"/>
                <w:szCs w:val="18"/>
              </w:rPr>
              <w:t>1,164</w:t>
            </w:r>
          </w:p>
        </w:tc>
        <w:tc>
          <w:tcPr>
            <w:tcW w:w="708" w:type="pct"/>
            <w:tcMar>
              <w:top w:w="0" w:type="dxa"/>
              <w:left w:w="0" w:type="dxa"/>
              <w:bottom w:w="0" w:type="dxa"/>
              <w:right w:w="0" w:type="dxa"/>
            </w:tcMar>
            <w:vAlign w:val="center"/>
          </w:tcPr>
          <w:p w14:paraId="4427A263" w14:textId="77777777" w:rsidR="009103CC" w:rsidRPr="001814D2" w:rsidRDefault="009103CC" w:rsidP="002718DF">
            <w:pPr>
              <w:pStyle w:val="Tabletext"/>
              <w:jc w:val="right"/>
              <w:rPr>
                <w:rFonts w:cs="Preston"/>
                <w:szCs w:val="18"/>
              </w:rPr>
            </w:pPr>
            <w:r w:rsidRPr="001814D2">
              <w:rPr>
                <w:rFonts w:cs="Preston"/>
                <w:szCs w:val="18"/>
              </w:rPr>
              <w:t>1,025</w:t>
            </w:r>
          </w:p>
        </w:tc>
        <w:tc>
          <w:tcPr>
            <w:tcW w:w="706" w:type="pct"/>
            <w:tcMar>
              <w:top w:w="0" w:type="dxa"/>
              <w:left w:w="0" w:type="dxa"/>
              <w:bottom w:w="0" w:type="dxa"/>
              <w:right w:w="0" w:type="dxa"/>
            </w:tcMar>
            <w:vAlign w:val="center"/>
          </w:tcPr>
          <w:p w14:paraId="3F8D926C" w14:textId="77777777" w:rsidR="009103CC" w:rsidRPr="001814D2" w:rsidRDefault="009103CC" w:rsidP="002718DF">
            <w:pPr>
              <w:pStyle w:val="Tabletext"/>
              <w:jc w:val="right"/>
              <w:rPr>
                <w:rFonts w:cs="Preston"/>
                <w:szCs w:val="18"/>
              </w:rPr>
            </w:pPr>
            <w:r w:rsidRPr="001814D2">
              <w:rPr>
                <w:rFonts w:cs="Preston"/>
                <w:szCs w:val="18"/>
              </w:rPr>
              <w:t>1,164</w:t>
            </w:r>
          </w:p>
        </w:tc>
      </w:tr>
    </w:tbl>
    <w:p w14:paraId="1B06670B" w14:textId="77777777" w:rsidR="009103CC" w:rsidRPr="001814D2" w:rsidRDefault="009103CC" w:rsidP="009103CC">
      <w:pPr>
        <w:pStyle w:val="Tabletext"/>
      </w:pPr>
    </w:p>
    <w:p w14:paraId="5FABE3F1" w14:textId="77777777" w:rsidR="009103CC" w:rsidRPr="001814D2" w:rsidRDefault="009103CC" w:rsidP="009103CC">
      <w:pPr>
        <w:pStyle w:val="ARbody"/>
      </w:pPr>
      <w:r w:rsidRPr="001814D2">
        <w:t>The Gallery’s inventories are held for sale and are stated at the lower of cost and net realisable value. Cost is calculated using the weighted average cost method. The Gallery does not have any inventories acquired at no cost or for nominal consideration. Net realisable value is the estimated selling price in the ordinary course of business less the estimated costs of completion and the estimated costs necessary to make the sale. No allowance has been made for obsolescence in the current year despite lower sales due to the Gallery's closure during the Covid-19 pandemic. However, buying patterns have been adjusted in line with changes to stock turnover.</w:t>
      </w:r>
    </w:p>
    <w:tbl>
      <w:tblPr>
        <w:tblW w:w="5000" w:type="pct"/>
        <w:tblBorders>
          <w:insideH w:val="single" w:sz="4" w:space="0" w:color="auto"/>
        </w:tblBorders>
        <w:tblCellMar>
          <w:left w:w="0" w:type="dxa"/>
          <w:right w:w="0" w:type="dxa"/>
        </w:tblCellMar>
        <w:tblLook w:val="0000" w:firstRow="0" w:lastRow="0" w:firstColumn="0" w:lastColumn="0" w:noHBand="0" w:noVBand="0"/>
        <w:tblCaption w:val="8 Current assets - financial assets at fair value through profit or loss"/>
        <w:tblDescription w:val="This table provides figures for 2020 and 2021 for both the consolidated entity and parent entity."/>
      </w:tblPr>
      <w:tblGrid>
        <w:gridCol w:w="3937"/>
        <w:gridCol w:w="1284"/>
        <w:gridCol w:w="1284"/>
        <w:gridCol w:w="1284"/>
        <w:gridCol w:w="1281"/>
      </w:tblGrid>
      <w:tr w:rsidR="009103CC" w:rsidRPr="00E32786" w14:paraId="5B1DBB76" w14:textId="77777777" w:rsidTr="002718DF">
        <w:trPr>
          <w:cantSplit/>
          <w:trHeight w:hRule="exact" w:val="332"/>
          <w:tblHeader/>
        </w:trPr>
        <w:tc>
          <w:tcPr>
            <w:tcW w:w="2170" w:type="pct"/>
            <w:tcMar>
              <w:top w:w="0" w:type="dxa"/>
              <w:left w:w="0" w:type="dxa"/>
              <w:bottom w:w="0" w:type="dxa"/>
              <w:right w:w="0" w:type="dxa"/>
            </w:tcMar>
            <w:vAlign w:val="center"/>
          </w:tcPr>
          <w:p w14:paraId="6054714F" w14:textId="77777777" w:rsidR="009103CC" w:rsidRPr="00E32786" w:rsidRDefault="009103CC" w:rsidP="002718DF">
            <w:pPr>
              <w:pStyle w:val="Tabletext"/>
              <w:jc w:val="center"/>
              <w:rPr>
                <w:b/>
                <w:bCs/>
              </w:rPr>
            </w:pPr>
          </w:p>
        </w:tc>
        <w:tc>
          <w:tcPr>
            <w:tcW w:w="1416" w:type="pct"/>
            <w:gridSpan w:val="2"/>
            <w:tcMar>
              <w:top w:w="0" w:type="dxa"/>
              <w:left w:w="0" w:type="dxa"/>
              <w:bottom w:w="0" w:type="dxa"/>
              <w:right w:w="0" w:type="dxa"/>
            </w:tcMar>
            <w:vAlign w:val="center"/>
          </w:tcPr>
          <w:p w14:paraId="228BDEF5" w14:textId="77777777" w:rsidR="009103CC" w:rsidRPr="00E32786" w:rsidRDefault="009103CC" w:rsidP="002718DF">
            <w:pPr>
              <w:pStyle w:val="Tabletext"/>
              <w:jc w:val="center"/>
              <w:rPr>
                <w:rFonts w:cs="Preston"/>
                <w:b/>
                <w:bCs/>
                <w:szCs w:val="18"/>
              </w:rPr>
            </w:pPr>
            <w:r w:rsidRPr="00E32786">
              <w:rPr>
                <w:rFonts w:cs="Preston"/>
                <w:b/>
                <w:bCs/>
                <w:szCs w:val="18"/>
              </w:rPr>
              <w:t>Consolidated entity</w:t>
            </w:r>
          </w:p>
        </w:tc>
        <w:tc>
          <w:tcPr>
            <w:tcW w:w="1414" w:type="pct"/>
            <w:gridSpan w:val="2"/>
            <w:tcMar>
              <w:top w:w="0" w:type="dxa"/>
              <w:left w:w="0" w:type="dxa"/>
              <w:bottom w:w="0" w:type="dxa"/>
              <w:right w:w="0" w:type="dxa"/>
            </w:tcMar>
            <w:vAlign w:val="center"/>
          </w:tcPr>
          <w:p w14:paraId="6AF52F1F" w14:textId="77777777" w:rsidR="009103CC" w:rsidRPr="00E32786" w:rsidRDefault="009103CC" w:rsidP="002718DF">
            <w:pPr>
              <w:pStyle w:val="Tabletext"/>
              <w:jc w:val="center"/>
              <w:rPr>
                <w:rFonts w:cs="Preston"/>
                <w:b/>
                <w:bCs/>
                <w:szCs w:val="18"/>
              </w:rPr>
            </w:pPr>
            <w:r w:rsidRPr="00E32786">
              <w:rPr>
                <w:rFonts w:cs="Preston"/>
                <w:b/>
                <w:bCs/>
                <w:szCs w:val="18"/>
              </w:rPr>
              <w:t>Parent entity</w:t>
            </w:r>
          </w:p>
        </w:tc>
      </w:tr>
      <w:tr w:rsidR="009103CC" w:rsidRPr="00E32786" w14:paraId="0846D8B2" w14:textId="77777777" w:rsidTr="002718DF">
        <w:trPr>
          <w:cantSplit/>
          <w:trHeight w:hRule="exact" w:val="553"/>
          <w:tblHeader/>
        </w:trPr>
        <w:tc>
          <w:tcPr>
            <w:tcW w:w="2170" w:type="pct"/>
            <w:tcMar>
              <w:top w:w="0" w:type="dxa"/>
              <w:left w:w="0" w:type="dxa"/>
              <w:bottom w:w="0" w:type="dxa"/>
              <w:right w:w="0" w:type="dxa"/>
            </w:tcMar>
            <w:vAlign w:val="center"/>
          </w:tcPr>
          <w:p w14:paraId="1EAD79CE" w14:textId="77777777" w:rsidR="009103CC" w:rsidRPr="00E32786" w:rsidRDefault="009103CC" w:rsidP="002718DF">
            <w:pPr>
              <w:pStyle w:val="Tabletext"/>
              <w:rPr>
                <w:b/>
                <w:bCs/>
              </w:rPr>
            </w:pPr>
            <w:r w:rsidRPr="00E32786">
              <w:rPr>
                <w:b/>
                <w:bCs/>
              </w:rPr>
              <w:t>8 Current assets – financial assets at fair value through profit or loss</w:t>
            </w:r>
          </w:p>
        </w:tc>
        <w:tc>
          <w:tcPr>
            <w:tcW w:w="708" w:type="pct"/>
            <w:tcMar>
              <w:top w:w="0" w:type="dxa"/>
              <w:left w:w="0" w:type="dxa"/>
              <w:bottom w:w="0" w:type="dxa"/>
              <w:right w:w="0" w:type="dxa"/>
            </w:tcMar>
            <w:vAlign w:val="center"/>
          </w:tcPr>
          <w:p w14:paraId="0026A8CF" w14:textId="77777777" w:rsidR="009103CC" w:rsidRPr="00E32786" w:rsidRDefault="009103CC" w:rsidP="002718DF">
            <w:pPr>
              <w:pStyle w:val="Tabletext"/>
              <w:jc w:val="right"/>
              <w:rPr>
                <w:rFonts w:cs="Preston"/>
                <w:b/>
                <w:bCs/>
                <w:szCs w:val="18"/>
              </w:rPr>
            </w:pPr>
            <w:r w:rsidRPr="00E32786">
              <w:rPr>
                <w:rFonts w:cs="Preston"/>
                <w:b/>
                <w:bCs/>
                <w:szCs w:val="18"/>
              </w:rPr>
              <w:t>2021</w:t>
            </w:r>
          </w:p>
          <w:p w14:paraId="6626BFEC" w14:textId="77777777" w:rsidR="009103CC" w:rsidRPr="00E32786" w:rsidRDefault="009103CC" w:rsidP="002718DF">
            <w:pPr>
              <w:pStyle w:val="Tabletext"/>
              <w:jc w:val="right"/>
              <w:rPr>
                <w:rFonts w:cs="Preston"/>
                <w:b/>
                <w:bCs/>
                <w:szCs w:val="18"/>
              </w:rPr>
            </w:pPr>
            <w:r w:rsidRPr="00E32786">
              <w:rPr>
                <w:rFonts w:cs="Preston"/>
                <w:b/>
                <w:bCs/>
                <w:szCs w:val="18"/>
              </w:rPr>
              <w:t>$'000</w:t>
            </w:r>
          </w:p>
        </w:tc>
        <w:tc>
          <w:tcPr>
            <w:tcW w:w="708" w:type="pct"/>
            <w:tcMar>
              <w:top w:w="0" w:type="dxa"/>
              <w:left w:w="0" w:type="dxa"/>
              <w:bottom w:w="0" w:type="dxa"/>
              <w:right w:w="0" w:type="dxa"/>
            </w:tcMar>
            <w:vAlign w:val="center"/>
          </w:tcPr>
          <w:p w14:paraId="779DBFD0" w14:textId="77777777" w:rsidR="009103CC" w:rsidRPr="00E32786" w:rsidRDefault="009103CC" w:rsidP="002718DF">
            <w:pPr>
              <w:pStyle w:val="Tabletext"/>
              <w:jc w:val="right"/>
              <w:rPr>
                <w:rFonts w:cs="Preston"/>
                <w:b/>
                <w:bCs/>
                <w:szCs w:val="18"/>
              </w:rPr>
            </w:pPr>
            <w:r w:rsidRPr="00E32786">
              <w:rPr>
                <w:rFonts w:cs="Preston"/>
                <w:b/>
                <w:bCs/>
                <w:szCs w:val="18"/>
              </w:rPr>
              <w:t>2020</w:t>
            </w:r>
          </w:p>
          <w:p w14:paraId="79D4792F" w14:textId="77777777" w:rsidR="009103CC" w:rsidRPr="00E32786" w:rsidRDefault="009103CC" w:rsidP="002718DF">
            <w:pPr>
              <w:pStyle w:val="Tabletext"/>
              <w:jc w:val="right"/>
              <w:rPr>
                <w:rFonts w:cs="Preston"/>
                <w:b/>
                <w:bCs/>
                <w:szCs w:val="18"/>
              </w:rPr>
            </w:pPr>
            <w:r w:rsidRPr="00E32786">
              <w:rPr>
                <w:rFonts w:cs="Preston"/>
                <w:b/>
                <w:bCs/>
                <w:szCs w:val="18"/>
              </w:rPr>
              <w:t>$'000</w:t>
            </w:r>
          </w:p>
        </w:tc>
        <w:tc>
          <w:tcPr>
            <w:tcW w:w="708" w:type="pct"/>
            <w:tcMar>
              <w:top w:w="0" w:type="dxa"/>
              <w:left w:w="0" w:type="dxa"/>
              <w:bottom w:w="0" w:type="dxa"/>
              <w:right w:w="0" w:type="dxa"/>
            </w:tcMar>
            <w:vAlign w:val="center"/>
          </w:tcPr>
          <w:p w14:paraId="6739EC32" w14:textId="77777777" w:rsidR="009103CC" w:rsidRPr="00E32786" w:rsidRDefault="009103CC" w:rsidP="002718DF">
            <w:pPr>
              <w:pStyle w:val="Tabletext"/>
              <w:jc w:val="right"/>
              <w:rPr>
                <w:rFonts w:cs="Preston"/>
                <w:b/>
                <w:bCs/>
                <w:szCs w:val="18"/>
              </w:rPr>
            </w:pPr>
            <w:r w:rsidRPr="00E32786">
              <w:rPr>
                <w:rFonts w:cs="Preston"/>
                <w:b/>
                <w:bCs/>
                <w:szCs w:val="18"/>
              </w:rPr>
              <w:t>2021</w:t>
            </w:r>
          </w:p>
          <w:p w14:paraId="34271833" w14:textId="77777777" w:rsidR="009103CC" w:rsidRPr="00E32786" w:rsidRDefault="009103CC" w:rsidP="002718DF">
            <w:pPr>
              <w:pStyle w:val="Tabletext"/>
              <w:jc w:val="right"/>
              <w:rPr>
                <w:rFonts w:cs="Preston"/>
                <w:b/>
                <w:bCs/>
                <w:szCs w:val="18"/>
              </w:rPr>
            </w:pPr>
            <w:r w:rsidRPr="00E32786">
              <w:rPr>
                <w:rFonts w:cs="Preston"/>
                <w:b/>
                <w:bCs/>
                <w:szCs w:val="18"/>
              </w:rPr>
              <w:t>$'000</w:t>
            </w:r>
          </w:p>
          <w:p w14:paraId="5AD834CB" w14:textId="77777777" w:rsidR="009103CC" w:rsidRPr="00E32786" w:rsidRDefault="009103CC" w:rsidP="002718DF">
            <w:pPr>
              <w:pStyle w:val="Tabletext"/>
              <w:jc w:val="right"/>
              <w:rPr>
                <w:rFonts w:cs="Preston"/>
                <w:b/>
                <w:bCs/>
                <w:szCs w:val="18"/>
              </w:rPr>
            </w:pPr>
          </w:p>
        </w:tc>
        <w:tc>
          <w:tcPr>
            <w:tcW w:w="706" w:type="pct"/>
            <w:tcMar>
              <w:top w:w="0" w:type="dxa"/>
              <w:left w:w="0" w:type="dxa"/>
              <w:bottom w:w="0" w:type="dxa"/>
              <w:right w:w="0" w:type="dxa"/>
            </w:tcMar>
            <w:vAlign w:val="center"/>
          </w:tcPr>
          <w:p w14:paraId="336E288A" w14:textId="77777777" w:rsidR="009103CC" w:rsidRPr="00E32786" w:rsidRDefault="009103CC" w:rsidP="002718DF">
            <w:pPr>
              <w:pStyle w:val="Tabletext"/>
              <w:jc w:val="right"/>
              <w:rPr>
                <w:rFonts w:cs="Preston"/>
                <w:b/>
                <w:bCs/>
                <w:szCs w:val="18"/>
              </w:rPr>
            </w:pPr>
            <w:r w:rsidRPr="00E32786">
              <w:rPr>
                <w:rFonts w:cs="Preston"/>
                <w:b/>
                <w:bCs/>
                <w:szCs w:val="18"/>
              </w:rPr>
              <w:t>2020</w:t>
            </w:r>
          </w:p>
          <w:p w14:paraId="2415F2FA" w14:textId="77777777" w:rsidR="009103CC" w:rsidRPr="00E32786" w:rsidRDefault="009103CC" w:rsidP="002718DF">
            <w:pPr>
              <w:pStyle w:val="Tabletext"/>
              <w:jc w:val="right"/>
              <w:rPr>
                <w:rFonts w:cs="Preston"/>
                <w:b/>
                <w:bCs/>
                <w:szCs w:val="18"/>
              </w:rPr>
            </w:pPr>
            <w:r w:rsidRPr="00E32786">
              <w:rPr>
                <w:rFonts w:cs="Preston"/>
                <w:b/>
                <w:bCs/>
                <w:szCs w:val="18"/>
              </w:rPr>
              <w:t>$'000</w:t>
            </w:r>
          </w:p>
          <w:p w14:paraId="7917272D" w14:textId="77777777" w:rsidR="009103CC" w:rsidRPr="00E32786" w:rsidRDefault="009103CC" w:rsidP="002718DF">
            <w:pPr>
              <w:pStyle w:val="Tabletext"/>
              <w:jc w:val="right"/>
              <w:rPr>
                <w:rFonts w:cs="Preston"/>
                <w:b/>
                <w:bCs/>
                <w:szCs w:val="18"/>
              </w:rPr>
            </w:pPr>
          </w:p>
        </w:tc>
      </w:tr>
      <w:tr w:rsidR="009103CC" w:rsidRPr="001814D2" w14:paraId="2E530A14" w14:textId="77777777" w:rsidTr="002718DF">
        <w:trPr>
          <w:cantSplit/>
          <w:trHeight w:hRule="exact" w:val="332"/>
        </w:trPr>
        <w:tc>
          <w:tcPr>
            <w:tcW w:w="2170" w:type="pct"/>
            <w:tcMar>
              <w:top w:w="0" w:type="dxa"/>
              <w:left w:w="0" w:type="dxa"/>
              <w:bottom w:w="0" w:type="dxa"/>
              <w:right w:w="0" w:type="dxa"/>
            </w:tcMar>
            <w:vAlign w:val="center"/>
          </w:tcPr>
          <w:p w14:paraId="20F3D525" w14:textId="77777777" w:rsidR="009103CC" w:rsidRPr="001814D2" w:rsidRDefault="009103CC" w:rsidP="002718DF">
            <w:pPr>
              <w:pStyle w:val="Tabletext"/>
            </w:pPr>
            <w:r w:rsidRPr="001814D2">
              <w:t>Term deposits less than 12 months</w:t>
            </w:r>
          </w:p>
        </w:tc>
        <w:tc>
          <w:tcPr>
            <w:tcW w:w="708" w:type="pct"/>
            <w:tcMar>
              <w:top w:w="0" w:type="dxa"/>
              <w:left w:w="0" w:type="dxa"/>
              <w:bottom w:w="0" w:type="dxa"/>
              <w:right w:w="0" w:type="dxa"/>
            </w:tcMar>
            <w:vAlign w:val="center"/>
          </w:tcPr>
          <w:p w14:paraId="4544B3EC" w14:textId="77777777" w:rsidR="009103CC" w:rsidRPr="001814D2" w:rsidRDefault="009103CC" w:rsidP="002718DF">
            <w:pPr>
              <w:pStyle w:val="Tabletext"/>
              <w:jc w:val="right"/>
              <w:rPr>
                <w:rFonts w:cs="Preston"/>
                <w:szCs w:val="18"/>
              </w:rPr>
            </w:pPr>
            <w:r w:rsidRPr="001814D2">
              <w:rPr>
                <w:rFonts w:cs="Preston"/>
                <w:szCs w:val="18"/>
              </w:rPr>
              <w:t>750</w:t>
            </w:r>
          </w:p>
        </w:tc>
        <w:tc>
          <w:tcPr>
            <w:tcW w:w="708" w:type="pct"/>
            <w:tcMar>
              <w:top w:w="0" w:type="dxa"/>
              <w:left w:w="0" w:type="dxa"/>
              <w:bottom w:w="0" w:type="dxa"/>
              <w:right w:w="0" w:type="dxa"/>
            </w:tcMar>
            <w:vAlign w:val="center"/>
          </w:tcPr>
          <w:p w14:paraId="77B74983" w14:textId="77777777" w:rsidR="009103CC" w:rsidRPr="001814D2" w:rsidRDefault="009103CC" w:rsidP="002718DF">
            <w:pPr>
              <w:pStyle w:val="Tabletext"/>
              <w:jc w:val="right"/>
              <w:rPr>
                <w:rFonts w:cs="Preston"/>
                <w:szCs w:val="18"/>
              </w:rPr>
            </w:pPr>
            <w:r w:rsidRPr="001814D2">
              <w:rPr>
                <w:rFonts w:cs="Preston"/>
                <w:szCs w:val="18"/>
              </w:rPr>
              <w:t>750</w:t>
            </w:r>
          </w:p>
        </w:tc>
        <w:tc>
          <w:tcPr>
            <w:tcW w:w="708" w:type="pct"/>
            <w:tcMar>
              <w:top w:w="0" w:type="dxa"/>
              <w:left w:w="0" w:type="dxa"/>
              <w:bottom w:w="0" w:type="dxa"/>
              <w:right w:w="0" w:type="dxa"/>
            </w:tcMar>
            <w:vAlign w:val="center"/>
          </w:tcPr>
          <w:p w14:paraId="4D8C0C31" w14:textId="77777777" w:rsidR="009103CC" w:rsidRPr="001814D2" w:rsidRDefault="009103CC" w:rsidP="002718DF">
            <w:pPr>
              <w:pStyle w:val="Tabletext"/>
              <w:jc w:val="right"/>
              <w:rPr>
                <w:rFonts w:cs="Preston"/>
                <w:szCs w:val="18"/>
              </w:rPr>
            </w:pPr>
            <w:r w:rsidRPr="001814D2">
              <w:rPr>
                <w:rFonts w:cs="Preston"/>
                <w:szCs w:val="18"/>
              </w:rPr>
              <w:t>750</w:t>
            </w:r>
          </w:p>
        </w:tc>
        <w:tc>
          <w:tcPr>
            <w:tcW w:w="706" w:type="pct"/>
            <w:tcMar>
              <w:top w:w="0" w:type="dxa"/>
              <w:left w:w="0" w:type="dxa"/>
              <w:bottom w:w="0" w:type="dxa"/>
              <w:right w:w="0" w:type="dxa"/>
            </w:tcMar>
            <w:vAlign w:val="center"/>
          </w:tcPr>
          <w:p w14:paraId="10BC9955" w14:textId="77777777" w:rsidR="009103CC" w:rsidRPr="001814D2" w:rsidRDefault="009103CC" w:rsidP="002718DF">
            <w:pPr>
              <w:pStyle w:val="Tabletext"/>
              <w:jc w:val="right"/>
              <w:rPr>
                <w:rFonts w:cs="Preston"/>
                <w:szCs w:val="18"/>
              </w:rPr>
            </w:pPr>
            <w:r w:rsidRPr="001814D2">
              <w:rPr>
                <w:rFonts w:cs="Preston"/>
                <w:szCs w:val="18"/>
              </w:rPr>
              <w:t>750</w:t>
            </w:r>
          </w:p>
        </w:tc>
      </w:tr>
      <w:tr w:rsidR="009103CC" w:rsidRPr="001814D2" w14:paraId="3CAAC7DD" w14:textId="77777777" w:rsidTr="002718DF">
        <w:trPr>
          <w:cantSplit/>
          <w:trHeight w:hRule="exact" w:val="332"/>
        </w:trPr>
        <w:tc>
          <w:tcPr>
            <w:tcW w:w="2170" w:type="pct"/>
            <w:tcBorders>
              <w:bottom w:val="single" w:sz="4" w:space="0" w:color="auto"/>
            </w:tcBorders>
            <w:tcMar>
              <w:top w:w="0" w:type="dxa"/>
              <w:left w:w="0" w:type="dxa"/>
              <w:bottom w:w="0" w:type="dxa"/>
              <w:right w:w="0" w:type="dxa"/>
            </w:tcMar>
            <w:vAlign w:val="center"/>
          </w:tcPr>
          <w:p w14:paraId="42B65D95" w14:textId="77777777" w:rsidR="009103CC" w:rsidRPr="001814D2" w:rsidRDefault="009103CC" w:rsidP="002718DF">
            <w:pPr>
              <w:pStyle w:val="Tabletext"/>
            </w:pPr>
            <w:r w:rsidRPr="001814D2">
              <w:t>TCorpIM investments</w:t>
            </w:r>
          </w:p>
        </w:tc>
        <w:tc>
          <w:tcPr>
            <w:tcW w:w="708" w:type="pct"/>
            <w:tcBorders>
              <w:bottom w:val="single" w:sz="4" w:space="0" w:color="auto"/>
            </w:tcBorders>
            <w:tcMar>
              <w:top w:w="0" w:type="dxa"/>
              <w:left w:w="0" w:type="dxa"/>
              <w:bottom w:w="0" w:type="dxa"/>
              <w:right w:w="0" w:type="dxa"/>
            </w:tcMar>
            <w:vAlign w:val="center"/>
          </w:tcPr>
          <w:p w14:paraId="6930FF6F" w14:textId="77777777" w:rsidR="009103CC" w:rsidRPr="001814D2" w:rsidRDefault="009103CC" w:rsidP="002718DF">
            <w:pPr>
              <w:pStyle w:val="Tabletext"/>
              <w:jc w:val="right"/>
              <w:rPr>
                <w:rFonts w:cs="Preston"/>
                <w:szCs w:val="18"/>
              </w:rPr>
            </w:pPr>
            <w:r w:rsidRPr="001814D2">
              <w:rPr>
                <w:rFonts w:cs="Preston"/>
                <w:szCs w:val="18"/>
              </w:rPr>
              <w:t>155,484</w:t>
            </w:r>
          </w:p>
        </w:tc>
        <w:tc>
          <w:tcPr>
            <w:tcW w:w="708" w:type="pct"/>
            <w:tcBorders>
              <w:bottom w:val="single" w:sz="4" w:space="0" w:color="auto"/>
            </w:tcBorders>
            <w:tcMar>
              <w:top w:w="0" w:type="dxa"/>
              <w:left w:w="0" w:type="dxa"/>
              <w:bottom w:w="0" w:type="dxa"/>
              <w:right w:w="0" w:type="dxa"/>
            </w:tcMar>
            <w:vAlign w:val="center"/>
          </w:tcPr>
          <w:p w14:paraId="17C42B28" w14:textId="77777777" w:rsidR="009103CC" w:rsidRPr="001814D2" w:rsidRDefault="009103CC" w:rsidP="002718DF">
            <w:pPr>
              <w:pStyle w:val="Tabletext"/>
              <w:jc w:val="right"/>
              <w:rPr>
                <w:rFonts w:cs="Preston"/>
                <w:szCs w:val="18"/>
              </w:rPr>
            </w:pPr>
            <w:r w:rsidRPr="001814D2">
              <w:rPr>
                <w:rFonts w:cs="Preston"/>
                <w:szCs w:val="18"/>
              </w:rPr>
              <w:t>119,251</w:t>
            </w:r>
          </w:p>
        </w:tc>
        <w:tc>
          <w:tcPr>
            <w:tcW w:w="708" w:type="pct"/>
            <w:tcBorders>
              <w:bottom w:val="single" w:sz="4" w:space="0" w:color="auto"/>
            </w:tcBorders>
            <w:tcMar>
              <w:top w:w="0" w:type="dxa"/>
              <w:left w:w="0" w:type="dxa"/>
              <w:bottom w:w="0" w:type="dxa"/>
              <w:right w:w="0" w:type="dxa"/>
            </w:tcMar>
            <w:vAlign w:val="center"/>
          </w:tcPr>
          <w:p w14:paraId="5BB84B3C" w14:textId="77777777" w:rsidR="009103CC" w:rsidRPr="001814D2" w:rsidRDefault="009103CC" w:rsidP="002718DF">
            <w:pPr>
              <w:pStyle w:val="Tabletext"/>
              <w:jc w:val="right"/>
              <w:rPr>
                <w:rFonts w:cs="Preston"/>
                <w:szCs w:val="18"/>
              </w:rPr>
            </w:pPr>
            <w:r w:rsidRPr="001814D2">
              <w:rPr>
                <w:rFonts w:cs="Preston"/>
                <w:szCs w:val="18"/>
              </w:rPr>
              <w:t>154,015</w:t>
            </w:r>
          </w:p>
        </w:tc>
        <w:tc>
          <w:tcPr>
            <w:tcW w:w="706" w:type="pct"/>
            <w:tcBorders>
              <w:bottom w:val="single" w:sz="4" w:space="0" w:color="auto"/>
            </w:tcBorders>
            <w:tcMar>
              <w:top w:w="0" w:type="dxa"/>
              <w:left w:w="0" w:type="dxa"/>
              <w:bottom w:w="0" w:type="dxa"/>
              <w:right w:w="0" w:type="dxa"/>
            </w:tcMar>
            <w:vAlign w:val="center"/>
          </w:tcPr>
          <w:p w14:paraId="482B355B" w14:textId="77777777" w:rsidR="009103CC" w:rsidRPr="001814D2" w:rsidRDefault="009103CC" w:rsidP="002718DF">
            <w:pPr>
              <w:pStyle w:val="Tabletext"/>
              <w:jc w:val="right"/>
              <w:rPr>
                <w:rFonts w:cs="Preston"/>
                <w:szCs w:val="18"/>
              </w:rPr>
            </w:pPr>
            <w:r w:rsidRPr="001814D2">
              <w:rPr>
                <w:rFonts w:cs="Preston"/>
                <w:szCs w:val="18"/>
              </w:rPr>
              <w:t>117,888</w:t>
            </w:r>
          </w:p>
        </w:tc>
      </w:tr>
      <w:tr w:rsidR="009103CC" w:rsidRPr="00E32786" w14:paraId="29F2326B"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7EC24106" w14:textId="77777777" w:rsidR="009103CC" w:rsidRPr="00E32786" w:rsidRDefault="009103CC" w:rsidP="002718DF">
            <w:pPr>
              <w:pStyle w:val="Tabletext"/>
            </w:pPr>
          </w:p>
        </w:tc>
        <w:tc>
          <w:tcPr>
            <w:tcW w:w="708" w:type="pct"/>
            <w:tcBorders>
              <w:top w:val="single" w:sz="4" w:space="0" w:color="auto"/>
              <w:bottom w:val="single" w:sz="4" w:space="0" w:color="auto"/>
            </w:tcBorders>
            <w:tcMar>
              <w:top w:w="0" w:type="dxa"/>
              <w:left w:w="0" w:type="dxa"/>
              <w:bottom w:w="0" w:type="dxa"/>
              <w:right w:w="0" w:type="dxa"/>
            </w:tcMar>
            <w:vAlign w:val="center"/>
          </w:tcPr>
          <w:p w14:paraId="7D4577EA" w14:textId="77777777" w:rsidR="009103CC" w:rsidRPr="00E32786" w:rsidRDefault="009103CC" w:rsidP="002718DF">
            <w:pPr>
              <w:pStyle w:val="Tabletext"/>
              <w:jc w:val="right"/>
              <w:rPr>
                <w:rFonts w:cs="Preston"/>
                <w:szCs w:val="18"/>
              </w:rPr>
            </w:pPr>
            <w:r w:rsidRPr="00E32786">
              <w:rPr>
                <w:rFonts w:cs="Preston"/>
                <w:szCs w:val="18"/>
              </w:rPr>
              <w:t>156,234</w:t>
            </w:r>
          </w:p>
        </w:tc>
        <w:tc>
          <w:tcPr>
            <w:tcW w:w="708" w:type="pct"/>
            <w:tcBorders>
              <w:top w:val="single" w:sz="4" w:space="0" w:color="auto"/>
              <w:bottom w:val="single" w:sz="4" w:space="0" w:color="auto"/>
            </w:tcBorders>
            <w:tcMar>
              <w:top w:w="0" w:type="dxa"/>
              <w:left w:w="0" w:type="dxa"/>
              <w:bottom w:w="0" w:type="dxa"/>
              <w:right w:w="0" w:type="dxa"/>
            </w:tcMar>
            <w:vAlign w:val="center"/>
          </w:tcPr>
          <w:p w14:paraId="6D164C35" w14:textId="77777777" w:rsidR="009103CC" w:rsidRPr="00E32786" w:rsidRDefault="009103CC" w:rsidP="002718DF">
            <w:pPr>
              <w:pStyle w:val="Tabletext"/>
              <w:jc w:val="right"/>
              <w:rPr>
                <w:rFonts w:cs="Preston"/>
                <w:szCs w:val="18"/>
              </w:rPr>
            </w:pPr>
            <w:r w:rsidRPr="00E32786">
              <w:rPr>
                <w:rFonts w:cs="Preston"/>
                <w:szCs w:val="18"/>
              </w:rPr>
              <w:t>120,001</w:t>
            </w:r>
          </w:p>
        </w:tc>
        <w:tc>
          <w:tcPr>
            <w:tcW w:w="708" w:type="pct"/>
            <w:tcBorders>
              <w:top w:val="single" w:sz="4" w:space="0" w:color="auto"/>
              <w:bottom w:val="single" w:sz="4" w:space="0" w:color="auto"/>
            </w:tcBorders>
            <w:tcMar>
              <w:top w:w="0" w:type="dxa"/>
              <w:left w:w="0" w:type="dxa"/>
              <w:bottom w:w="0" w:type="dxa"/>
              <w:right w:w="0" w:type="dxa"/>
            </w:tcMar>
            <w:vAlign w:val="center"/>
          </w:tcPr>
          <w:p w14:paraId="0B76855E" w14:textId="77777777" w:rsidR="009103CC" w:rsidRPr="00E32786" w:rsidRDefault="009103CC" w:rsidP="002718DF">
            <w:pPr>
              <w:pStyle w:val="Tabletext"/>
              <w:jc w:val="right"/>
              <w:rPr>
                <w:rFonts w:cs="Preston"/>
                <w:szCs w:val="18"/>
              </w:rPr>
            </w:pPr>
            <w:r w:rsidRPr="00E32786">
              <w:rPr>
                <w:rFonts w:cs="Preston"/>
                <w:szCs w:val="18"/>
              </w:rPr>
              <w:t>154,765</w:t>
            </w:r>
          </w:p>
        </w:tc>
        <w:tc>
          <w:tcPr>
            <w:tcW w:w="706" w:type="pct"/>
            <w:tcBorders>
              <w:top w:val="single" w:sz="4" w:space="0" w:color="auto"/>
              <w:bottom w:val="single" w:sz="4" w:space="0" w:color="auto"/>
            </w:tcBorders>
            <w:tcMar>
              <w:top w:w="0" w:type="dxa"/>
              <w:left w:w="0" w:type="dxa"/>
              <w:bottom w:w="0" w:type="dxa"/>
              <w:right w:w="0" w:type="dxa"/>
            </w:tcMar>
            <w:vAlign w:val="center"/>
          </w:tcPr>
          <w:p w14:paraId="5CE72137" w14:textId="77777777" w:rsidR="009103CC" w:rsidRPr="00E32786" w:rsidRDefault="009103CC" w:rsidP="002718DF">
            <w:pPr>
              <w:pStyle w:val="Tabletext"/>
              <w:jc w:val="right"/>
              <w:rPr>
                <w:rFonts w:cs="Preston"/>
                <w:szCs w:val="18"/>
              </w:rPr>
            </w:pPr>
            <w:r w:rsidRPr="00E32786">
              <w:rPr>
                <w:rFonts w:cs="Preston"/>
                <w:szCs w:val="18"/>
              </w:rPr>
              <w:t>118,638</w:t>
            </w:r>
          </w:p>
        </w:tc>
      </w:tr>
    </w:tbl>
    <w:p w14:paraId="4B84FAE0" w14:textId="77777777" w:rsidR="009103CC" w:rsidRPr="001814D2" w:rsidRDefault="009103CC" w:rsidP="009103CC">
      <w:pPr>
        <w:pStyle w:val="Tabletext"/>
      </w:pPr>
    </w:p>
    <w:p w14:paraId="47995292" w14:textId="77777777" w:rsidR="009103CC" w:rsidRPr="001814D2" w:rsidRDefault="009103CC" w:rsidP="009103CC">
      <w:pPr>
        <w:pStyle w:val="ARbody"/>
      </w:pPr>
      <w:r w:rsidRPr="001814D2">
        <w:t>The above funds are restricted use assets to the extent that they represent bequests and donations held by the Gallery to be used in accordance with the deed of trust or other documents governing these funds and capital funding for the Sydney Modern Project. Included in these funds are amount attributed to / expended against the bequests and special purpose funds.</w:t>
      </w:r>
    </w:p>
    <w:p w14:paraId="600173CB" w14:textId="77777777" w:rsidR="009103CC" w:rsidRPr="001814D2" w:rsidRDefault="009103CC" w:rsidP="009103CC">
      <w:pPr>
        <w:pStyle w:val="ARbody"/>
      </w:pPr>
      <w:r w:rsidRPr="001814D2">
        <w:t xml:space="preserve">Financial assets are disclosed as current assets as funding is required to be readily available as and when required. </w:t>
      </w:r>
    </w:p>
    <w:p w14:paraId="32C41AE6" w14:textId="77777777" w:rsidR="009103CC" w:rsidRPr="001814D2" w:rsidRDefault="009103CC" w:rsidP="009103CC">
      <w:pPr>
        <w:pStyle w:val="ARbody"/>
      </w:pPr>
      <w:r w:rsidRPr="001814D2">
        <w:t>Recognition of impairment gains or losses are recognised in "investment revenue"</w:t>
      </w:r>
    </w:p>
    <w:tbl>
      <w:tblPr>
        <w:tblW w:w="5000" w:type="pct"/>
        <w:tblBorders>
          <w:insideH w:val="single" w:sz="4" w:space="0" w:color="auto"/>
        </w:tblBorders>
        <w:tblCellMar>
          <w:left w:w="0" w:type="dxa"/>
          <w:right w:w="0" w:type="dxa"/>
        </w:tblCellMar>
        <w:tblLook w:val="0000" w:firstRow="0" w:lastRow="0" w:firstColumn="0" w:lastColumn="0" w:noHBand="0" w:noVBand="0"/>
        <w:tblCaption w:val="Reconciliation"/>
        <w:tblDescription w:val="This table provides figures for 2020 and 2021 for both the consolidated entity and parent entity."/>
      </w:tblPr>
      <w:tblGrid>
        <w:gridCol w:w="3937"/>
        <w:gridCol w:w="1284"/>
        <w:gridCol w:w="1284"/>
        <w:gridCol w:w="1284"/>
        <w:gridCol w:w="1281"/>
      </w:tblGrid>
      <w:tr w:rsidR="009103CC" w:rsidRPr="00E32786" w14:paraId="53339EA3" w14:textId="77777777" w:rsidTr="002718DF">
        <w:trPr>
          <w:cantSplit/>
          <w:trHeight w:hRule="exact" w:val="332"/>
          <w:tblHeader/>
        </w:trPr>
        <w:tc>
          <w:tcPr>
            <w:tcW w:w="2170" w:type="pct"/>
            <w:tcMar>
              <w:top w:w="0" w:type="dxa"/>
              <w:left w:w="0" w:type="dxa"/>
              <w:bottom w:w="0" w:type="dxa"/>
              <w:right w:w="0" w:type="dxa"/>
            </w:tcMar>
            <w:vAlign w:val="center"/>
          </w:tcPr>
          <w:p w14:paraId="2848AF77" w14:textId="77777777" w:rsidR="009103CC" w:rsidRPr="00E32786" w:rsidRDefault="009103CC" w:rsidP="002718DF">
            <w:pPr>
              <w:pStyle w:val="Tabletext"/>
              <w:jc w:val="center"/>
              <w:rPr>
                <w:b/>
                <w:bCs/>
              </w:rPr>
            </w:pPr>
          </w:p>
        </w:tc>
        <w:tc>
          <w:tcPr>
            <w:tcW w:w="1416" w:type="pct"/>
            <w:gridSpan w:val="2"/>
            <w:tcMar>
              <w:top w:w="0" w:type="dxa"/>
              <w:left w:w="0" w:type="dxa"/>
              <w:bottom w:w="0" w:type="dxa"/>
              <w:right w:w="0" w:type="dxa"/>
            </w:tcMar>
            <w:vAlign w:val="center"/>
          </w:tcPr>
          <w:p w14:paraId="07802DC5" w14:textId="77777777" w:rsidR="009103CC" w:rsidRPr="00E32786" w:rsidRDefault="009103CC" w:rsidP="002718DF">
            <w:pPr>
              <w:pStyle w:val="Tabletext"/>
              <w:jc w:val="center"/>
              <w:rPr>
                <w:rFonts w:cs="Preston"/>
                <w:b/>
                <w:bCs/>
                <w:szCs w:val="18"/>
              </w:rPr>
            </w:pPr>
            <w:r w:rsidRPr="00E32786">
              <w:rPr>
                <w:rFonts w:cs="Preston"/>
                <w:b/>
                <w:bCs/>
                <w:szCs w:val="18"/>
              </w:rPr>
              <w:t>Consolidated entity</w:t>
            </w:r>
          </w:p>
        </w:tc>
        <w:tc>
          <w:tcPr>
            <w:tcW w:w="1414" w:type="pct"/>
            <w:gridSpan w:val="2"/>
            <w:tcMar>
              <w:top w:w="0" w:type="dxa"/>
              <w:left w:w="0" w:type="dxa"/>
              <w:bottom w:w="0" w:type="dxa"/>
              <w:right w:w="0" w:type="dxa"/>
            </w:tcMar>
            <w:vAlign w:val="center"/>
          </w:tcPr>
          <w:p w14:paraId="5B688142" w14:textId="77777777" w:rsidR="009103CC" w:rsidRPr="00E32786" w:rsidRDefault="009103CC" w:rsidP="002718DF">
            <w:pPr>
              <w:pStyle w:val="Tabletext"/>
              <w:jc w:val="center"/>
              <w:rPr>
                <w:rFonts w:cs="Preston"/>
                <w:b/>
                <w:bCs/>
                <w:szCs w:val="18"/>
              </w:rPr>
            </w:pPr>
            <w:r w:rsidRPr="00E32786">
              <w:rPr>
                <w:rFonts w:cs="Preston"/>
                <w:b/>
                <w:bCs/>
                <w:szCs w:val="18"/>
              </w:rPr>
              <w:t>Parent entity</w:t>
            </w:r>
          </w:p>
        </w:tc>
      </w:tr>
      <w:tr w:rsidR="009103CC" w:rsidRPr="00E32786" w14:paraId="16EA3A3D" w14:textId="77777777" w:rsidTr="002718DF">
        <w:trPr>
          <w:cantSplit/>
          <w:trHeight w:hRule="exact" w:val="553"/>
          <w:tblHeader/>
        </w:trPr>
        <w:tc>
          <w:tcPr>
            <w:tcW w:w="2170" w:type="pct"/>
            <w:tcMar>
              <w:top w:w="0" w:type="dxa"/>
              <w:left w:w="0" w:type="dxa"/>
              <w:bottom w:w="0" w:type="dxa"/>
              <w:right w:w="0" w:type="dxa"/>
            </w:tcMar>
            <w:vAlign w:val="center"/>
          </w:tcPr>
          <w:p w14:paraId="7E59AF00" w14:textId="77777777" w:rsidR="009103CC" w:rsidRPr="00E32786" w:rsidRDefault="009103CC" w:rsidP="002718DF">
            <w:pPr>
              <w:pStyle w:val="Tabletext"/>
              <w:rPr>
                <w:b/>
                <w:bCs/>
              </w:rPr>
            </w:pPr>
            <w:r w:rsidRPr="00E32786">
              <w:rPr>
                <w:b/>
                <w:bCs/>
              </w:rPr>
              <w:t>Reconciliation</w:t>
            </w:r>
          </w:p>
        </w:tc>
        <w:tc>
          <w:tcPr>
            <w:tcW w:w="708" w:type="pct"/>
            <w:tcMar>
              <w:top w:w="0" w:type="dxa"/>
              <w:left w:w="0" w:type="dxa"/>
              <w:bottom w:w="0" w:type="dxa"/>
              <w:right w:w="0" w:type="dxa"/>
            </w:tcMar>
            <w:vAlign w:val="center"/>
          </w:tcPr>
          <w:p w14:paraId="519B8065" w14:textId="77777777" w:rsidR="009103CC" w:rsidRPr="00E32786" w:rsidRDefault="009103CC" w:rsidP="002718DF">
            <w:pPr>
              <w:pStyle w:val="Tabletext"/>
              <w:jc w:val="right"/>
              <w:rPr>
                <w:rFonts w:cs="Preston"/>
                <w:b/>
                <w:bCs/>
                <w:szCs w:val="18"/>
              </w:rPr>
            </w:pPr>
            <w:r w:rsidRPr="00E32786">
              <w:rPr>
                <w:rFonts w:cs="Preston"/>
                <w:b/>
                <w:bCs/>
                <w:szCs w:val="18"/>
              </w:rPr>
              <w:t>2021</w:t>
            </w:r>
          </w:p>
          <w:p w14:paraId="55998406" w14:textId="77777777" w:rsidR="009103CC" w:rsidRPr="00E32786" w:rsidRDefault="009103CC" w:rsidP="002718DF">
            <w:pPr>
              <w:pStyle w:val="Tabletext"/>
              <w:jc w:val="right"/>
              <w:rPr>
                <w:rFonts w:cs="Preston"/>
                <w:b/>
                <w:bCs/>
                <w:szCs w:val="18"/>
              </w:rPr>
            </w:pPr>
            <w:r w:rsidRPr="00E32786">
              <w:rPr>
                <w:rFonts w:cs="Preston"/>
                <w:b/>
                <w:bCs/>
                <w:szCs w:val="18"/>
              </w:rPr>
              <w:t>$'000</w:t>
            </w:r>
          </w:p>
        </w:tc>
        <w:tc>
          <w:tcPr>
            <w:tcW w:w="708" w:type="pct"/>
            <w:tcMar>
              <w:top w:w="0" w:type="dxa"/>
              <w:left w:w="0" w:type="dxa"/>
              <w:bottom w:w="0" w:type="dxa"/>
              <w:right w:w="0" w:type="dxa"/>
            </w:tcMar>
            <w:vAlign w:val="center"/>
          </w:tcPr>
          <w:p w14:paraId="7D6AB224" w14:textId="77777777" w:rsidR="009103CC" w:rsidRPr="00E32786" w:rsidRDefault="009103CC" w:rsidP="002718DF">
            <w:pPr>
              <w:pStyle w:val="Tabletext"/>
              <w:jc w:val="right"/>
              <w:rPr>
                <w:rFonts w:cs="Preston"/>
                <w:b/>
                <w:bCs/>
                <w:szCs w:val="18"/>
              </w:rPr>
            </w:pPr>
            <w:r w:rsidRPr="00E32786">
              <w:rPr>
                <w:rFonts w:cs="Preston"/>
                <w:b/>
                <w:bCs/>
                <w:szCs w:val="18"/>
              </w:rPr>
              <w:t>2020</w:t>
            </w:r>
          </w:p>
          <w:p w14:paraId="014118BA" w14:textId="77777777" w:rsidR="009103CC" w:rsidRPr="00E32786" w:rsidRDefault="009103CC" w:rsidP="002718DF">
            <w:pPr>
              <w:pStyle w:val="Tabletext"/>
              <w:jc w:val="right"/>
              <w:rPr>
                <w:rFonts w:cs="Preston"/>
                <w:b/>
                <w:bCs/>
                <w:szCs w:val="18"/>
              </w:rPr>
            </w:pPr>
            <w:r w:rsidRPr="00E32786">
              <w:rPr>
                <w:rFonts w:cs="Preston"/>
                <w:b/>
                <w:bCs/>
                <w:szCs w:val="18"/>
              </w:rPr>
              <w:t>$'000</w:t>
            </w:r>
          </w:p>
        </w:tc>
        <w:tc>
          <w:tcPr>
            <w:tcW w:w="708" w:type="pct"/>
            <w:tcMar>
              <w:top w:w="0" w:type="dxa"/>
              <w:left w:w="0" w:type="dxa"/>
              <w:bottom w:w="0" w:type="dxa"/>
              <w:right w:w="0" w:type="dxa"/>
            </w:tcMar>
            <w:vAlign w:val="center"/>
          </w:tcPr>
          <w:p w14:paraId="395E3E9C" w14:textId="77777777" w:rsidR="009103CC" w:rsidRPr="00E32786" w:rsidRDefault="009103CC" w:rsidP="002718DF">
            <w:pPr>
              <w:pStyle w:val="Tabletext"/>
              <w:jc w:val="right"/>
              <w:rPr>
                <w:rFonts w:cs="Preston"/>
                <w:b/>
                <w:bCs/>
                <w:szCs w:val="18"/>
              </w:rPr>
            </w:pPr>
            <w:r w:rsidRPr="00E32786">
              <w:rPr>
                <w:rFonts w:cs="Preston"/>
                <w:b/>
                <w:bCs/>
                <w:szCs w:val="18"/>
              </w:rPr>
              <w:t>2021</w:t>
            </w:r>
          </w:p>
          <w:p w14:paraId="6F94B27F" w14:textId="77777777" w:rsidR="009103CC" w:rsidRPr="00E32786" w:rsidRDefault="009103CC" w:rsidP="002718DF">
            <w:pPr>
              <w:pStyle w:val="Tabletext"/>
              <w:jc w:val="right"/>
              <w:rPr>
                <w:rFonts w:cs="Preston"/>
                <w:b/>
                <w:bCs/>
                <w:szCs w:val="18"/>
              </w:rPr>
            </w:pPr>
            <w:r w:rsidRPr="00E32786">
              <w:rPr>
                <w:rFonts w:cs="Preston"/>
                <w:b/>
                <w:bCs/>
                <w:szCs w:val="18"/>
              </w:rPr>
              <w:t>$'000</w:t>
            </w:r>
          </w:p>
          <w:p w14:paraId="3690B6E9" w14:textId="77777777" w:rsidR="009103CC" w:rsidRPr="00E32786" w:rsidRDefault="009103CC" w:rsidP="002718DF">
            <w:pPr>
              <w:pStyle w:val="Tabletext"/>
              <w:jc w:val="right"/>
              <w:rPr>
                <w:rFonts w:cs="Preston"/>
                <w:b/>
                <w:bCs/>
                <w:szCs w:val="18"/>
              </w:rPr>
            </w:pPr>
          </w:p>
        </w:tc>
        <w:tc>
          <w:tcPr>
            <w:tcW w:w="706" w:type="pct"/>
            <w:tcMar>
              <w:top w:w="0" w:type="dxa"/>
              <w:left w:w="0" w:type="dxa"/>
              <w:bottom w:w="0" w:type="dxa"/>
              <w:right w:w="0" w:type="dxa"/>
            </w:tcMar>
            <w:vAlign w:val="center"/>
          </w:tcPr>
          <w:p w14:paraId="68C5DD63" w14:textId="77777777" w:rsidR="009103CC" w:rsidRPr="00E32786" w:rsidRDefault="009103CC" w:rsidP="002718DF">
            <w:pPr>
              <w:pStyle w:val="Tabletext"/>
              <w:jc w:val="right"/>
              <w:rPr>
                <w:rFonts w:cs="Preston"/>
                <w:b/>
                <w:bCs/>
                <w:szCs w:val="18"/>
              </w:rPr>
            </w:pPr>
            <w:r w:rsidRPr="00E32786">
              <w:rPr>
                <w:rFonts w:cs="Preston"/>
                <w:b/>
                <w:bCs/>
                <w:szCs w:val="18"/>
              </w:rPr>
              <w:t>2020</w:t>
            </w:r>
          </w:p>
          <w:p w14:paraId="09CB0984" w14:textId="77777777" w:rsidR="009103CC" w:rsidRPr="00E32786" w:rsidRDefault="009103CC" w:rsidP="002718DF">
            <w:pPr>
              <w:pStyle w:val="Tabletext"/>
              <w:jc w:val="right"/>
              <w:rPr>
                <w:rFonts w:cs="Preston"/>
                <w:b/>
                <w:bCs/>
                <w:szCs w:val="18"/>
              </w:rPr>
            </w:pPr>
            <w:r w:rsidRPr="00E32786">
              <w:rPr>
                <w:rFonts w:cs="Preston"/>
                <w:b/>
                <w:bCs/>
                <w:szCs w:val="18"/>
              </w:rPr>
              <w:t>$'000</w:t>
            </w:r>
          </w:p>
          <w:p w14:paraId="4D38CBAB" w14:textId="77777777" w:rsidR="009103CC" w:rsidRPr="00E32786" w:rsidRDefault="009103CC" w:rsidP="002718DF">
            <w:pPr>
              <w:pStyle w:val="Tabletext"/>
              <w:jc w:val="right"/>
              <w:rPr>
                <w:rFonts w:cs="Preston"/>
                <w:b/>
                <w:bCs/>
                <w:szCs w:val="18"/>
              </w:rPr>
            </w:pPr>
          </w:p>
        </w:tc>
      </w:tr>
      <w:tr w:rsidR="009103CC" w:rsidRPr="001814D2" w14:paraId="03293AE6" w14:textId="77777777" w:rsidTr="002718DF">
        <w:tblPrEx>
          <w:tblBorders>
            <w:bottom w:val="single" w:sz="4" w:space="0" w:color="auto"/>
          </w:tblBorders>
        </w:tblPrEx>
        <w:trPr>
          <w:cantSplit/>
          <w:trHeight w:hRule="exact" w:val="332"/>
        </w:trPr>
        <w:tc>
          <w:tcPr>
            <w:tcW w:w="2170" w:type="pct"/>
            <w:tcMar>
              <w:top w:w="0" w:type="dxa"/>
              <w:left w:w="0" w:type="dxa"/>
              <w:bottom w:w="0" w:type="dxa"/>
              <w:right w:w="0" w:type="dxa"/>
            </w:tcMar>
            <w:vAlign w:val="center"/>
          </w:tcPr>
          <w:p w14:paraId="32C8E4D7" w14:textId="77777777" w:rsidR="009103CC" w:rsidRPr="001814D2" w:rsidRDefault="009103CC" w:rsidP="002718DF">
            <w:pPr>
              <w:pStyle w:val="Tabletext"/>
            </w:pPr>
            <w:r w:rsidRPr="001814D2">
              <w:t>Carrying amount at the beginning of the year</w:t>
            </w:r>
          </w:p>
        </w:tc>
        <w:tc>
          <w:tcPr>
            <w:tcW w:w="708" w:type="pct"/>
            <w:tcMar>
              <w:top w:w="0" w:type="dxa"/>
              <w:left w:w="0" w:type="dxa"/>
              <w:bottom w:w="0" w:type="dxa"/>
              <w:right w:w="0" w:type="dxa"/>
            </w:tcMar>
            <w:vAlign w:val="center"/>
          </w:tcPr>
          <w:p w14:paraId="5FFFEC29" w14:textId="77777777" w:rsidR="009103CC" w:rsidRPr="001814D2" w:rsidRDefault="009103CC" w:rsidP="002718DF">
            <w:pPr>
              <w:pStyle w:val="Tabletext"/>
              <w:jc w:val="right"/>
            </w:pPr>
            <w:r w:rsidRPr="001814D2">
              <w:t>119,251</w:t>
            </w:r>
          </w:p>
        </w:tc>
        <w:tc>
          <w:tcPr>
            <w:tcW w:w="708" w:type="pct"/>
            <w:tcMar>
              <w:top w:w="0" w:type="dxa"/>
              <w:left w:w="0" w:type="dxa"/>
              <w:bottom w:w="0" w:type="dxa"/>
              <w:right w:w="0" w:type="dxa"/>
            </w:tcMar>
            <w:vAlign w:val="center"/>
          </w:tcPr>
          <w:p w14:paraId="7813DBD9" w14:textId="77777777" w:rsidR="009103CC" w:rsidRPr="001814D2" w:rsidRDefault="009103CC" w:rsidP="002718DF">
            <w:pPr>
              <w:pStyle w:val="Tabletext"/>
              <w:jc w:val="right"/>
            </w:pPr>
            <w:r w:rsidRPr="001814D2">
              <w:t>40,107</w:t>
            </w:r>
          </w:p>
        </w:tc>
        <w:tc>
          <w:tcPr>
            <w:tcW w:w="708" w:type="pct"/>
            <w:tcMar>
              <w:top w:w="0" w:type="dxa"/>
              <w:left w:w="0" w:type="dxa"/>
              <w:bottom w:w="0" w:type="dxa"/>
              <w:right w:w="0" w:type="dxa"/>
            </w:tcMar>
            <w:vAlign w:val="center"/>
          </w:tcPr>
          <w:p w14:paraId="2CE616CF" w14:textId="77777777" w:rsidR="009103CC" w:rsidRPr="001814D2" w:rsidRDefault="009103CC" w:rsidP="002718DF">
            <w:pPr>
              <w:pStyle w:val="Tabletext"/>
              <w:jc w:val="right"/>
            </w:pPr>
            <w:r w:rsidRPr="001814D2">
              <w:t>117,888</w:t>
            </w:r>
          </w:p>
        </w:tc>
        <w:tc>
          <w:tcPr>
            <w:tcW w:w="706" w:type="pct"/>
            <w:tcMar>
              <w:top w:w="0" w:type="dxa"/>
              <w:left w:w="0" w:type="dxa"/>
              <w:bottom w:w="0" w:type="dxa"/>
              <w:right w:w="0" w:type="dxa"/>
            </w:tcMar>
            <w:vAlign w:val="center"/>
          </w:tcPr>
          <w:p w14:paraId="1205CA29" w14:textId="77777777" w:rsidR="009103CC" w:rsidRPr="001814D2" w:rsidRDefault="009103CC" w:rsidP="002718DF">
            <w:pPr>
              <w:pStyle w:val="Tabletext"/>
              <w:jc w:val="right"/>
            </w:pPr>
            <w:r w:rsidRPr="001814D2">
              <w:t>40,109</w:t>
            </w:r>
          </w:p>
        </w:tc>
      </w:tr>
      <w:tr w:rsidR="009103CC" w:rsidRPr="001814D2" w14:paraId="53B75ADA" w14:textId="77777777" w:rsidTr="002718DF">
        <w:tblPrEx>
          <w:tblBorders>
            <w:bottom w:val="single" w:sz="4" w:space="0" w:color="auto"/>
          </w:tblBorders>
        </w:tblPrEx>
        <w:trPr>
          <w:cantSplit/>
          <w:trHeight w:hRule="exact" w:val="332"/>
        </w:trPr>
        <w:tc>
          <w:tcPr>
            <w:tcW w:w="2170" w:type="pct"/>
            <w:tcMar>
              <w:top w:w="0" w:type="dxa"/>
              <w:left w:w="0" w:type="dxa"/>
              <w:bottom w:w="0" w:type="dxa"/>
              <w:right w:w="0" w:type="dxa"/>
            </w:tcMar>
            <w:vAlign w:val="center"/>
          </w:tcPr>
          <w:p w14:paraId="5FC53F47" w14:textId="77777777" w:rsidR="009103CC" w:rsidRPr="001814D2" w:rsidRDefault="009103CC" w:rsidP="002718DF">
            <w:pPr>
              <w:pStyle w:val="Tabletext"/>
            </w:pPr>
            <w:r w:rsidRPr="001814D2">
              <w:t>Addition</w:t>
            </w:r>
          </w:p>
        </w:tc>
        <w:tc>
          <w:tcPr>
            <w:tcW w:w="708" w:type="pct"/>
            <w:tcMar>
              <w:top w:w="0" w:type="dxa"/>
              <w:left w:w="0" w:type="dxa"/>
              <w:bottom w:w="0" w:type="dxa"/>
              <w:right w:w="0" w:type="dxa"/>
            </w:tcMar>
            <w:vAlign w:val="center"/>
          </w:tcPr>
          <w:p w14:paraId="2D1969B4" w14:textId="77777777" w:rsidR="009103CC" w:rsidRPr="001814D2" w:rsidRDefault="009103CC" w:rsidP="002718DF">
            <w:pPr>
              <w:pStyle w:val="Tabletext"/>
              <w:jc w:val="right"/>
            </w:pPr>
            <w:r w:rsidRPr="001814D2">
              <w:t>31,943</w:t>
            </w:r>
          </w:p>
        </w:tc>
        <w:tc>
          <w:tcPr>
            <w:tcW w:w="708" w:type="pct"/>
            <w:tcMar>
              <w:top w:w="0" w:type="dxa"/>
              <w:left w:w="0" w:type="dxa"/>
              <w:bottom w:w="0" w:type="dxa"/>
              <w:right w:w="0" w:type="dxa"/>
            </w:tcMar>
            <w:vAlign w:val="center"/>
          </w:tcPr>
          <w:p w14:paraId="42F8DFE1" w14:textId="77777777" w:rsidR="009103CC" w:rsidRPr="001814D2" w:rsidRDefault="009103CC" w:rsidP="002718DF">
            <w:pPr>
              <w:pStyle w:val="Tabletext"/>
              <w:jc w:val="right"/>
            </w:pPr>
            <w:r w:rsidRPr="001814D2">
              <w:t>79,125</w:t>
            </w:r>
          </w:p>
        </w:tc>
        <w:tc>
          <w:tcPr>
            <w:tcW w:w="708" w:type="pct"/>
            <w:tcMar>
              <w:top w:w="0" w:type="dxa"/>
              <w:left w:w="0" w:type="dxa"/>
              <w:bottom w:w="0" w:type="dxa"/>
              <w:right w:w="0" w:type="dxa"/>
            </w:tcMar>
            <w:vAlign w:val="center"/>
          </w:tcPr>
          <w:p w14:paraId="60B18B22" w14:textId="77777777" w:rsidR="009103CC" w:rsidRPr="001814D2" w:rsidRDefault="009103CC" w:rsidP="002718DF">
            <w:pPr>
              <w:pStyle w:val="Tabletext"/>
              <w:jc w:val="right"/>
            </w:pPr>
            <w:r w:rsidRPr="001814D2">
              <w:t>31,940</w:t>
            </w:r>
          </w:p>
        </w:tc>
        <w:tc>
          <w:tcPr>
            <w:tcW w:w="706" w:type="pct"/>
            <w:tcMar>
              <w:top w:w="0" w:type="dxa"/>
              <w:left w:w="0" w:type="dxa"/>
              <w:bottom w:w="0" w:type="dxa"/>
              <w:right w:w="0" w:type="dxa"/>
            </w:tcMar>
            <w:vAlign w:val="center"/>
          </w:tcPr>
          <w:p w14:paraId="163393BC" w14:textId="77777777" w:rsidR="009103CC" w:rsidRPr="001814D2" w:rsidRDefault="009103CC" w:rsidP="002718DF">
            <w:pPr>
              <w:pStyle w:val="Tabletext"/>
              <w:jc w:val="right"/>
            </w:pPr>
            <w:r w:rsidRPr="001814D2">
              <w:t>77,725</w:t>
            </w:r>
          </w:p>
        </w:tc>
      </w:tr>
      <w:tr w:rsidR="009103CC" w:rsidRPr="001814D2" w14:paraId="28D0FB21" w14:textId="77777777" w:rsidTr="002718DF">
        <w:tblPrEx>
          <w:tblBorders>
            <w:bottom w:val="single" w:sz="4" w:space="0" w:color="auto"/>
          </w:tblBorders>
        </w:tblPrEx>
        <w:trPr>
          <w:cantSplit/>
          <w:trHeight w:hRule="exact" w:val="332"/>
        </w:trPr>
        <w:tc>
          <w:tcPr>
            <w:tcW w:w="2170" w:type="pct"/>
            <w:tcMar>
              <w:top w:w="0" w:type="dxa"/>
              <w:left w:w="0" w:type="dxa"/>
              <w:bottom w:w="0" w:type="dxa"/>
              <w:right w:w="0" w:type="dxa"/>
            </w:tcMar>
            <w:vAlign w:val="center"/>
          </w:tcPr>
          <w:p w14:paraId="3C2548F1" w14:textId="77777777" w:rsidR="009103CC" w:rsidRPr="001814D2" w:rsidRDefault="009103CC" w:rsidP="002718DF">
            <w:pPr>
              <w:pStyle w:val="Tabletext"/>
            </w:pPr>
            <w:r w:rsidRPr="001814D2">
              <w:t>Disposal</w:t>
            </w:r>
          </w:p>
        </w:tc>
        <w:tc>
          <w:tcPr>
            <w:tcW w:w="708" w:type="pct"/>
            <w:tcMar>
              <w:top w:w="0" w:type="dxa"/>
              <w:left w:w="0" w:type="dxa"/>
              <w:bottom w:w="0" w:type="dxa"/>
              <w:right w:w="0" w:type="dxa"/>
            </w:tcMar>
            <w:vAlign w:val="center"/>
          </w:tcPr>
          <w:p w14:paraId="7D6C2707" w14:textId="77777777" w:rsidR="009103CC" w:rsidRPr="001814D2" w:rsidRDefault="009103CC" w:rsidP="002718DF">
            <w:pPr>
              <w:pStyle w:val="Tabletext"/>
              <w:jc w:val="right"/>
            </w:pPr>
            <w:r w:rsidRPr="001814D2">
              <w:t>(4,000)</w:t>
            </w:r>
          </w:p>
        </w:tc>
        <w:tc>
          <w:tcPr>
            <w:tcW w:w="708" w:type="pct"/>
            <w:tcMar>
              <w:top w:w="0" w:type="dxa"/>
              <w:left w:w="0" w:type="dxa"/>
              <w:bottom w:w="0" w:type="dxa"/>
              <w:right w:w="0" w:type="dxa"/>
            </w:tcMar>
            <w:vAlign w:val="center"/>
          </w:tcPr>
          <w:p w14:paraId="392243CF" w14:textId="77777777" w:rsidR="009103CC" w:rsidRPr="001814D2" w:rsidRDefault="009103CC" w:rsidP="002718DF">
            <w:pPr>
              <w:pStyle w:val="Tabletext"/>
              <w:jc w:val="right"/>
            </w:pPr>
            <w:r w:rsidRPr="001814D2">
              <w:t>-</w:t>
            </w:r>
          </w:p>
        </w:tc>
        <w:tc>
          <w:tcPr>
            <w:tcW w:w="708" w:type="pct"/>
            <w:tcMar>
              <w:top w:w="0" w:type="dxa"/>
              <w:left w:w="0" w:type="dxa"/>
              <w:bottom w:w="0" w:type="dxa"/>
              <w:right w:w="0" w:type="dxa"/>
            </w:tcMar>
            <w:vAlign w:val="center"/>
          </w:tcPr>
          <w:p w14:paraId="7290373C" w14:textId="77777777" w:rsidR="009103CC" w:rsidRPr="001814D2" w:rsidRDefault="009103CC" w:rsidP="002718DF">
            <w:pPr>
              <w:pStyle w:val="Tabletext"/>
              <w:jc w:val="right"/>
            </w:pPr>
            <w:r w:rsidRPr="001814D2">
              <w:t>(4,000)</w:t>
            </w:r>
          </w:p>
        </w:tc>
        <w:tc>
          <w:tcPr>
            <w:tcW w:w="706" w:type="pct"/>
            <w:tcMar>
              <w:top w:w="0" w:type="dxa"/>
              <w:left w:w="0" w:type="dxa"/>
              <w:bottom w:w="0" w:type="dxa"/>
              <w:right w:w="0" w:type="dxa"/>
            </w:tcMar>
            <w:vAlign w:val="center"/>
          </w:tcPr>
          <w:p w14:paraId="21A3ED3D" w14:textId="77777777" w:rsidR="009103CC" w:rsidRPr="001814D2" w:rsidRDefault="009103CC" w:rsidP="002718DF">
            <w:pPr>
              <w:pStyle w:val="Tabletext"/>
              <w:jc w:val="right"/>
            </w:pPr>
            <w:r w:rsidRPr="001814D2">
              <w:t>-</w:t>
            </w:r>
          </w:p>
        </w:tc>
      </w:tr>
      <w:tr w:rsidR="009103CC" w:rsidRPr="001814D2" w14:paraId="27135DFE" w14:textId="77777777" w:rsidTr="002718DF">
        <w:tblPrEx>
          <w:tblBorders>
            <w:bottom w:val="single" w:sz="4" w:space="0" w:color="auto"/>
          </w:tblBorders>
        </w:tblPrEx>
        <w:trPr>
          <w:cantSplit/>
          <w:trHeight w:hRule="exact" w:val="332"/>
        </w:trPr>
        <w:tc>
          <w:tcPr>
            <w:tcW w:w="2170" w:type="pct"/>
            <w:tcMar>
              <w:top w:w="0" w:type="dxa"/>
              <w:left w:w="0" w:type="dxa"/>
              <w:bottom w:w="0" w:type="dxa"/>
              <w:right w:w="0" w:type="dxa"/>
            </w:tcMar>
            <w:vAlign w:val="center"/>
          </w:tcPr>
          <w:p w14:paraId="743EDCC7" w14:textId="77777777" w:rsidR="009103CC" w:rsidRPr="001814D2" w:rsidRDefault="009103CC" w:rsidP="002718DF">
            <w:pPr>
              <w:pStyle w:val="Tabletext"/>
            </w:pPr>
            <w:r w:rsidRPr="001814D2">
              <w:t>Distribution</w:t>
            </w:r>
          </w:p>
        </w:tc>
        <w:tc>
          <w:tcPr>
            <w:tcW w:w="708" w:type="pct"/>
            <w:tcMar>
              <w:top w:w="0" w:type="dxa"/>
              <w:left w:w="0" w:type="dxa"/>
              <w:bottom w:w="0" w:type="dxa"/>
              <w:right w:w="0" w:type="dxa"/>
            </w:tcMar>
            <w:vAlign w:val="center"/>
          </w:tcPr>
          <w:p w14:paraId="2AA8BC8C" w14:textId="77777777" w:rsidR="009103CC" w:rsidRPr="001814D2" w:rsidRDefault="009103CC" w:rsidP="002718DF">
            <w:pPr>
              <w:pStyle w:val="Tabletext"/>
              <w:jc w:val="right"/>
            </w:pPr>
            <w:r w:rsidRPr="001814D2">
              <w:t>7,113</w:t>
            </w:r>
          </w:p>
        </w:tc>
        <w:tc>
          <w:tcPr>
            <w:tcW w:w="708" w:type="pct"/>
            <w:tcMar>
              <w:top w:w="0" w:type="dxa"/>
              <w:left w:w="0" w:type="dxa"/>
              <w:bottom w:w="0" w:type="dxa"/>
              <w:right w:w="0" w:type="dxa"/>
            </w:tcMar>
            <w:vAlign w:val="center"/>
          </w:tcPr>
          <w:p w14:paraId="2656233F" w14:textId="77777777" w:rsidR="009103CC" w:rsidRPr="001814D2" w:rsidRDefault="009103CC" w:rsidP="002718DF">
            <w:pPr>
              <w:pStyle w:val="Tabletext"/>
              <w:jc w:val="right"/>
            </w:pPr>
            <w:r w:rsidRPr="001814D2">
              <w:t>3,266</w:t>
            </w:r>
          </w:p>
        </w:tc>
        <w:tc>
          <w:tcPr>
            <w:tcW w:w="708" w:type="pct"/>
            <w:tcMar>
              <w:top w:w="0" w:type="dxa"/>
              <w:left w:w="0" w:type="dxa"/>
              <w:bottom w:w="0" w:type="dxa"/>
              <w:right w:w="0" w:type="dxa"/>
            </w:tcMar>
            <w:vAlign w:val="center"/>
          </w:tcPr>
          <w:p w14:paraId="5193004D" w14:textId="77777777" w:rsidR="009103CC" w:rsidRPr="001814D2" w:rsidRDefault="009103CC" w:rsidP="002718DF">
            <w:pPr>
              <w:pStyle w:val="Tabletext"/>
              <w:jc w:val="right"/>
            </w:pPr>
            <w:r w:rsidRPr="001814D2">
              <w:t>7,042</w:t>
            </w:r>
          </w:p>
        </w:tc>
        <w:tc>
          <w:tcPr>
            <w:tcW w:w="706" w:type="pct"/>
            <w:tcMar>
              <w:top w:w="0" w:type="dxa"/>
              <w:left w:w="0" w:type="dxa"/>
              <w:bottom w:w="0" w:type="dxa"/>
              <w:right w:w="0" w:type="dxa"/>
            </w:tcMar>
            <w:vAlign w:val="center"/>
          </w:tcPr>
          <w:p w14:paraId="0F7F70B4" w14:textId="77777777" w:rsidR="009103CC" w:rsidRPr="001814D2" w:rsidRDefault="009103CC" w:rsidP="002718DF">
            <w:pPr>
              <w:pStyle w:val="Tabletext"/>
              <w:jc w:val="right"/>
            </w:pPr>
            <w:r w:rsidRPr="001814D2">
              <w:t>3,232</w:t>
            </w:r>
          </w:p>
        </w:tc>
      </w:tr>
      <w:tr w:rsidR="009103CC" w:rsidRPr="001814D2" w14:paraId="15B8BC3F" w14:textId="77777777" w:rsidTr="002718DF">
        <w:tblPrEx>
          <w:tblBorders>
            <w:bottom w:val="single" w:sz="4" w:space="0" w:color="auto"/>
          </w:tblBorders>
        </w:tblPrEx>
        <w:trPr>
          <w:cantSplit/>
          <w:trHeight w:hRule="exact" w:val="615"/>
        </w:trPr>
        <w:tc>
          <w:tcPr>
            <w:tcW w:w="2170" w:type="pct"/>
            <w:tcMar>
              <w:top w:w="0" w:type="dxa"/>
              <w:left w:w="0" w:type="dxa"/>
              <w:bottom w:w="0" w:type="dxa"/>
              <w:right w:w="0" w:type="dxa"/>
            </w:tcMar>
            <w:vAlign w:val="center"/>
          </w:tcPr>
          <w:p w14:paraId="2D09A062" w14:textId="77777777" w:rsidR="009103CC" w:rsidRPr="001814D2" w:rsidRDefault="009103CC" w:rsidP="002718DF">
            <w:pPr>
              <w:pStyle w:val="Tabletext"/>
            </w:pPr>
            <w:r w:rsidRPr="001814D2">
              <w:t>Fair value gain/loss of financial assets at fair value</w:t>
            </w:r>
          </w:p>
        </w:tc>
        <w:tc>
          <w:tcPr>
            <w:tcW w:w="708" w:type="pct"/>
            <w:tcMar>
              <w:top w:w="0" w:type="dxa"/>
              <w:left w:w="0" w:type="dxa"/>
              <w:bottom w:w="0" w:type="dxa"/>
              <w:right w:w="0" w:type="dxa"/>
            </w:tcMar>
            <w:vAlign w:val="center"/>
          </w:tcPr>
          <w:p w14:paraId="655A9189" w14:textId="77777777" w:rsidR="009103CC" w:rsidRPr="001814D2" w:rsidRDefault="009103CC" w:rsidP="002718DF">
            <w:pPr>
              <w:pStyle w:val="Tabletext"/>
              <w:jc w:val="right"/>
            </w:pPr>
            <w:r w:rsidRPr="001814D2">
              <w:t>1,177</w:t>
            </w:r>
          </w:p>
        </w:tc>
        <w:tc>
          <w:tcPr>
            <w:tcW w:w="708" w:type="pct"/>
            <w:tcMar>
              <w:top w:w="0" w:type="dxa"/>
              <w:left w:w="0" w:type="dxa"/>
              <w:bottom w:w="0" w:type="dxa"/>
              <w:right w:w="0" w:type="dxa"/>
            </w:tcMar>
            <w:vAlign w:val="center"/>
          </w:tcPr>
          <w:p w14:paraId="5E8E2EFA" w14:textId="77777777" w:rsidR="009103CC" w:rsidRPr="001814D2" w:rsidRDefault="009103CC" w:rsidP="002718DF">
            <w:pPr>
              <w:pStyle w:val="Tabletext"/>
              <w:jc w:val="right"/>
            </w:pPr>
            <w:r w:rsidRPr="001814D2">
              <w:t>(3,247)</w:t>
            </w:r>
          </w:p>
        </w:tc>
        <w:tc>
          <w:tcPr>
            <w:tcW w:w="708" w:type="pct"/>
            <w:tcMar>
              <w:top w:w="0" w:type="dxa"/>
              <w:left w:w="0" w:type="dxa"/>
              <w:bottom w:w="0" w:type="dxa"/>
              <w:right w:w="0" w:type="dxa"/>
            </w:tcMar>
            <w:vAlign w:val="center"/>
          </w:tcPr>
          <w:p w14:paraId="0FAD107A" w14:textId="77777777" w:rsidR="009103CC" w:rsidRPr="001814D2" w:rsidRDefault="009103CC" w:rsidP="002718DF">
            <w:pPr>
              <w:pStyle w:val="Tabletext"/>
              <w:jc w:val="right"/>
            </w:pPr>
            <w:r w:rsidRPr="001814D2">
              <w:t>1,145</w:t>
            </w:r>
          </w:p>
        </w:tc>
        <w:tc>
          <w:tcPr>
            <w:tcW w:w="706" w:type="pct"/>
            <w:tcMar>
              <w:top w:w="0" w:type="dxa"/>
              <w:left w:w="0" w:type="dxa"/>
              <w:bottom w:w="0" w:type="dxa"/>
              <w:right w:w="0" w:type="dxa"/>
            </w:tcMar>
            <w:vAlign w:val="center"/>
          </w:tcPr>
          <w:p w14:paraId="7D5DE21F" w14:textId="77777777" w:rsidR="009103CC" w:rsidRPr="001814D2" w:rsidRDefault="009103CC" w:rsidP="002718DF">
            <w:pPr>
              <w:pStyle w:val="Tabletext"/>
              <w:jc w:val="right"/>
            </w:pPr>
            <w:r w:rsidRPr="001814D2">
              <w:t>(3,178)</w:t>
            </w:r>
          </w:p>
        </w:tc>
      </w:tr>
      <w:tr w:rsidR="009103CC" w:rsidRPr="001814D2" w14:paraId="7BA70E63" w14:textId="77777777" w:rsidTr="002718DF">
        <w:tblPrEx>
          <w:tblBorders>
            <w:bottom w:val="single" w:sz="4" w:space="0" w:color="auto"/>
          </w:tblBorders>
        </w:tblPrEx>
        <w:trPr>
          <w:cantSplit/>
          <w:trHeight w:hRule="exact" w:val="332"/>
        </w:trPr>
        <w:tc>
          <w:tcPr>
            <w:tcW w:w="2170" w:type="pct"/>
            <w:tcMar>
              <w:top w:w="0" w:type="dxa"/>
              <w:left w:w="0" w:type="dxa"/>
              <w:bottom w:w="0" w:type="dxa"/>
              <w:right w:w="0" w:type="dxa"/>
            </w:tcMar>
            <w:vAlign w:val="center"/>
          </w:tcPr>
          <w:p w14:paraId="6B1A6F76" w14:textId="77777777" w:rsidR="009103CC" w:rsidRPr="001814D2" w:rsidRDefault="009103CC" w:rsidP="002718DF">
            <w:pPr>
              <w:pStyle w:val="Tabletext"/>
              <w:rPr>
                <w:rFonts w:cstheme="minorBidi"/>
                <w:sz w:val="24"/>
                <w:szCs w:val="24"/>
              </w:rPr>
            </w:pPr>
          </w:p>
        </w:tc>
        <w:tc>
          <w:tcPr>
            <w:tcW w:w="708" w:type="pct"/>
            <w:tcMar>
              <w:top w:w="0" w:type="dxa"/>
              <w:left w:w="0" w:type="dxa"/>
              <w:bottom w:w="0" w:type="dxa"/>
              <w:right w:w="0" w:type="dxa"/>
            </w:tcMar>
            <w:vAlign w:val="center"/>
          </w:tcPr>
          <w:p w14:paraId="7032F302" w14:textId="77777777" w:rsidR="009103CC" w:rsidRPr="001814D2" w:rsidRDefault="009103CC" w:rsidP="002718DF">
            <w:pPr>
              <w:pStyle w:val="Tabletext"/>
              <w:jc w:val="right"/>
            </w:pPr>
            <w:r w:rsidRPr="001814D2">
              <w:t>155,484</w:t>
            </w:r>
          </w:p>
        </w:tc>
        <w:tc>
          <w:tcPr>
            <w:tcW w:w="708" w:type="pct"/>
            <w:tcMar>
              <w:top w:w="0" w:type="dxa"/>
              <w:left w:w="0" w:type="dxa"/>
              <w:bottom w:w="0" w:type="dxa"/>
              <w:right w:w="0" w:type="dxa"/>
            </w:tcMar>
            <w:vAlign w:val="center"/>
          </w:tcPr>
          <w:p w14:paraId="6DA1785A" w14:textId="77777777" w:rsidR="009103CC" w:rsidRPr="001814D2" w:rsidRDefault="009103CC" w:rsidP="002718DF">
            <w:pPr>
              <w:pStyle w:val="Tabletext"/>
              <w:jc w:val="right"/>
            </w:pPr>
            <w:r w:rsidRPr="001814D2">
              <w:t>119,251</w:t>
            </w:r>
          </w:p>
        </w:tc>
        <w:tc>
          <w:tcPr>
            <w:tcW w:w="708" w:type="pct"/>
            <w:tcMar>
              <w:top w:w="0" w:type="dxa"/>
              <w:left w:w="0" w:type="dxa"/>
              <w:bottom w:w="0" w:type="dxa"/>
              <w:right w:w="0" w:type="dxa"/>
            </w:tcMar>
            <w:vAlign w:val="center"/>
          </w:tcPr>
          <w:p w14:paraId="669312CC" w14:textId="77777777" w:rsidR="009103CC" w:rsidRPr="001814D2" w:rsidRDefault="009103CC" w:rsidP="002718DF">
            <w:pPr>
              <w:pStyle w:val="Tabletext"/>
              <w:jc w:val="right"/>
            </w:pPr>
            <w:r w:rsidRPr="001814D2">
              <w:t>154,015</w:t>
            </w:r>
          </w:p>
        </w:tc>
        <w:tc>
          <w:tcPr>
            <w:tcW w:w="706" w:type="pct"/>
            <w:tcMar>
              <w:top w:w="0" w:type="dxa"/>
              <w:left w:w="0" w:type="dxa"/>
              <w:bottom w:w="0" w:type="dxa"/>
              <w:right w:w="0" w:type="dxa"/>
            </w:tcMar>
            <w:vAlign w:val="center"/>
          </w:tcPr>
          <w:p w14:paraId="334510EC" w14:textId="77777777" w:rsidR="009103CC" w:rsidRPr="001814D2" w:rsidRDefault="009103CC" w:rsidP="002718DF">
            <w:pPr>
              <w:pStyle w:val="Tabletext"/>
              <w:jc w:val="right"/>
            </w:pPr>
            <w:r w:rsidRPr="001814D2">
              <w:t>117,888</w:t>
            </w:r>
          </w:p>
        </w:tc>
      </w:tr>
    </w:tbl>
    <w:p w14:paraId="52DFF84E" w14:textId="77777777" w:rsidR="009103CC" w:rsidRDefault="009103CC" w:rsidP="009103CC">
      <w:pPr>
        <w:pStyle w:val="Tabletext"/>
      </w:pPr>
    </w:p>
    <w:tbl>
      <w:tblPr>
        <w:tblW w:w="5000" w:type="pct"/>
        <w:tblCellMar>
          <w:left w:w="0" w:type="dxa"/>
          <w:right w:w="0" w:type="dxa"/>
        </w:tblCellMar>
        <w:tblLook w:val="01E0" w:firstRow="1" w:lastRow="1" w:firstColumn="1" w:lastColumn="1" w:noHBand="0" w:noVBand="0"/>
        <w:tblCaption w:val="9 Non-current assets – property, plant and equipment (consolidated and parent entity)"/>
        <w:tblDescription w:val="This table provides figures for land, buildings, plant and equipment and collection assets as well as a total, as at 30 June 2020 and 30 June 2021."/>
      </w:tblPr>
      <w:tblGrid>
        <w:gridCol w:w="3986"/>
        <w:gridCol w:w="1069"/>
        <w:gridCol w:w="1070"/>
        <w:gridCol w:w="1003"/>
        <w:gridCol w:w="1050"/>
        <w:gridCol w:w="892"/>
      </w:tblGrid>
      <w:tr w:rsidR="009103CC" w:rsidRPr="00691A32" w14:paraId="33AFFFA2" w14:textId="77777777" w:rsidTr="002718DF">
        <w:trPr>
          <w:cantSplit/>
          <w:trHeight w:hRule="exact" w:val="811"/>
          <w:tblHeader/>
        </w:trPr>
        <w:tc>
          <w:tcPr>
            <w:tcW w:w="2197" w:type="pct"/>
            <w:tcBorders>
              <w:left w:val="nil"/>
              <w:bottom w:val="single" w:sz="4" w:space="0" w:color="auto"/>
              <w:right w:val="nil"/>
            </w:tcBorders>
          </w:tcPr>
          <w:p w14:paraId="7545AA6A" w14:textId="77777777" w:rsidR="009103CC" w:rsidRPr="00691A32" w:rsidRDefault="009103CC" w:rsidP="002718DF">
            <w:pPr>
              <w:pStyle w:val="Tabletext"/>
              <w:rPr>
                <w:b/>
                <w:bCs/>
              </w:rPr>
            </w:pPr>
            <w:r w:rsidRPr="00691A32">
              <w:rPr>
                <w:b/>
                <w:bCs/>
              </w:rPr>
              <w:t>9 Non-current assets – property, plant and equipment (consolidated and parent entity)</w:t>
            </w:r>
          </w:p>
        </w:tc>
        <w:tc>
          <w:tcPr>
            <w:tcW w:w="589" w:type="pct"/>
            <w:tcBorders>
              <w:left w:val="nil"/>
              <w:bottom w:val="single" w:sz="4" w:space="0" w:color="auto"/>
              <w:right w:val="nil"/>
            </w:tcBorders>
          </w:tcPr>
          <w:p w14:paraId="0CA79BCC" w14:textId="77777777" w:rsidR="009103CC" w:rsidRPr="00691A32" w:rsidRDefault="009103CC" w:rsidP="002718DF">
            <w:pPr>
              <w:pStyle w:val="Tabletext"/>
              <w:jc w:val="right"/>
              <w:rPr>
                <w:b/>
                <w:bCs/>
              </w:rPr>
            </w:pPr>
            <w:r w:rsidRPr="00691A32">
              <w:rPr>
                <w:b/>
                <w:bCs/>
              </w:rPr>
              <w:t>Land $’000</w:t>
            </w:r>
          </w:p>
        </w:tc>
        <w:tc>
          <w:tcPr>
            <w:tcW w:w="590" w:type="pct"/>
            <w:tcBorders>
              <w:left w:val="nil"/>
              <w:bottom w:val="single" w:sz="4" w:space="0" w:color="auto"/>
              <w:right w:val="nil"/>
            </w:tcBorders>
          </w:tcPr>
          <w:p w14:paraId="15109B2F" w14:textId="77777777" w:rsidR="009103CC" w:rsidRPr="00691A32" w:rsidRDefault="009103CC" w:rsidP="002718DF">
            <w:pPr>
              <w:pStyle w:val="Tabletext"/>
              <w:jc w:val="right"/>
              <w:rPr>
                <w:b/>
                <w:bCs/>
              </w:rPr>
            </w:pPr>
            <w:r w:rsidRPr="00691A32">
              <w:rPr>
                <w:b/>
                <w:bCs/>
              </w:rPr>
              <w:t>Buildings $’000</w:t>
            </w:r>
          </w:p>
        </w:tc>
        <w:tc>
          <w:tcPr>
            <w:tcW w:w="553" w:type="pct"/>
            <w:tcBorders>
              <w:left w:val="nil"/>
              <w:bottom w:val="single" w:sz="4" w:space="0" w:color="auto"/>
              <w:right w:val="nil"/>
            </w:tcBorders>
          </w:tcPr>
          <w:p w14:paraId="391E04C9" w14:textId="77777777" w:rsidR="009103CC" w:rsidRPr="00691A32" w:rsidRDefault="009103CC" w:rsidP="002718DF">
            <w:pPr>
              <w:pStyle w:val="Tabletext"/>
              <w:jc w:val="right"/>
              <w:rPr>
                <w:b/>
                <w:bCs/>
              </w:rPr>
            </w:pPr>
            <w:r w:rsidRPr="00691A32">
              <w:rPr>
                <w:b/>
                <w:bCs/>
              </w:rPr>
              <w:t>Plant and equipment $’000</w:t>
            </w:r>
          </w:p>
        </w:tc>
        <w:tc>
          <w:tcPr>
            <w:tcW w:w="579" w:type="pct"/>
            <w:tcBorders>
              <w:left w:val="nil"/>
              <w:bottom w:val="single" w:sz="4" w:space="0" w:color="auto"/>
              <w:right w:val="nil"/>
            </w:tcBorders>
          </w:tcPr>
          <w:p w14:paraId="4FAA5B06" w14:textId="77777777" w:rsidR="009103CC" w:rsidRPr="00691A32" w:rsidRDefault="009103CC" w:rsidP="002718DF">
            <w:pPr>
              <w:pStyle w:val="Tabletext"/>
              <w:jc w:val="right"/>
              <w:rPr>
                <w:b/>
                <w:bCs/>
              </w:rPr>
            </w:pPr>
            <w:r w:rsidRPr="00691A32">
              <w:rPr>
                <w:b/>
                <w:bCs/>
              </w:rPr>
              <w:t>Collection assets $’000</w:t>
            </w:r>
          </w:p>
        </w:tc>
        <w:tc>
          <w:tcPr>
            <w:tcW w:w="492" w:type="pct"/>
            <w:tcBorders>
              <w:left w:val="nil"/>
              <w:bottom w:val="single" w:sz="4" w:space="0" w:color="auto"/>
              <w:right w:val="nil"/>
            </w:tcBorders>
          </w:tcPr>
          <w:p w14:paraId="5572E45F" w14:textId="77777777" w:rsidR="009103CC" w:rsidRPr="00691A32" w:rsidRDefault="009103CC" w:rsidP="002718DF">
            <w:pPr>
              <w:pStyle w:val="Tabletext"/>
              <w:jc w:val="right"/>
              <w:rPr>
                <w:b/>
                <w:bCs/>
              </w:rPr>
            </w:pPr>
            <w:r w:rsidRPr="00691A32">
              <w:rPr>
                <w:b/>
                <w:bCs/>
              </w:rPr>
              <w:t>Total $’000</w:t>
            </w:r>
          </w:p>
        </w:tc>
      </w:tr>
      <w:tr w:rsidR="009103CC" w:rsidRPr="00691A32" w14:paraId="508A18F2" w14:textId="77777777" w:rsidTr="002718DF">
        <w:trPr>
          <w:cantSplit/>
          <w:trHeight w:hRule="exact" w:val="345"/>
        </w:trPr>
        <w:tc>
          <w:tcPr>
            <w:tcW w:w="2197" w:type="pct"/>
            <w:tcBorders>
              <w:top w:val="single" w:sz="4" w:space="0" w:color="auto"/>
              <w:left w:val="nil"/>
              <w:bottom w:val="single" w:sz="2" w:space="0" w:color="020A09"/>
              <w:right w:val="nil"/>
            </w:tcBorders>
          </w:tcPr>
          <w:p w14:paraId="01EEABA5" w14:textId="77777777" w:rsidR="009103CC" w:rsidRPr="00691A32" w:rsidRDefault="009103CC" w:rsidP="002718DF">
            <w:pPr>
              <w:pStyle w:val="Tabletext"/>
            </w:pPr>
            <w:r w:rsidRPr="00691A32">
              <w:t>At 30 June 2020 – fair value</w:t>
            </w:r>
          </w:p>
        </w:tc>
        <w:tc>
          <w:tcPr>
            <w:tcW w:w="2803" w:type="pct"/>
            <w:gridSpan w:val="5"/>
            <w:tcBorders>
              <w:top w:val="single" w:sz="4" w:space="0" w:color="auto"/>
              <w:left w:val="nil"/>
              <w:bottom w:val="single" w:sz="2" w:space="0" w:color="020A09"/>
              <w:right w:val="nil"/>
            </w:tcBorders>
          </w:tcPr>
          <w:p w14:paraId="3C3B787D" w14:textId="77777777" w:rsidR="009103CC" w:rsidRPr="00691A32" w:rsidRDefault="009103CC" w:rsidP="002718DF">
            <w:pPr>
              <w:pStyle w:val="Tabletext"/>
              <w:jc w:val="right"/>
            </w:pPr>
          </w:p>
        </w:tc>
      </w:tr>
      <w:tr w:rsidR="009103CC" w:rsidRPr="00691A32" w14:paraId="1D8704EA" w14:textId="77777777" w:rsidTr="002718DF">
        <w:trPr>
          <w:cantSplit/>
          <w:trHeight w:hRule="exact" w:val="332"/>
        </w:trPr>
        <w:tc>
          <w:tcPr>
            <w:tcW w:w="2197" w:type="pct"/>
            <w:tcBorders>
              <w:top w:val="single" w:sz="2" w:space="0" w:color="020A09"/>
              <w:left w:val="nil"/>
              <w:bottom w:val="single" w:sz="2" w:space="0" w:color="020A09"/>
              <w:right w:val="nil"/>
            </w:tcBorders>
          </w:tcPr>
          <w:p w14:paraId="5CEBDBF8" w14:textId="77777777" w:rsidR="009103CC" w:rsidRPr="00691A32" w:rsidRDefault="009103CC" w:rsidP="002718DF">
            <w:pPr>
              <w:pStyle w:val="Tabletext"/>
            </w:pPr>
            <w:r w:rsidRPr="00691A32">
              <w:t>Gross carrying amount</w:t>
            </w:r>
          </w:p>
        </w:tc>
        <w:tc>
          <w:tcPr>
            <w:tcW w:w="589" w:type="pct"/>
            <w:tcBorders>
              <w:top w:val="single" w:sz="2" w:space="0" w:color="020A09"/>
              <w:left w:val="nil"/>
              <w:bottom w:val="single" w:sz="2" w:space="0" w:color="020A09"/>
              <w:right w:val="nil"/>
            </w:tcBorders>
          </w:tcPr>
          <w:p w14:paraId="5F62B40D" w14:textId="77777777" w:rsidR="009103CC" w:rsidRPr="00691A32" w:rsidRDefault="009103CC" w:rsidP="002718DF">
            <w:pPr>
              <w:pStyle w:val="Tabletext"/>
              <w:jc w:val="right"/>
            </w:pPr>
            <w:r w:rsidRPr="00691A32">
              <w:t>25,600</w:t>
            </w:r>
          </w:p>
        </w:tc>
        <w:tc>
          <w:tcPr>
            <w:tcW w:w="590" w:type="pct"/>
            <w:tcBorders>
              <w:top w:val="single" w:sz="2" w:space="0" w:color="020A09"/>
              <w:left w:val="nil"/>
              <w:bottom w:val="single" w:sz="2" w:space="0" w:color="020A09"/>
              <w:right w:val="nil"/>
            </w:tcBorders>
          </w:tcPr>
          <w:p w14:paraId="68A23355" w14:textId="77777777" w:rsidR="009103CC" w:rsidRPr="00691A32" w:rsidRDefault="009103CC" w:rsidP="002718DF">
            <w:pPr>
              <w:pStyle w:val="Tabletext"/>
              <w:jc w:val="right"/>
            </w:pPr>
            <w:r w:rsidRPr="00691A32">
              <w:t>345,896</w:t>
            </w:r>
          </w:p>
        </w:tc>
        <w:tc>
          <w:tcPr>
            <w:tcW w:w="553" w:type="pct"/>
            <w:tcBorders>
              <w:top w:val="single" w:sz="2" w:space="0" w:color="020A09"/>
              <w:left w:val="nil"/>
              <w:bottom w:val="single" w:sz="2" w:space="0" w:color="020A09"/>
              <w:right w:val="nil"/>
            </w:tcBorders>
          </w:tcPr>
          <w:p w14:paraId="31983133" w14:textId="77777777" w:rsidR="009103CC" w:rsidRPr="00691A32" w:rsidRDefault="009103CC" w:rsidP="002718DF">
            <w:pPr>
              <w:pStyle w:val="Tabletext"/>
              <w:jc w:val="right"/>
            </w:pPr>
            <w:r w:rsidRPr="00691A32">
              <w:t>22,058</w:t>
            </w:r>
          </w:p>
        </w:tc>
        <w:tc>
          <w:tcPr>
            <w:tcW w:w="579" w:type="pct"/>
            <w:tcBorders>
              <w:top w:val="single" w:sz="2" w:space="0" w:color="020A09"/>
              <w:left w:val="nil"/>
              <w:bottom w:val="single" w:sz="2" w:space="0" w:color="020A09"/>
              <w:right w:val="nil"/>
            </w:tcBorders>
          </w:tcPr>
          <w:p w14:paraId="36A44BE4" w14:textId="77777777" w:rsidR="009103CC" w:rsidRPr="00691A32" w:rsidRDefault="009103CC" w:rsidP="002718DF">
            <w:pPr>
              <w:pStyle w:val="Tabletext"/>
              <w:jc w:val="right"/>
            </w:pPr>
            <w:r w:rsidRPr="00691A32">
              <w:t>1,405,896</w:t>
            </w:r>
          </w:p>
        </w:tc>
        <w:tc>
          <w:tcPr>
            <w:tcW w:w="492" w:type="pct"/>
            <w:tcBorders>
              <w:top w:val="single" w:sz="2" w:space="0" w:color="020A09"/>
              <w:left w:val="nil"/>
              <w:bottom w:val="single" w:sz="2" w:space="0" w:color="020A09"/>
              <w:right w:val="nil"/>
            </w:tcBorders>
          </w:tcPr>
          <w:p w14:paraId="580045EA" w14:textId="77777777" w:rsidR="009103CC" w:rsidRPr="00691A32" w:rsidRDefault="009103CC" w:rsidP="002718DF">
            <w:pPr>
              <w:pStyle w:val="Tabletext"/>
              <w:jc w:val="right"/>
            </w:pPr>
            <w:r w:rsidRPr="00691A32">
              <w:t>1,799,450</w:t>
            </w:r>
          </w:p>
        </w:tc>
      </w:tr>
      <w:tr w:rsidR="009103CC" w:rsidRPr="00691A32" w14:paraId="18EFD91C" w14:textId="77777777" w:rsidTr="002718DF">
        <w:trPr>
          <w:cantSplit/>
          <w:trHeight w:hRule="exact" w:val="332"/>
        </w:trPr>
        <w:tc>
          <w:tcPr>
            <w:tcW w:w="2197" w:type="pct"/>
            <w:tcBorders>
              <w:top w:val="single" w:sz="2" w:space="0" w:color="020A09"/>
              <w:left w:val="nil"/>
              <w:bottom w:val="single" w:sz="2" w:space="0" w:color="020A09"/>
              <w:right w:val="nil"/>
            </w:tcBorders>
          </w:tcPr>
          <w:p w14:paraId="5FD455DB" w14:textId="77777777" w:rsidR="009103CC" w:rsidRPr="00691A32" w:rsidRDefault="009103CC" w:rsidP="002718DF">
            <w:pPr>
              <w:pStyle w:val="Tabletext"/>
            </w:pPr>
            <w:r w:rsidRPr="00691A32">
              <w:t>Accumulated depreciation</w:t>
            </w:r>
          </w:p>
        </w:tc>
        <w:tc>
          <w:tcPr>
            <w:tcW w:w="589" w:type="pct"/>
            <w:tcBorders>
              <w:top w:val="single" w:sz="2" w:space="0" w:color="020A09"/>
              <w:left w:val="nil"/>
              <w:bottom w:val="single" w:sz="2" w:space="0" w:color="020A09"/>
              <w:right w:val="nil"/>
            </w:tcBorders>
          </w:tcPr>
          <w:p w14:paraId="6FEE8C05" w14:textId="77777777" w:rsidR="009103CC" w:rsidRPr="00691A32" w:rsidRDefault="009103CC" w:rsidP="002718DF">
            <w:pPr>
              <w:pStyle w:val="Tabletext"/>
              <w:jc w:val="right"/>
            </w:pPr>
            <w:r w:rsidRPr="00691A32">
              <w:t>-</w:t>
            </w:r>
          </w:p>
        </w:tc>
        <w:tc>
          <w:tcPr>
            <w:tcW w:w="590" w:type="pct"/>
            <w:tcBorders>
              <w:top w:val="single" w:sz="2" w:space="0" w:color="020A09"/>
              <w:left w:val="nil"/>
              <w:bottom w:val="single" w:sz="2" w:space="0" w:color="020A09"/>
              <w:right w:val="nil"/>
            </w:tcBorders>
          </w:tcPr>
          <w:p w14:paraId="2D7E9760" w14:textId="77777777" w:rsidR="009103CC" w:rsidRPr="00691A32" w:rsidRDefault="009103CC" w:rsidP="002718DF">
            <w:pPr>
              <w:pStyle w:val="Tabletext"/>
              <w:jc w:val="right"/>
            </w:pPr>
            <w:r w:rsidRPr="00691A32">
              <w:t>(53,477)</w:t>
            </w:r>
          </w:p>
        </w:tc>
        <w:tc>
          <w:tcPr>
            <w:tcW w:w="553" w:type="pct"/>
            <w:tcBorders>
              <w:top w:val="single" w:sz="2" w:space="0" w:color="020A09"/>
              <w:left w:val="nil"/>
              <w:bottom w:val="single" w:sz="2" w:space="0" w:color="020A09"/>
              <w:right w:val="nil"/>
            </w:tcBorders>
          </w:tcPr>
          <w:p w14:paraId="6C820594" w14:textId="77777777" w:rsidR="009103CC" w:rsidRPr="00691A32" w:rsidRDefault="009103CC" w:rsidP="002718DF">
            <w:pPr>
              <w:pStyle w:val="Tabletext"/>
              <w:jc w:val="right"/>
            </w:pPr>
            <w:r w:rsidRPr="00691A32">
              <w:t>(18,822)</w:t>
            </w:r>
          </w:p>
        </w:tc>
        <w:tc>
          <w:tcPr>
            <w:tcW w:w="579" w:type="pct"/>
            <w:tcBorders>
              <w:top w:val="single" w:sz="2" w:space="0" w:color="020A09"/>
              <w:left w:val="nil"/>
              <w:bottom w:val="single" w:sz="2" w:space="0" w:color="020A09"/>
              <w:right w:val="nil"/>
            </w:tcBorders>
          </w:tcPr>
          <w:p w14:paraId="531CF873" w14:textId="77777777" w:rsidR="009103CC" w:rsidRPr="00691A32" w:rsidRDefault="009103CC" w:rsidP="002718DF">
            <w:pPr>
              <w:pStyle w:val="Tabletext"/>
              <w:jc w:val="right"/>
            </w:pPr>
            <w:r w:rsidRPr="00691A32">
              <w:t>-</w:t>
            </w:r>
          </w:p>
        </w:tc>
        <w:tc>
          <w:tcPr>
            <w:tcW w:w="492" w:type="pct"/>
            <w:tcBorders>
              <w:top w:val="single" w:sz="2" w:space="0" w:color="020A09"/>
              <w:left w:val="nil"/>
              <w:bottom w:val="single" w:sz="2" w:space="0" w:color="020A09"/>
              <w:right w:val="nil"/>
            </w:tcBorders>
          </w:tcPr>
          <w:p w14:paraId="19742D05" w14:textId="77777777" w:rsidR="009103CC" w:rsidRPr="00691A32" w:rsidRDefault="009103CC" w:rsidP="002718DF">
            <w:pPr>
              <w:pStyle w:val="Tabletext"/>
              <w:jc w:val="right"/>
            </w:pPr>
            <w:r w:rsidRPr="00691A32">
              <w:t>(72,299)</w:t>
            </w:r>
          </w:p>
        </w:tc>
      </w:tr>
      <w:tr w:rsidR="009103CC" w:rsidRPr="00691A32" w14:paraId="34EBE69D" w14:textId="77777777" w:rsidTr="002718DF">
        <w:trPr>
          <w:cantSplit/>
          <w:trHeight w:hRule="exact" w:val="332"/>
        </w:trPr>
        <w:tc>
          <w:tcPr>
            <w:tcW w:w="2197" w:type="pct"/>
            <w:tcBorders>
              <w:top w:val="single" w:sz="2" w:space="0" w:color="020A09"/>
              <w:left w:val="nil"/>
              <w:bottom w:val="single" w:sz="2" w:space="0" w:color="020A09"/>
              <w:right w:val="nil"/>
            </w:tcBorders>
          </w:tcPr>
          <w:p w14:paraId="4468B4CE" w14:textId="77777777" w:rsidR="009103CC" w:rsidRPr="00691A32" w:rsidRDefault="009103CC" w:rsidP="002718DF">
            <w:pPr>
              <w:pStyle w:val="Tabletext"/>
            </w:pPr>
            <w:r w:rsidRPr="00691A32">
              <w:t>Net revaluation increment/revaluation decrements</w:t>
            </w:r>
          </w:p>
        </w:tc>
        <w:tc>
          <w:tcPr>
            <w:tcW w:w="589" w:type="pct"/>
            <w:tcBorders>
              <w:top w:val="single" w:sz="2" w:space="0" w:color="020A09"/>
              <w:left w:val="nil"/>
              <w:bottom w:val="single" w:sz="2" w:space="0" w:color="020A09"/>
              <w:right w:val="nil"/>
            </w:tcBorders>
          </w:tcPr>
          <w:p w14:paraId="7FED0E0F" w14:textId="77777777" w:rsidR="009103CC" w:rsidRPr="00691A32" w:rsidRDefault="009103CC" w:rsidP="002718DF">
            <w:pPr>
              <w:pStyle w:val="Tabletext"/>
              <w:jc w:val="right"/>
            </w:pPr>
            <w:r w:rsidRPr="00691A32">
              <w:t>-</w:t>
            </w:r>
          </w:p>
        </w:tc>
        <w:tc>
          <w:tcPr>
            <w:tcW w:w="590" w:type="pct"/>
            <w:tcBorders>
              <w:top w:val="single" w:sz="2" w:space="0" w:color="020A09"/>
              <w:left w:val="nil"/>
              <w:bottom w:val="single" w:sz="2" w:space="0" w:color="020A09"/>
              <w:right w:val="nil"/>
            </w:tcBorders>
          </w:tcPr>
          <w:p w14:paraId="444163BD" w14:textId="77777777" w:rsidR="009103CC" w:rsidRPr="00691A32" w:rsidRDefault="009103CC" w:rsidP="002718DF">
            <w:pPr>
              <w:pStyle w:val="Tabletext"/>
              <w:jc w:val="right"/>
            </w:pPr>
            <w:r w:rsidRPr="00691A32">
              <w:t>-</w:t>
            </w:r>
          </w:p>
        </w:tc>
        <w:tc>
          <w:tcPr>
            <w:tcW w:w="553" w:type="pct"/>
            <w:tcBorders>
              <w:top w:val="single" w:sz="2" w:space="0" w:color="020A09"/>
              <w:left w:val="nil"/>
              <w:bottom w:val="single" w:sz="2" w:space="0" w:color="020A09"/>
              <w:right w:val="nil"/>
            </w:tcBorders>
          </w:tcPr>
          <w:p w14:paraId="1B9C211B" w14:textId="77777777" w:rsidR="009103CC" w:rsidRPr="00691A32" w:rsidRDefault="009103CC" w:rsidP="002718DF">
            <w:pPr>
              <w:pStyle w:val="Tabletext"/>
              <w:jc w:val="right"/>
            </w:pPr>
            <w:r w:rsidRPr="00691A32">
              <w:t>-</w:t>
            </w:r>
          </w:p>
        </w:tc>
        <w:tc>
          <w:tcPr>
            <w:tcW w:w="579" w:type="pct"/>
            <w:tcBorders>
              <w:top w:val="single" w:sz="2" w:space="0" w:color="020A09"/>
              <w:left w:val="nil"/>
              <w:bottom w:val="single" w:sz="2" w:space="0" w:color="020A09"/>
              <w:right w:val="nil"/>
            </w:tcBorders>
          </w:tcPr>
          <w:p w14:paraId="4FAEBB4F" w14:textId="77777777" w:rsidR="009103CC" w:rsidRPr="00691A32" w:rsidRDefault="009103CC" w:rsidP="002718DF">
            <w:pPr>
              <w:pStyle w:val="Tabletext"/>
              <w:jc w:val="right"/>
            </w:pPr>
            <w:r w:rsidRPr="00691A32">
              <w:t>385,638</w:t>
            </w:r>
          </w:p>
        </w:tc>
        <w:tc>
          <w:tcPr>
            <w:tcW w:w="492" w:type="pct"/>
            <w:tcBorders>
              <w:top w:val="single" w:sz="2" w:space="0" w:color="020A09"/>
              <w:left w:val="nil"/>
              <w:bottom w:val="single" w:sz="2" w:space="0" w:color="020A09"/>
              <w:right w:val="nil"/>
            </w:tcBorders>
          </w:tcPr>
          <w:p w14:paraId="7D54AFDF" w14:textId="77777777" w:rsidR="009103CC" w:rsidRPr="00691A32" w:rsidRDefault="009103CC" w:rsidP="002718DF">
            <w:pPr>
              <w:pStyle w:val="Tabletext"/>
              <w:jc w:val="right"/>
            </w:pPr>
            <w:r w:rsidRPr="00691A32">
              <w:t>385,638</w:t>
            </w:r>
          </w:p>
        </w:tc>
      </w:tr>
      <w:tr w:rsidR="009103CC" w:rsidRPr="00691A32" w14:paraId="12F53A25" w14:textId="77777777" w:rsidTr="002718DF">
        <w:trPr>
          <w:cantSplit/>
          <w:trHeight w:hRule="exact" w:val="332"/>
        </w:trPr>
        <w:tc>
          <w:tcPr>
            <w:tcW w:w="2197" w:type="pct"/>
            <w:tcBorders>
              <w:top w:val="single" w:sz="2" w:space="0" w:color="020A09"/>
              <w:left w:val="nil"/>
              <w:bottom w:val="single" w:sz="2" w:space="0" w:color="020A09"/>
              <w:right w:val="nil"/>
            </w:tcBorders>
          </w:tcPr>
          <w:p w14:paraId="58FADE64" w14:textId="77777777" w:rsidR="009103CC" w:rsidRPr="00691A32" w:rsidRDefault="009103CC" w:rsidP="002718DF">
            <w:pPr>
              <w:pStyle w:val="Tabletext"/>
            </w:pPr>
            <w:r w:rsidRPr="00691A32">
              <w:t>Net carrying amount</w:t>
            </w:r>
          </w:p>
        </w:tc>
        <w:tc>
          <w:tcPr>
            <w:tcW w:w="589" w:type="pct"/>
            <w:tcBorders>
              <w:top w:val="single" w:sz="2" w:space="0" w:color="020A09"/>
              <w:left w:val="nil"/>
              <w:bottom w:val="single" w:sz="2" w:space="0" w:color="020A09"/>
              <w:right w:val="nil"/>
            </w:tcBorders>
          </w:tcPr>
          <w:p w14:paraId="2B327580" w14:textId="77777777" w:rsidR="009103CC" w:rsidRPr="00691A32" w:rsidRDefault="009103CC" w:rsidP="002718DF">
            <w:pPr>
              <w:pStyle w:val="Tabletext"/>
              <w:jc w:val="right"/>
            </w:pPr>
            <w:r w:rsidRPr="00691A32">
              <w:t>25,600</w:t>
            </w:r>
          </w:p>
        </w:tc>
        <w:tc>
          <w:tcPr>
            <w:tcW w:w="590" w:type="pct"/>
            <w:tcBorders>
              <w:top w:val="single" w:sz="2" w:space="0" w:color="020A09"/>
              <w:left w:val="nil"/>
              <w:bottom w:val="single" w:sz="2" w:space="0" w:color="020A09"/>
              <w:right w:val="nil"/>
            </w:tcBorders>
          </w:tcPr>
          <w:p w14:paraId="49D27ACD" w14:textId="77777777" w:rsidR="009103CC" w:rsidRPr="00691A32" w:rsidRDefault="009103CC" w:rsidP="002718DF">
            <w:pPr>
              <w:pStyle w:val="Tabletext"/>
              <w:jc w:val="right"/>
            </w:pPr>
            <w:r w:rsidRPr="00691A32">
              <w:t>292,419</w:t>
            </w:r>
          </w:p>
        </w:tc>
        <w:tc>
          <w:tcPr>
            <w:tcW w:w="553" w:type="pct"/>
            <w:tcBorders>
              <w:top w:val="single" w:sz="2" w:space="0" w:color="020A09"/>
              <w:left w:val="nil"/>
              <w:bottom w:val="single" w:sz="2" w:space="0" w:color="020A09"/>
              <w:right w:val="nil"/>
            </w:tcBorders>
          </w:tcPr>
          <w:p w14:paraId="2ABDF95E" w14:textId="77777777" w:rsidR="009103CC" w:rsidRPr="00691A32" w:rsidRDefault="009103CC" w:rsidP="002718DF">
            <w:pPr>
              <w:pStyle w:val="Tabletext"/>
              <w:jc w:val="right"/>
            </w:pPr>
            <w:r w:rsidRPr="00691A32">
              <w:t>3,236</w:t>
            </w:r>
          </w:p>
        </w:tc>
        <w:tc>
          <w:tcPr>
            <w:tcW w:w="579" w:type="pct"/>
            <w:tcBorders>
              <w:top w:val="single" w:sz="2" w:space="0" w:color="020A09"/>
              <w:left w:val="nil"/>
              <w:bottom w:val="single" w:sz="2" w:space="0" w:color="020A09"/>
              <w:right w:val="nil"/>
            </w:tcBorders>
          </w:tcPr>
          <w:p w14:paraId="55145E65" w14:textId="77777777" w:rsidR="009103CC" w:rsidRPr="00691A32" w:rsidRDefault="009103CC" w:rsidP="002718DF">
            <w:pPr>
              <w:pStyle w:val="Tabletext"/>
              <w:jc w:val="right"/>
            </w:pPr>
            <w:r w:rsidRPr="00691A32">
              <w:t>1,791,534</w:t>
            </w:r>
          </w:p>
        </w:tc>
        <w:tc>
          <w:tcPr>
            <w:tcW w:w="492" w:type="pct"/>
            <w:tcBorders>
              <w:top w:val="single" w:sz="2" w:space="0" w:color="020A09"/>
              <w:left w:val="nil"/>
              <w:bottom w:val="single" w:sz="2" w:space="0" w:color="020A09"/>
              <w:right w:val="nil"/>
            </w:tcBorders>
          </w:tcPr>
          <w:p w14:paraId="09761AF7" w14:textId="77777777" w:rsidR="009103CC" w:rsidRPr="00691A32" w:rsidRDefault="009103CC" w:rsidP="002718DF">
            <w:pPr>
              <w:pStyle w:val="Tabletext"/>
              <w:jc w:val="right"/>
            </w:pPr>
            <w:r w:rsidRPr="00691A32">
              <w:t>2,112,789</w:t>
            </w:r>
          </w:p>
        </w:tc>
      </w:tr>
      <w:tr w:rsidR="009103CC" w:rsidRPr="00691A32" w14:paraId="756E4510" w14:textId="77777777" w:rsidTr="002718DF">
        <w:trPr>
          <w:cantSplit/>
          <w:trHeight w:hRule="exact" w:val="665"/>
        </w:trPr>
        <w:tc>
          <w:tcPr>
            <w:tcW w:w="2197" w:type="pct"/>
            <w:tcBorders>
              <w:top w:val="single" w:sz="2" w:space="0" w:color="020A09"/>
              <w:left w:val="nil"/>
              <w:bottom w:val="single" w:sz="2" w:space="0" w:color="020A09"/>
              <w:right w:val="nil"/>
            </w:tcBorders>
          </w:tcPr>
          <w:p w14:paraId="64C44AB2" w14:textId="77777777" w:rsidR="009103CC" w:rsidRPr="00691A32" w:rsidRDefault="009103CC" w:rsidP="002718DF">
            <w:pPr>
              <w:pStyle w:val="Tabletext"/>
            </w:pPr>
          </w:p>
          <w:p w14:paraId="597283C7" w14:textId="77777777" w:rsidR="009103CC" w:rsidRPr="00691A32" w:rsidRDefault="009103CC" w:rsidP="002718DF">
            <w:pPr>
              <w:pStyle w:val="Tabletext"/>
            </w:pPr>
            <w:r w:rsidRPr="00691A32">
              <w:t>At 30 June 2021 – fair value</w:t>
            </w:r>
          </w:p>
        </w:tc>
        <w:tc>
          <w:tcPr>
            <w:tcW w:w="589" w:type="pct"/>
            <w:tcBorders>
              <w:top w:val="single" w:sz="2" w:space="0" w:color="020A09"/>
              <w:left w:val="nil"/>
              <w:bottom w:val="single" w:sz="2" w:space="0" w:color="020A09"/>
              <w:right w:val="nil"/>
            </w:tcBorders>
          </w:tcPr>
          <w:p w14:paraId="19363F77" w14:textId="77777777" w:rsidR="009103CC" w:rsidRPr="00691A32" w:rsidRDefault="009103CC" w:rsidP="002718DF">
            <w:pPr>
              <w:pStyle w:val="Tabletext"/>
              <w:jc w:val="right"/>
            </w:pPr>
          </w:p>
        </w:tc>
        <w:tc>
          <w:tcPr>
            <w:tcW w:w="590" w:type="pct"/>
            <w:tcBorders>
              <w:top w:val="single" w:sz="2" w:space="0" w:color="020A09"/>
              <w:left w:val="nil"/>
              <w:bottom w:val="single" w:sz="2" w:space="0" w:color="020A09"/>
              <w:right w:val="nil"/>
            </w:tcBorders>
          </w:tcPr>
          <w:p w14:paraId="512D675C" w14:textId="77777777" w:rsidR="009103CC" w:rsidRPr="00691A32" w:rsidRDefault="009103CC" w:rsidP="002718DF">
            <w:pPr>
              <w:pStyle w:val="Tabletext"/>
              <w:jc w:val="right"/>
            </w:pPr>
          </w:p>
        </w:tc>
        <w:tc>
          <w:tcPr>
            <w:tcW w:w="553" w:type="pct"/>
            <w:tcBorders>
              <w:top w:val="single" w:sz="2" w:space="0" w:color="020A09"/>
              <w:left w:val="nil"/>
              <w:bottom w:val="single" w:sz="2" w:space="0" w:color="020A09"/>
              <w:right w:val="nil"/>
            </w:tcBorders>
          </w:tcPr>
          <w:p w14:paraId="55E317ED" w14:textId="77777777" w:rsidR="009103CC" w:rsidRPr="00691A32" w:rsidRDefault="009103CC" w:rsidP="002718DF">
            <w:pPr>
              <w:pStyle w:val="Tabletext"/>
              <w:jc w:val="right"/>
            </w:pPr>
          </w:p>
        </w:tc>
        <w:tc>
          <w:tcPr>
            <w:tcW w:w="579" w:type="pct"/>
            <w:tcBorders>
              <w:top w:val="single" w:sz="2" w:space="0" w:color="020A09"/>
              <w:left w:val="nil"/>
              <w:bottom w:val="single" w:sz="2" w:space="0" w:color="020A09"/>
              <w:right w:val="nil"/>
            </w:tcBorders>
          </w:tcPr>
          <w:p w14:paraId="0419C155" w14:textId="77777777" w:rsidR="009103CC" w:rsidRPr="00691A32" w:rsidRDefault="009103CC" w:rsidP="002718DF">
            <w:pPr>
              <w:pStyle w:val="Tabletext"/>
              <w:jc w:val="right"/>
            </w:pPr>
          </w:p>
        </w:tc>
        <w:tc>
          <w:tcPr>
            <w:tcW w:w="492" w:type="pct"/>
            <w:tcBorders>
              <w:top w:val="single" w:sz="2" w:space="0" w:color="020A09"/>
              <w:left w:val="nil"/>
              <w:bottom w:val="single" w:sz="2" w:space="0" w:color="020A09"/>
              <w:right w:val="nil"/>
            </w:tcBorders>
          </w:tcPr>
          <w:p w14:paraId="6B1A925F" w14:textId="77777777" w:rsidR="009103CC" w:rsidRPr="00691A32" w:rsidRDefault="009103CC" w:rsidP="002718DF">
            <w:pPr>
              <w:pStyle w:val="Tabletext"/>
              <w:jc w:val="right"/>
            </w:pPr>
          </w:p>
        </w:tc>
      </w:tr>
      <w:tr w:rsidR="009103CC" w:rsidRPr="00691A32" w14:paraId="7E709A2B" w14:textId="77777777" w:rsidTr="002718DF">
        <w:trPr>
          <w:cantSplit/>
          <w:trHeight w:hRule="exact" w:val="332"/>
        </w:trPr>
        <w:tc>
          <w:tcPr>
            <w:tcW w:w="2197" w:type="pct"/>
            <w:tcBorders>
              <w:top w:val="single" w:sz="2" w:space="0" w:color="020A09"/>
              <w:left w:val="nil"/>
              <w:bottom w:val="single" w:sz="2" w:space="0" w:color="020A09"/>
              <w:right w:val="nil"/>
            </w:tcBorders>
          </w:tcPr>
          <w:p w14:paraId="225C6F13" w14:textId="77777777" w:rsidR="009103CC" w:rsidRPr="00691A32" w:rsidRDefault="009103CC" w:rsidP="002718DF">
            <w:pPr>
              <w:pStyle w:val="Tabletext"/>
            </w:pPr>
            <w:r w:rsidRPr="00691A32">
              <w:t>Gross carrying amount</w:t>
            </w:r>
          </w:p>
        </w:tc>
        <w:tc>
          <w:tcPr>
            <w:tcW w:w="589" w:type="pct"/>
            <w:tcBorders>
              <w:top w:val="single" w:sz="2" w:space="0" w:color="020A09"/>
              <w:left w:val="nil"/>
              <w:bottom w:val="single" w:sz="2" w:space="0" w:color="020A09"/>
              <w:right w:val="nil"/>
            </w:tcBorders>
          </w:tcPr>
          <w:p w14:paraId="4F1DF3E8" w14:textId="77777777" w:rsidR="009103CC" w:rsidRPr="00691A32" w:rsidRDefault="009103CC" w:rsidP="002718DF">
            <w:pPr>
              <w:pStyle w:val="Tabletext"/>
              <w:jc w:val="right"/>
            </w:pPr>
            <w:r w:rsidRPr="00691A32">
              <w:t>25,600</w:t>
            </w:r>
          </w:p>
        </w:tc>
        <w:tc>
          <w:tcPr>
            <w:tcW w:w="590" w:type="pct"/>
            <w:tcBorders>
              <w:top w:val="single" w:sz="2" w:space="0" w:color="020A09"/>
              <w:left w:val="nil"/>
              <w:bottom w:val="single" w:sz="2" w:space="0" w:color="020A09"/>
              <w:right w:val="nil"/>
            </w:tcBorders>
          </w:tcPr>
          <w:p w14:paraId="4B22FA79" w14:textId="77777777" w:rsidR="009103CC" w:rsidRPr="00691A32" w:rsidRDefault="009103CC" w:rsidP="002718DF">
            <w:pPr>
              <w:pStyle w:val="Tabletext"/>
              <w:jc w:val="right"/>
            </w:pPr>
            <w:r w:rsidRPr="00691A32">
              <w:t>428,680</w:t>
            </w:r>
          </w:p>
        </w:tc>
        <w:tc>
          <w:tcPr>
            <w:tcW w:w="553" w:type="pct"/>
            <w:tcBorders>
              <w:top w:val="single" w:sz="2" w:space="0" w:color="020A09"/>
              <w:left w:val="nil"/>
              <w:bottom w:val="single" w:sz="2" w:space="0" w:color="020A09"/>
              <w:right w:val="nil"/>
            </w:tcBorders>
          </w:tcPr>
          <w:p w14:paraId="17EFE314" w14:textId="77777777" w:rsidR="009103CC" w:rsidRPr="00691A32" w:rsidRDefault="009103CC" w:rsidP="002718DF">
            <w:pPr>
              <w:pStyle w:val="Tabletext"/>
              <w:jc w:val="right"/>
            </w:pPr>
            <w:r w:rsidRPr="00691A32">
              <w:t>23,274</w:t>
            </w:r>
          </w:p>
        </w:tc>
        <w:tc>
          <w:tcPr>
            <w:tcW w:w="579" w:type="pct"/>
            <w:tcBorders>
              <w:top w:val="single" w:sz="2" w:space="0" w:color="020A09"/>
              <w:left w:val="nil"/>
              <w:bottom w:val="single" w:sz="2" w:space="0" w:color="020A09"/>
              <w:right w:val="nil"/>
            </w:tcBorders>
          </w:tcPr>
          <w:p w14:paraId="68E7380D" w14:textId="77777777" w:rsidR="009103CC" w:rsidRPr="00691A32" w:rsidRDefault="009103CC" w:rsidP="002718DF">
            <w:pPr>
              <w:pStyle w:val="Tabletext"/>
              <w:jc w:val="right"/>
            </w:pPr>
            <w:r w:rsidRPr="00691A32">
              <w:t>1,804,321</w:t>
            </w:r>
          </w:p>
        </w:tc>
        <w:tc>
          <w:tcPr>
            <w:tcW w:w="492" w:type="pct"/>
            <w:tcBorders>
              <w:top w:val="single" w:sz="2" w:space="0" w:color="020A09"/>
              <w:left w:val="nil"/>
              <w:bottom w:val="single" w:sz="2" w:space="0" w:color="020A09"/>
              <w:right w:val="nil"/>
            </w:tcBorders>
          </w:tcPr>
          <w:p w14:paraId="095E36FF" w14:textId="77777777" w:rsidR="009103CC" w:rsidRPr="00691A32" w:rsidRDefault="009103CC" w:rsidP="002718DF">
            <w:pPr>
              <w:pStyle w:val="Tabletext"/>
              <w:jc w:val="right"/>
            </w:pPr>
            <w:r w:rsidRPr="00691A32">
              <w:t>2,281,875</w:t>
            </w:r>
          </w:p>
        </w:tc>
      </w:tr>
      <w:tr w:rsidR="009103CC" w:rsidRPr="00691A32" w14:paraId="18D45829" w14:textId="77777777" w:rsidTr="002718DF">
        <w:trPr>
          <w:cantSplit/>
          <w:trHeight w:hRule="exact" w:val="332"/>
        </w:trPr>
        <w:tc>
          <w:tcPr>
            <w:tcW w:w="2197" w:type="pct"/>
            <w:tcBorders>
              <w:top w:val="single" w:sz="2" w:space="0" w:color="020A09"/>
              <w:left w:val="nil"/>
              <w:bottom w:val="single" w:sz="2" w:space="0" w:color="020A09"/>
              <w:right w:val="nil"/>
            </w:tcBorders>
          </w:tcPr>
          <w:p w14:paraId="40D7530A" w14:textId="77777777" w:rsidR="009103CC" w:rsidRPr="00691A32" w:rsidRDefault="009103CC" w:rsidP="002718DF">
            <w:pPr>
              <w:pStyle w:val="Tabletext"/>
            </w:pPr>
            <w:r w:rsidRPr="00691A32">
              <w:t>Accumulated depreciation</w:t>
            </w:r>
          </w:p>
        </w:tc>
        <w:tc>
          <w:tcPr>
            <w:tcW w:w="589" w:type="pct"/>
            <w:tcBorders>
              <w:top w:val="single" w:sz="2" w:space="0" w:color="020A09"/>
              <w:left w:val="nil"/>
              <w:bottom w:val="single" w:sz="2" w:space="0" w:color="020A09"/>
              <w:right w:val="nil"/>
            </w:tcBorders>
          </w:tcPr>
          <w:p w14:paraId="1F99845F" w14:textId="77777777" w:rsidR="009103CC" w:rsidRPr="00691A32" w:rsidRDefault="009103CC" w:rsidP="002718DF">
            <w:pPr>
              <w:pStyle w:val="Tabletext"/>
              <w:jc w:val="right"/>
            </w:pPr>
            <w:r w:rsidRPr="00691A32">
              <w:t>-</w:t>
            </w:r>
          </w:p>
        </w:tc>
        <w:tc>
          <w:tcPr>
            <w:tcW w:w="590" w:type="pct"/>
            <w:tcBorders>
              <w:top w:val="single" w:sz="2" w:space="0" w:color="020A09"/>
              <w:left w:val="nil"/>
              <w:bottom w:val="single" w:sz="2" w:space="0" w:color="020A09"/>
              <w:right w:val="nil"/>
            </w:tcBorders>
          </w:tcPr>
          <w:p w14:paraId="5F77ECE7" w14:textId="77777777" w:rsidR="009103CC" w:rsidRPr="00691A32" w:rsidRDefault="009103CC" w:rsidP="002718DF">
            <w:pPr>
              <w:pStyle w:val="Tabletext"/>
              <w:jc w:val="right"/>
            </w:pPr>
            <w:r w:rsidRPr="00691A32">
              <w:t>(56,083)</w:t>
            </w:r>
          </w:p>
        </w:tc>
        <w:tc>
          <w:tcPr>
            <w:tcW w:w="553" w:type="pct"/>
            <w:tcBorders>
              <w:top w:val="single" w:sz="2" w:space="0" w:color="020A09"/>
              <w:left w:val="nil"/>
              <w:bottom w:val="single" w:sz="2" w:space="0" w:color="020A09"/>
              <w:right w:val="nil"/>
            </w:tcBorders>
          </w:tcPr>
          <w:p w14:paraId="16C84332" w14:textId="77777777" w:rsidR="009103CC" w:rsidRPr="00691A32" w:rsidRDefault="009103CC" w:rsidP="002718DF">
            <w:pPr>
              <w:pStyle w:val="Tabletext"/>
              <w:jc w:val="right"/>
            </w:pPr>
            <w:r w:rsidRPr="00691A32">
              <w:t>(19,390)</w:t>
            </w:r>
          </w:p>
        </w:tc>
        <w:tc>
          <w:tcPr>
            <w:tcW w:w="579" w:type="pct"/>
            <w:tcBorders>
              <w:top w:val="single" w:sz="2" w:space="0" w:color="020A09"/>
              <w:left w:val="nil"/>
              <w:bottom w:val="single" w:sz="2" w:space="0" w:color="020A09"/>
              <w:right w:val="nil"/>
            </w:tcBorders>
          </w:tcPr>
          <w:p w14:paraId="1BC69083" w14:textId="77777777" w:rsidR="009103CC" w:rsidRPr="00691A32" w:rsidRDefault="009103CC" w:rsidP="002718DF">
            <w:pPr>
              <w:pStyle w:val="Tabletext"/>
              <w:jc w:val="right"/>
            </w:pPr>
            <w:r w:rsidRPr="00691A32">
              <w:t>-</w:t>
            </w:r>
          </w:p>
        </w:tc>
        <w:tc>
          <w:tcPr>
            <w:tcW w:w="492" w:type="pct"/>
            <w:tcBorders>
              <w:top w:val="single" w:sz="2" w:space="0" w:color="020A09"/>
              <w:left w:val="nil"/>
              <w:bottom w:val="single" w:sz="2" w:space="0" w:color="020A09"/>
              <w:right w:val="nil"/>
            </w:tcBorders>
          </w:tcPr>
          <w:p w14:paraId="2BA29FAC" w14:textId="77777777" w:rsidR="009103CC" w:rsidRPr="00691A32" w:rsidRDefault="009103CC" w:rsidP="002718DF">
            <w:pPr>
              <w:pStyle w:val="Tabletext"/>
              <w:jc w:val="right"/>
            </w:pPr>
            <w:r w:rsidRPr="00691A32">
              <w:t>(75,473)</w:t>
            </w:r>
          </w:p>
        </w:tc>
      </w:tr>
      <w:tr w:rsidR="009103CC" w:rsidRPr="00691A32" w14:paraId="32634AAC" w14:textId="77777777" w:rsidTr="002718DF">
        <w:trPr>
          <w:cantSplit/>
          <w:trHeight w:hRule="exact" w:val="332"/>
        </w:trPr>
        <w:tc>
          <w:tcPr>
            <w:tcW w:w="2197" w:type="pct"/>
            <w:tcBorders>
              <w:top w:val="single" w:sz="2" w:space="0" w:color="020A09"/>
              <w:left w:val="nil"/>
              <w:bottom w:val="single" w:sz="2" w:space="0" w:color="020A09"/>
              <w:right w:val="nil"/>
            </w:tcBorders>
          </w:tcPr>
          <w:p w14:paraId="2546EC18" w14:textId="77777777" w:rsidR="009103CC" w:rsidRPr="00691A32" w:rsidRDefault="009103CC" w:rsidP="002718DF">
            <w:pPr>
              <w:pStyle w:val="Tabletext"/>
            </w:pPr>
            <w:r w:rsidRPr="00691A32">
              <w:t>Net revaluation increment/revaluation decrements</w:t>
            </w:r>
          </w:p>
        </w:tc>
        <w:tc>
          <w:tcPr>
            <w:tcW w:w="589" w:type="pct"/>
            <w:tcBorders>
              <w:top w:val="single" w:sz="2" w:space="0" w:color="020A09"/>
              <w:left w:val="nil"/>
              <w:bottom w:val="single" w:sz="2" w:space="0" w:color="020A09"/>
              <w:right w:val="nil"/>
            </w:tcBorders>
          </w:tcPr>
          <w:p w14:paraId="2CDC2E56" w14:textId="77777777" w:rsidR="009103CC" w:rsidRPr="00691A32" w:rsidRDefault="009103CC" w:rsidP="002718DF">
            <w:pPr>
              <w:pStyle w:val="Tabletext"/>
              <w:jc w:val="right"/>
            </w:pPr>
            <w:r w:rsidRPr="00691A32">
              <w:t>1,500</w:t>
            </w:r>
          </w:p>
        </w:tc>
        <w:tc>
          <w:tcPr>
            <w:tcW w:w="590" w:type="pct"/>
            <w:tcBorders>
              <w:top w:val="single" w:sz="2" w:space="0" w:color="020A09"/>
              <w:left w:val="nil"/>
              <w:bottom w:val="single" w:sz="2" w:space="0" w:color="020A09"/>
              <w:right w:val="nil"/>
            </w:tcBorders>
          </w:tcPr>
          <w:p w14:paraId="15EA5603" w14:textId="77777777" w:rsidR="009103CC" w:rsidRPr="00691A32" w:rsidRDefault="009103CC" w:rsidP="002718DF">
            <w:pPr>
              <w:pStyle w:val="Tabletext"/>
              <w:jc w:val="right"/>
            </w:pPr>
            <w:r w:rsidRPr="00691A32">
              <w:t>-</w:t>
            </w:r>
          </w:p>
        </w:tc>
        <w:tc>
          <w:tcPr>
            <w:tcW w:w="553" w:type="pct"/>
            <w:tcBorders>
              <w:top w:val="single" w:sz="2" w:space="0" w:color="020A09"/>
              <w:left w:val="nil"/>
              <w:bottom w:val="single" w:sz="2" w:space="0" w:color="020A09"/>
              <w:right w:val="nil"/>
            </w:tcBorders>
          </w:tcPr>
          <w:p w14:paraId="59F2707A" w14:textId="77777777" w:rsidR="009103CC" w:rsidRPr="00691A32" w:rsidRDefault="009103CC" w:rsidP="002718DF">
            <w:pPr>
              <w:pStyle w:val="Tabletext"/>
              <w:jc w:val="right"/>
            </w:pPr>
            <w:r w:rsidRPr="00691A32">
              <w:t>-</w:t>
            </w:r>
          </w:p>
        </w:tc>
        <w:tc>
          <w:tcPr>
            <w:tcW w:w="579" w:type="pct"/>
            <w:tcBorders>
              <w:top w:val="single" w:sz="2" w:space="0" w:color="020A09"/>
              <w:left w:val="nil"/>
              <w:bottom w:val="single" w:sz="2" w:space="0" w:color="020A09"/>
              <w:right w:val="nil"/>
            </w:tcBorders>
          </w:tcPr>
          <w:p w14:paraId="44D1EBC9" w14:textId="77777777" w:rsidR="009103CC" w:rsidRPr="00691A32" w:rsidRDefault="009103CC" w:rsidP="002718DF">
            <w:pPr>
              <w:pStyle w:val="Tabletext"/>
              <w:jc w:val="right"/>
            </w:pPr>
            <w:r w:rsidRPr="00691A32">
              <w:t>-</w:t>
            </w:r>
          </w:p>
        </w:tc>
        <w:tc>
          <w:tcPr>
            <w:tcW w:w="492" w:type="pct"/>
            <w:tcBorders>
              <w:top w:val="single" w:sz="2" w:space="0" w:color="020A09"/>
              <w:left w:val="nil"/>
              <w:bottom w:val="single" w:sz="2" w:space="0" w:color="020A09"/>
              <w:right w:val="nil"/>
            </w:tcBorders>
          </w:tcPr>
          <w:p w14:paraId="444F5456" w14:textId="77777777" w:rsidR="009103CC" w:rsidRPr="00691A32" w:rsidRDefault="009103CC" w:rsidP="002718DF">
            <w:pPr>
              <w:pStyle w:val="Tabletext"/>
              <w:jc w:val="right"/>
            </w:pPr>
            <w:r w:rsidRPr="00691A32">
              <w:t>1,500</w:t>
            </w:r>
          </w:p>
        </w:tc>
      </w:tr>
      <w:tr w:rsidR="009103CC" w:rsidRPr="00691A32" w14:paraId="0C80754A" w14:textId="77777777" w:rsidTr="002718DF">
        <w:trPr>
          <w:cantSplit/>
          <w:trHeight w:hRule="exact" w:val="332"/>
        </w:trPr>
        <w:tc>
          <w:tcPr>
            <w:tcW w:w="2197" w:type="pct"/>
            <w:tcBorders>
              <w:top w:val="single" w:sz="2" w:space="0" w:color="020A09"/>
              <w:left w:val="nil"/>
              <w:bottom w:val="single" w:sz="2" w:space="0" w:color="020A09"/>
              <w:right w:val="nil"/>
            </w:tcBorders>
          </w:tcPr>
          <w:p w14:paraId="263483C0" w14:textId="77777777" w:rsidR="009103CC" w:rsidRPr="00691A32" w:rsidRDefault="009103CC" w:rsidP="002718DF">
            <w:pPr>
              <w:pStyle w:val="Tabletext"/>
            </w:pPr>
            <w:r w:rsidRPr="00691A32">
              <w:t>Net carrying amount</w:t>
            </w:r>
          </w:p>
        </w:tc>
        <w:tc>
          <w:tcPr>
            <w:tcW w:w="589" w:type="pct"/>
            <w:tcBorders>
              <w:top w:val="single" w:sz="2" w:space="0" w:color="020A09"/>
              <w:left w:val="nil"/>
              <w:bottom w:val="single" w:sz="2" w:space="0" w:color="020A09"/>
              <w:right w:val="nil"/>
            </w:tcBorders>
          </w:tcPr>
          <w:p w14:paraId="47AF195E" w14:textId="77777777" w:rsidR="009103CC" w:rsidRPr="00691A32" w:rsidRDefault="009103CC" w:rsidP="002718DF">
            <w:pPr>
              <w:pStyle w:val="Tabletext"/>
              <w:jc w:val="right"/>
            </w:pPr>
            <w:r w:rsidRPr="00691A32">
              <w:t>27,100</w:t>
            </w:r>
          </w:p>
        </w:tc>
        <w:tc>
          <w:tcPr>
            <w:tcW w:w="590" w:type="pct"/>
            <w:tcBorders>
              <w:top w:val="single" w:sz="2" w:space="0" w:color="020A09"/>
              <w:left w:val="nil"/>
              <w:bottom w:val="single" w:sz="2" w:space="0" w:color="020A09"/>
              <w:right w:val="nil"/>
            </w:tcBorders>
          </w:tcPr>
          <w:p w14:paraId="236D02F7" w14:textId="77777777" w:rsidR="009103CC" w:rsidRPr="00691A32" w:rsidRDefault="009103CC" w:rsidP="002718DF">
            <w:pPr>
              <w:pStyle w:val="Tabletext"/>
              <w:jc w:val="right"/>
            </w:pPr>
            <w:r w:rsidRPr="00691A32">
              <w:t>372,597</w:t>
            </w:r>
          </w:p>
        </w:tc>
        <w:tc>
          <w:tcPr>
            <w:tcW w:w="553" w:type="pct"/>
            <w:tcBorders>
              <w:top w:val="single" w:sz="2" w:space="0" w:color="020A09"/>
              <w:left w:val="nil"/>
              <w:bottom w:val="single" w:sz="2" w:space="0" w:color="020A09"/>
              <w:right w:val="nil"/>
            </w:tcBorders>
          </w:tcPr>
          <w:p w14:paraId="28179313" w14:textId="77777777" w:rsidR="009103CC" w:rsidRPr="00691A32" w:rsidRDefault="009103CC" w:rsidP="002718DF">
            <w:pPr>
              <w:pStyle w:val="Tabletext"/>
              <w:jc w:val="right"/>
            </w:pPr>
            <w:r w:rsidRPr="00691A32">
              <w:t>3,884</w:t>
            </w:r>
          </w:p>
        </w:tc>
        <w:tc>
          <w:tcPr>
            <w:tcW w:w="579" w:type="pct"/>
            <w:tcBorders>
              <w:top w:val="single" w:sz="2" w:space="0" w:color="020A09"/>
              <w:left w:val="nil"/>
              <w:bottom w:val="single" w:sz="2" w:space="0" w:color="020A09"/>
              <w:right w:val="nil"/>
            </w:tcBorders>
          </w:tcPr>
          <w:p w14:paraId="2B721579" w14:textId="77777777" w:rsidR="009103CC" w:rsidRPr="00691A32" w:rsidRDefault="009103CC" w:rsidP="002718DF">
            <w:pPr>
              <w:pStyle w:val="Tabletext"/>
              <w:jc w:val="right"/>
            </w:pPr>
            <w:r w:rsidRPr="00691A32">
              <w:t>1,804,321</w:t>
            </w:r>
          </w:p>
        </w:tc>
        <w:tc>
          <w:tcPr>
            <w:tcW w:w="492" w:type="pct"/>
            <w:tcBorders>
              <w:top w:val="single" w:sz="2" w:space="0" w:color="020A09"/>
              <w:left w:val="nil"/>
              <w:bottom w:val="single" w:sz="2" w:space="0" w:color="020A09"/>
              <w:right w:val="nil"/>
            </w:tcBorders>
          </w:tcPr>
          <w:p w14:paraId="52AE8711" w14:textId="77777777" w:rsidR="009103CC" w:rsidRPr="00691A32" w:rsidRDefault="009103CC" w:rsidP="002718DF">
            <w:pPr>
              <w:pStyle w:val="Tabletext"/>
              <w:jc w:val="right"/>
            </w:pPr>
            <w:r w:rsidRPr="00691A32">
              <w:t>2,207,902</w:t>
            </w:r>
          </w:p>
        </w:tc>
      </w:tr>
    </w:tbl>
    <w:p w14:paraId="372050C1" w14:textId="77777777" w:rsidR="009103CC" w:rsidRDefault="009103CC" w:rsidP="009103CC">
      <w:pPr>
        <w:pStyle w:val="Tabletext"/>
      </w:pPr>
    </w:p>
    <w:p w14:paraId="6DC6D0C8" w14:textId="77777777" w:rsidR="009103CC" w:rsidRPr="00933FC4" w:rsidRDefault="009103CC" w:rsidP="009103CC">
      <w:pPr>
        <w:pStyle w:val="ARbody"/>
        <w:rPr>
          <w:b/>
          <w:bCs/>
        </w:rPr>
      </w:pPr>
      <w:r w:rsidRPr="00933FC4">
        <w:rPr>
          <w:b/>
          <w:bCs/>
        </w:rPr>
        <w:t>Reconciliation</w:t>
      </w:r>
    </w:p>
    <w:p w14:paraId="7F446C3B" w14:textId="77777777" w:rsidR="009103CC" w:rsidRPr="00933FC4" w:rsidRDefault="009103CC" w:rsidP="009103CC">
      <w:pPr>
        <w:pStyle w:val="ARbody"/>
      </w:pPr>
      <w:r w:rsidRPr="00933FC4">
        <w:t>A reconciliation of the carrying amount of each class of property, plant and equipment at the beginning and end of the each reporting period are set out below:</w:t>
      </w:r>
    </w:p>
    <w:tbl>
      <w:tblPr>
        <w:tblW w:w="5000" w:type="pct"/>
        <w:tblCellMar>
          <w:left w:w="0" w:type="dxa"/>
          <w:right w:w="0" w:type="dxa"/>
        </w:tblCellMar>
        <w:tblLook w:val="01E0" w:firstRow="1" w:lastRow="1" w:firstColumn="1" w:lastColumn="1" w:noHBand="0" w:noVBand="0"/>
        <w:tblCaption w:val="Reconcilation of the carrying amount of each class of property, plant and equipment"/>
        <w:tblDescription w:val="This table provides figures for land, buildings, plant and equipment and collection assets as well as a total, as at 30 June 2020 and 30 June 2021."/>
      </w:tblPr>
      <w:tblGrid>
        <w:gridCol w:w="3742"/>
        <w:gridCol w:w="243"/>
        <w:gridCol w:w="738"/>
        <w:gridCol w:w="330"/>
        <w:gridCol w:w="746"/>
        <w:gridCol w:w="325"/>
        <w:gridCol w:w="809"/>
        <w:gridCol w:w="194"/>
        <w:gridCol w:w="844"/>
        <w:gridCol w:w="207"/>
        <w:gridCol w:w="892"/>
      </w:tblGrid>
      <w:tr w:rsidR="009103CC" w:rsidRPr="00691A32" w14:paraId="63831D41" w14:textId="77777777" w:rsidTr="002718DF">
        <w:trPr>
          <w:cantSplit/>
          <w:trHeight w:hRule="exact" w:val="811"/>
          <w:tblHeader/>
        </w:trPr>
        <w:tc>
          <w:tcPr>
            <w:tcW w:w="2197" w:type="pct"/>
            <w:gridSpan w:val="2"/>
            <w:tcBorders>
              <w:left w:val="nil"/>
              <w:bottom w:val="single" w:sz="4" w:space="0" w:color="auto"/>
              <w:right w:val="nil"/>
            </w:tcBorders>
          </w:tcPr>
          <w:p w14:paraId="7EF92311" w14:textId="77777777" w:rsidR="009103CC" w:rsidRPr="00691A32" w:rsidRDefault="009103CC" w:rsidP="002718DF">
            <w:pPr>
              <w:pStyle w:val="Tabletext"/>
              <w:rPr>
                <w:b/>
                <w:bCs/>
              </w:rPr>
            </w:pPr>
          </w:p>
        </w:tc>
        <w:tc>
          <w:tcPr>
            <w:tcW w:w="589" w:type="pct"/>
            <w:gridSpan w:val="2"/>
            <w:tcBorders>
              <w:left w:val="nil"/>
              <w:bottom w:val="single" w:sz="4" w:space="0" w:color="auto"/>
              <w:right w:val="nil"/>
            </w:tcBorders>
          </w:tcPr>
          <w:p w14:paraId="36C34B52" w14:textId="77777777" w:rsidR="009103CC" w:rsidRPr="00691A32" w:rsidRDefault="009103CC" w:rsidP="002718DF">
            <w:pPr>
              <w:pStyle w:val="Tabletext"/>
              <w:jc w:val="right"/>
              <w:rPr>
                <w:b/>
                <w:bCs/>
              </w:rPr>
            </w:pPr>
            <w:r w:rsidRPr="00691A32">
              <w:rPr>
                <w:b/>
                <w:bCs/>
              </w:rPr>
              <w:t>Land $’000</w:t>
            </w:r>
          </w:p>
        </w:tc>
        <w:tc>
          <w:tcPr>
            <w:tcW w:w="590" w:type="pct"/>
            <w:gridSpan w:val="2"/>
            <w:tcBorders>
              <w:left w:val="nil"/>
              <w:bottom w:val="single" w:sz="4" w:space="0" w:color="auto"/>
              <w:right w:val="nil"/>
            </w:tcBorders>
          </w:tcPr>
          <w:p w14:paraId="7D2D6446" w14:textId="77777777" w:rsidR="009103CC" w:rsidRPr="00691A32" w:rsidRDefault="009103CC" w:rsidP="002718DF">
            <w:pPr>
              <w:pStyle w:val="Tabletext"/>
              <w:jc w:val="right"/>
              <w:rPr>
                <w:b/>
                <w:bCs/>
              </w:rPr>
            </w:pPr>
            <w:r w:rsidRPr="00691A32">
              <w:rPr>
                <w:b/>
                <w:bCs/>
              </w:rPr>
              <w:t>Buildings $’000</w:t>
            </w:r>
          </w:p>
        </w:tc>
        <w:tc>
          <w:tcPr>
            <w:tcW w:w="553" w:type="pct"/>
            <w:gridSpan w:val="2"/>
            <w:tcBorders>
              <w:left w:val="nil"/>
              <w:bottom w:val="single" w:sz="4" w:space="0" w:color="auto"/>
              <w:right w:val="nil"/>
            </w:tcBorders>
          </w:tcPr>
          <w:p w14:paraId="516CC950" w14:textId="77777777" w:rsidR="009103CC" w:rsidRPr="00691A32" w:rsidRDefault="009103CC" w:rsidP="002718DF">
            <w:pPr>
              <w:pStyle w:val="Tabletext"/>
              <w:jc w:val="right"/>
              <w:rPr>
                <w:b/>
                <w:bCs/>
              </w:rPr>
            </w:pPr>
            <w:r w:rsidRPr="00691A32">
              <w:rPr>
                <w:b/>
                <w:bCs/>
              </w:rPr>
              <w:t>Plant and equipment $’000</w:t>
            </w:r>
          </w:p>
        </w:tc>
        <w:tc>
          <w:tcPr>
            <w:tcW w:w="579" w:type="pct"/>
            <w:gridSpan w:val="2"/>
            <w:tcBorders>
              <w:left w:val="nil"/>
              <w:bottom w:val="single" w:sz="4" w:space="0" w:color="auto"/>
              <w:right w:val="nil"/>
            </w:tcBorders>
          </w:tcPr>
          <w:p w14:paraId="5573F3E1" w14:textId="77777777" w:rsidR="009103CC" w:rsidRPr="00691A32" w:rsidRDefault="009103CC" w:rsidP="002718DF">
            <w:pPr>
              <w:pStyle w:val="Tabletext"/>
              <w:jc w:val="right"/>
              <w:rPr>
                <w:b/>
                <w:bCs/>
              </w:rPr>
            </w:pPr>
            <w:r w:rsidRPr="00691A32">
              <w:rPr>
                <w:b/>
                <w:bCs/>
              </w:rPr>
              <w:t>Collection assets $’000</w:t>
            </w:r>
          </w:p>
        </w:tc>
        <w:tc>
          <w:tcPr>
            <w:tcW w:w="492" w:type="pct"/>
            <w:tcBorders>
              <w:left w:val="nil"/>
              <w:bottom w:val="single" w:sz="4" w:space="0" w:color="auto"/>
              <w:right w:val="nil"/>
            </w:tcBorders>
          </w:tcPr>
          <w:p w14:paraId="5C5FD534" w14:textId="77777777" w:rsidR="009103CC" w:rsidRPr="00691A32" w:rsidRDefault="009103CC" w:rsidP="002718DF">
            <w:pPr>
              <w:pStyle w:val="Tabletext"/>
              <w:jc w:val="right"/>
              <w:rPr>
                <w:b/>
                <w:bCs/>
              </w:rPr>
            </w:pPr>
            <w:r w:rsidRPr="00691A32">
              <w:rPr>
                <w:b/>
                <w:bCs/>
              </w:rPr>
              <w:t>Total $’000</w:t>
            </w:r>
          </w:p>
        </w:tc>
      </w:tr>
      <w:tr w:rsidR="009103CC" w:rsidRPr="00546E9D" w14:paraId="2CF1CFEC" w14:textId="77777777" w:rsidTr="002718DF">
        <w:trPr>
          <w:cantSplit/>
          <w:trHeight w:hRule="exact" w:val="345"/>
        </w:trPr>
        <w:tc>
          <w:tcPr>
            <w:tcW w:w="2063" w:type="pct"/>
            <w:tcBorders>
              <w:top w:val="single" w:sz="4" w:space="0" w:color="auto"/>
              <w:left w:val="nil"/>
              <w:bottom w:val="single" w:sz="2" w:space="0" w:color="020A09"/>
              <w:right w:val="nil"/>
            </w:tcBorders>
          </w:tcPr>
          <w:p w14:paraId="38063FFF" w14:textId="77777777" w:rsidR="009103CC" w:rsidRPr="00546E9D" w:rsidRDefault="009103CC" w:rsidP="002718DF">
            <w:pPr>
              <w:pStyle w:val="Tabletext"/>
              <w:rPr>
                <w:rFonts w:cs="Arial"/>
                <w:b/>
                <w:bCs/>
              </w:rPr>
            </w:pPr>
            <w:bookmarkStart w:id="21" w:name="_Hlk92874132"/>
            <w:r w:rsidRPr="00546E9D">
              <w:rPr>
                <w:rFonts w:cs="Arial"/>
                <w:b/>
                <w:bCs/>
              </w:rPr>
              <w:t>Year ended 30 June 2020</w:t>
            </w:r>
          </w:p>
        </w:tc>
        <w:tc>
          <w:tcPr>
            <w:tcW w:w="2937" w:type="pct"/>
            <w:gridSpan w:val="10"/>
            <w:tcBorders>
              <w:top w:val="single" w:sz="4" w:space="0" w:color="auto"/>
              <w:left w:val="nil"/>
              <w:bottom w:val="single" w:sz="2" w:space="0" w:color="020A09"/>
              <w:right w:val="nil"/>
            </w:tcBorders>
          </w:tcPr>
          <w:p w14:paraId="62D1FD5D" w14:textId="77777777" w:rsidR="009103CC" w:rsidRPr="00546E9D" w:rsidRDefault="009103CC" w:rsidP="002718DF">
            <w:pPr>
              <w:pStyle w:val="Tabletext"/>
              <w:jc w:val="right"/>
              <w:rPr>
                <w:rFonts w:cs="Arial"/>
                <w:b/>
                <w:bCs/>
              </w:rPr>
            </w:pPr>
          </w:p>
        </w:tc>
      </w:tr>
      <w:tr w:rsidR="009103CC" w:rsidRPr="00546E9D" w14:paraId="34D45177" w14:textId="77777777" w:rsidTr="002718DF">
        <w:trPr>
          <w:cantSplit/>
          <w:trHeight w:hRule="exact" w:val="332"/>
        </w:trPr>
        <w:tc>
          <w:tcPr>
            <w:tcW w:w="2063" w:type="pct"/>
            <w:tcBorders>
              <w:top w:val="single" w:sz="2" w:space="0" w:color="020A09"/>
              <w:left w:val="nil"/>
              <w:bottom w:val="single" w:sz="2" w:space="0" w:color="020A09"/>
              <w:right w:val="nil"/>
            </w:tcBorders>
          </w:tcPr>
          <w:p w14:paraId="53C2633B" w14:textId="77777777" w:rsidR="009103CC" w:rsidRPr="00546E9D" w:rsidRDefault="009103CC" w:rsidP="002718DF">
            <w:pPr>
              <w:pStyle w:val="Tabletext"/>
              <w:rPr>
                <w:rFonts w:cs="Arial"/>
              </w:rPr>
            </w:pPr>
            <w:r w:rsidRPr="00546E9D">
              <w:rPr>
                <w:rFonts w:cs="Arial"/>
              </w:rPr>
              <w:t>Net carrying amount at 1 July 2019</w:t>
            </w:r>
          </w:p>
        </w:tc>
        <w:tc>
          <w:tcPr>
            <w:tcW w:w="541" w:type="pct"/>
            <w:gridSpan w:val="2"/>
            <w:tcBorders>
              <w:top w:val="single" w:sz="2" w:space="0" w:color="020A09"/>
              <w:left w:val="nil"/>
              <w:bottom w:val="single" w:sz="2" w:space="0" w:color="020A09"/>
              <w:right w:val="nil"/>
            </w:tcBorders>
          </w:tcPr>
          <w:p w14:paraId="6365A7BF" w14:textId="77777777" w:rsidR="009103CC" w:rsidRPr="00546E9D" w:rsidRDefault="009103CC" w:rsidP="002718DF">
            <w:pPr>
              <w:pStyle w:val="Tabletext"/>
              <w:jc w:val="right"/>
              <w:rPr>
                <w:rFonts w:cs="Arial"/>
              </w:rPr>
            </w:pPr>
            <w:r w:rsidRPr="00546E9D">
              <w:rPr>
                <w:rFonts w:cs="Arial"/>
              </w:rPr>
              <w:t>25,600</w:t>
            </w:r>
          </w:p>
        </w:tc>
        <w:tc>
          <w:tcPr>
            <w:tcW w:w="593" w:type="pct"/>
            <w:gridSpan w:val="2"/>
            <w:tcBorders>
              <w:top w:val="single" w:sz="2" w:space="0" w:color="020A09"/>
              <w:left w:val="nil"/>
              <w:bottom w:val="single" w:sz="2" w:space="0" w:color="020A09"/>
              <w:right w:val="nil"/>
            </w:tcBorders>
          </w:tcPr>
          <w:p w14:paraId="4DE13802" w14:textId="77777777" w:rsidR="009103CC" w:rsidRPr="00546E9D" w:rsidRDefault="009103CC" w:rsidP="002718DF">
            <w:pPr>
              <w:pStyle w:val="Tabletext"/>
              <w:jc w:val="right"/>
              <w:rPr>
                <w:rFonts w:cs="Arial"/>
              </w:rPr>
            </w:pPr>
            <w:r w:rsidRPr="00546E9D">
              <w:rPr>
                <w:rFonts w:cs="Arial"/>
              </w:rPr>
              <w:t>250,192</w:t>
            </w:r>
          </w:p>
        </w:tc>
        <w:tc>
          <w:tcPr>
            <w:tcW w:w="625" w:type="pct"/>
            <w:gridSpan w:val="2"/>
            <w:tcBorders>
              <w:top w:val="single" w:sz="2" w:space="0" w:color="020A09"/>
              <w:left w:val="nil"/>
              <w:bottom w:val="single" w:sz="2" w:space="0" w:color="020A09"/>
              <w:right w:val="nil"/>
            </w:tcBorders>
          </w:tcPr>
          <w:p w14:paraId="542E7499" w14:textId="77777777" w:rsidR="009103CC" w:rsidRPr="00546E9D" w:rsidRDefault="009103CC" w:rsidP="002718DF">
            <w:pPr>
              <w:pStyle w:val="Tabletext"/>
              <w:jc w:val="right"/>
              <w:rPr>
                <w:rFonts w:cs="Arial"/>
              </w:rPr>
            </w:pPr>
            <w:r w:rsidRPr="00546E9D">
              <w:rPr>
                <w:rFonts w:cs="Arial"/>
              </w:rPr>
              <w:t>3,514</w:t>
            </w:r>
          </w:p>
        </w:tc>
        <w:tc>
          <w:tcPr>
            <w:tcW w:w="572" w:type="pct"/>
            <w:gridSpan w:val="2"/>
            <w:tcBorders>
              <w:top w:val="single" w:sz="2" w:space="0" w:color="020A09"/>
              <w:left w:val="nil"/>
              <w:bottom w:val="single" w:sz="2" w:space="0" w:color="020A09"/>
              <w:right w:val="nil"/>
            </w:tcBorders>
          </w:tcPr>
          <w:p w14:paraId="153C038D" w14:textId="77777777" w:rsidR="009103CC" w:rsidRPr="00546E9D" w:rsidRDefault="009103CC" w:rsidP="002718DF">
            <w:pPr>
              <w:pStyle w:val="Tabletext"/>
              <w:jc w:val="right"/>
              <w:rPr>
                <w:rFonts w:cs="Arial"/>
              </w:rPr>
            </w:pPr>
            <w:r w:rsidRPr="00546E9D">
              <w:rPr>
                <w:rFonts w:cs="Arial"/>
              </w:rPr>
              <w:t>1,392,757</w:t>
            </w:r>
          </w:p>
        </w:tc>
        <w:tc>
          <w:tcPr>
            <w:tcW w:w="606" w:type="pct"/>
            <w:gridSpan w:val="2"/>
            <w:tcBorders>
              <w:top w:val="single" w:sz="2" w:space="0" w:color="020A09"/>
              <w:left w:val="nil"/>
              <w:bottom w:val="single" w:sz="2" w:space="0" w:color="020A09"/>
              <w:right w:val="nil"/>
            </w:tcBorders>
          </w:tcPr>
          <w:p w14:paraId="3A60F644" w14:textId="77777777" w:rsidR="009103CC" w:rsidRPr="00546E9D" w:rsidRDefault="009103CC" w:rsidP="002718DF">
            <w:pPr>
              <w:pStyle w:val="Tabletext"/>
              <w:jc w:val="right"/>
              <w:rPr>
                <w:rFonts w:cs="Arial"/>
              </w:rPr>
            </w:pPr>
            <w:r w:rsidRPr="00546E9D">
              <w:rPr>
                <w:rFonts w:cs="Arial"/>
              </w:rPr>
              <w:t>1,672,063</w:t>
            </w:r>
          </w:p>
        </w:tc>
      </w:tr>
      <w:tr w:rsidR="009103CC" w:rsidRPr="00546E9D" w14:paraId="7543997E" w14:textId="77777777" w:rsidTr="002718DF">
        <w:trPr>
          <w:cantSplit/>
          <w:trHeight w:hRule="exact" w:val="332"/>
        </w:trPr>
        <w:tc>
          <w:tcPr>
            <w:tcW w:w="2063" w:type="pct"/>
            <w:tcBorders>
              <w:top w:val="single" w:sz="2" w:space="0" w:color="020A09"/>
              <w:left w:val="nil"/>
              <w:bottom w:val="single" w:sz="2" w:space="0" w:color="020A09"/>
              <w:right w:val="nil"/>
            </w:tcBorders>
          </w:tcPr>
          <w:p w14:paraId="50461600" w14:textId="77777777" w:rsidR="009103CC" w:rsidRPr="00546E9D" w:rsidRDefault="009103CC" w:rsidP="002718DF">
            <w:pPr>
              <w:pStyle w:val="Tabletext"/>
              <w:rPr>
                <w:rFonts w:cs="Arial"/>
              </w:rPr>
            </w:pPr>
            <w:r w:rsidRPr="00546E9D">
              <w:rPr>
                <w:rFonts w:cs="Arial"/>
              </w:rPr>
              <w:t>Additions</w:t>
            </w:r>
          </w:p>
        </w:tc>
        <w:tc>
          <w:tcPr>
            <w:tcW w:w="541" w:type="pct"/>
            <w:gridSpan w:val="2"/>
            <w:tcBorders>
              <w:top w:val="single" w:sz="2" w:space="0" w:color="020A09"/>
              <w:left w:val="nil"/>
              <w:bottom w:val="single" w:sz="2" w:space="0" w:color="020A09"/>
              <w:right w:val="nil"/>
            </w:tcBorders>
          </w:tcPr>
          <w:p w14:paraId="2BC6DAB0" w14:textId="77777777" w:rsidR="009103CC" w:rsidRPr="00546E9D" w:rsidRDefault="009103CC" w:rsidP="002718DF">
            <w:pPr>
              <w:pStyle w:val="Tabletext"/>
              <w:jc w:val="right"/>
              <w:rPr>
                <w:rFonts w:cs="Arial"/>
              </w:rPr>
            </w:pPr>
            <w:r w:rsidRPr="00546E9D">
              <w:rPr>
                <w:rFonts w:cs="Arial"/>
              </w:rPr>
              <w:t>-</w:t>
            </w:r>
          </w:p>
        </w:tc>
        <w:tc>
          <w:tcPr>
            <w:tcW w:w="593" w:type="pct"/>
            <w:gridSpan w:val="2"/>
            <w:tcBorders>
              <w:top w:val="single" w:sz="2" w:space="0" w:color="020A09"/>
              <w:left w:val="nil"/>
              <w:bottom w:val="single" w:sz="2" w:space="0" w:color="020A09"/>
              <w:right w:val="nil"/>
            </w:tcBorders>
          </w:tcPr>
          <w:p w14:paraId="06C05FDE" w14:textId="77777777" w:rsidR="009103CC" w:rsidRPr="00546E9D" w:rsidRDefault="009103CC" w:rsidP="002718DF">
            <w:pPr>
              <w:pStyle w:val="Tabletext"/>
              <w:jc w:val="right"/>
              <w:rPr>
                <w:rFonts w:cs="Arial"/>
              </w:rPr>
            </w:pPr>
            <w:r w:rsidRPr="00546E9D">
              <w:rPr>
                <w:rFonts w:cs="Arial"/>
              </w:rPr>
              <w:t>45,930</w:t>
            </w:r>
          </w:p>
        </w:tc>
        <w:tc>
          <w:tcPr>
            <w:tcW w:w="625" w:type="pct"/>
            <w:gridSpan w:val="2"/>
            <w:tcBorders>
              <w:top w:val="single" w:sz="2" w:space="0" w:color="020A09"/>
              <w:left w:val="nil"/>
              <w:bottom w:val="single" w:sz="2" w:space="0" w:color="020A09"/>
              <w:right w:val="nil"/>
            </w:tcBorders>
          </w:tcPr>
          <w:p w14:paraId="1D2A7788" w14:textId="77777777" w:rsidR="009103CC" w:rsidRPr="00546E9D" w:rsidRDefault="009103CC" w:rsidP="002718DF">
            <w:pPr>
              <w:pStyle w:val="Tabletext"/>
              <w:jc w:val="right"/>
              <w:rPr>
                <w:rFonts w:cs="Arial"/>
              </w:rPr>
            </w:pPr>
            <w:r w:rsidRPr="00546E9D">
              <w:rPr>
                <w:rFonts w:cs="Arial"/>
              </w:rPr>
              <w:t>284</w:t>
            </w:r>
          </w:p>
        </w:tc>
        <w:tc>
          <w:tcPr>
            <w:tcW w:w="572" w:type="pct"/>
            <w:gridSpan w:val="2"/>
            <w:tcBorders>
              <w:top w:val="single" w:sz="2" w:space="0" w:color="020A09"/>
              <w:left w:val="nil"/>
              <w:bottom w:val="single" w:sz="2" w:space="0" w:color="020A09"/>
              <w:right w:val="nil"/>
            </w:tcBorders>
          </w:tcPr>
          <w:p w14:paraId="01385282" w14:textId="77777777" w:rsidR="009103CC" w:rsidRPr="00546E9D" w:rsidRDefault="009103CC" w:rsidP="002718DF">
            <w:pPr>
              <w:pStyle w:val="Tabletext"/>
              <w:jc w:val="right"/>
              <w:rPr>
                <w:rFonts w:cs="Arial"/>
              </w:rPr>
            </w:pPr>
            <w:r w:rsidRPr="00546E9D">
              <w:rPr>
                <w:rFonts w:cs="Arial"/>
              </w:rPr>
              <w:t>13,139</w:t>
            </w:r>
          </w:p>
        </w:tc>
        <w:tc>
          <w:tcPr>
            <w:tcW w:w="606" w:type="pct"/>
            <w:gridSpan w:val="2"/>
            <w:tcBorders>
              <w:top w:val="single" w:sz="2" w:space="0" w:color="020A09"/>
              <w:left w:val="nil"/>
              <w:bottom w:val="single" w:sz="2" w:space="0" w:color="020A09"/>
              <w:right w:val="nil"/>
            </w:tcBorders>
          </w:tcPr>
          <w:p w14:paraId="68C1FE3F" w14:textId="77777777" w:rsidR="009103CC" w:rsidRPr="00546E9D" w:rsidRDefault="009103CC" w:rsidP="002718DF">
            <w:pPr>
              <w:pStyle w:val="Tabletext"/>
              <w:jc w:val="right"/>
              <w:rPr>
                <w:rFonts w:cs="Arial"/>
              </w:rPr>
            </w:pPr>
            <w:r w:rsidRPr="00546E9D">
              <w:rPr>
                <w:rFonts w:cs="Arial"/>
              </w:rPr>
              <w:t>59,353</w:t>
            </w:r>
          </w:p>
        </w:tc>
      </w:tr>
      <w:tr w:rsidR="009103CC" w:rsidRPr="00546E9D" w14:paraId="56B5524C" w14:textId="77777777" w:rsidTr="002718DF">
        <w:trPr>
          <w:cantSplit/>
          <w:trHeight w:hRule="exact" w:val="332"/>
        </w:trPr>
        <w:tc>
          <w:tcPr>
            <w:tcW w:w="2063" w:type="pct"/>
            <w:tcBorders>
              <w:top w:val="single" w:sz="2" w:space="0" w:color="020A09"/>
              <w:left w:val="nil"/>
              <w:bottom w:val="single" w:sz="2" w:space="0" w:color="020A09"/>
              <w:right w:val="nil"/>
            </w:tcBorders>
          </w:tcPr>
          <w:p w14:paraId="3D645D93" w14:textId="77777777" w:rsidR="009103CC" w:rsidRPr="00546E9D" w:rsidRDefault="009103CC" w:rsidP="002718DF">
            <w:pPr>
              <w:pStyle w:val="Tabletext"/>
              <w:rPr>
                <w:rFonts w:cs="Arial"/>
              </w:rPr>
            </w:pPr>
            <w:r w:rsidRPr="00546E9D">
              <w:rPr>
                <w:rFonts w:cs="Arial"/>
              </w:rPr>
              <w:t>Depreciation expenses</w:t>
            </w:r>
          </w:p>
        </w:tc>
        <w:tc>
          <w:tcPr>
            <w:tcW w:w="541" w:type="pct"/>
            <w:gridSpan w:val="2"/>
            <w:tcBorders>
              <w:top w:val="single" w:sz="2" w:space="0" w:color="020A09"/>
              <w:left w:val="nil"/>
              <w:bottom w:val="single" w:sz="2" w:space="0" w:color="020A09"/>
              <w:right w:val="nil"/>
            </w:tcBorders>
          </w:tcPr>
          <w:p w14:paraId="4E66B255" w14:textId="77777777" w:rsidR="009103CC" w:rsidRPr="00546E9D" w:rsidRDefault="009103CC" w:rsidP="002718DF">
            <w:pPr>
              <w:pStyle w:val="Tabletext"/>
              <w:jc w:val="right"/>
              <w:rPr>
                <w:rFonts w:cs="Arial"/>
              </w:rPr>
            </w:pPr>
            <w:r w:rsidRPr="00546E9D">
              <w:rPr>
                <w:rFonts w:cs="Arial"/>
              </w:rPr>
              <w:t>-</w:t>
            </w:r>
          </w:p>
        </w:tc>
        <w:tc>
          <w:tcPr>
            <w:tcW w:w="593" w:type="pct"/>
            <w:gridSpan w:val="2"/>
            <w:tcBorders>
              <w:top w:val="single" w:sz="2" w:space="0" w:color="020A09"/>
              <w:left w:val="nil"/>
              <w:bottom w:val="single" w:sz="2" w:space="0" w:color="020A09"/>
              <w:right w:val="nil"/>
            </w:tcBorders>
          </w:tcPr>
          <w:p w14:paraId="54D4503A" w14:textId="77777777" w:rsidR="009103CC" w:rsidRPr="00546E9D" w:rsidRDefault="009103CC" w:rsidP="002718DF">
            <w:pPr>
              <w:pStyle w:val="Tabletext"/>
              <w:jc w:val="right"/>
              <w:rPr>
                <w:rFonts w:cs="Arial"/>
              </w:rPr>
            </w:pPr>
            <w:r w:rsidRPr="00546E9D">
              <w:rPr>
                <w:rFonts w:cs="Arial"/>
              </w:rPr>
              <w:t>(3,703)</w:t>
            </w:r>
          </w:p>
        </w:tc>
        <w:tc>
          <w:tcPr>
            <w:tcW w:w="625" w:type="pct"/>
            <w:gridSpan w:val="2"/>
            <w:tcBorders>
              <w:top w:val="single" w:sz="2" w:space="0" w:color="020A09"/>
              <w:left w:val="nil"/>
              <w:bottom w:val="single" w:sz="2" w:space="0" w:color="020A09"/>
              <w:right w:val="nil"/>
            </w:tcBorders>
          </w:tcPr>
          <w:p w14:paraId="7016A9BE" w14:textId="77777777" w:rsidR="009103CC" w:rsidRPr="00546E9D" w:rsidRDefault="009103CC" w:rsidP="002718DF">
            <w:pPr>
              <w:pStyle w:val="Tabletext"/>
              <w:jc w:val="right"/>
              <w:rPr>
                <w:rFonts w:cs="Arial"/>
              </w:rPr>
            </w:pPr>
            <w:r w:rsidRPr="00546E9D">
              <w:rPr>
                <w:rFonts w:cs="Arial"/>
              </w:rPr>
              <w:t>(562)</w:t>
            </w:r>
          </w:p>
        </w:tc>
        <w:tc>
          <w:tcPr>
            <w:tcW w:w="572" w:type="pct"/>
            <w:gridSpan w:val="2"/>
            <w:tcBorders>
              <w:top w:val="single" w:sz="2" w:space="0" w:color="020A09"/>
              <w:left w:val="nil"/>
              <w:bottom w:val="single" w:sz="2" w:space="0" w:color="020A09"/>
              <w:right w:val="nil"/>
            </w:tcBorders>
          </w:tcPr>
          <w:p w14:paraId="307AD4B6" w14:textId="77777777" w:rsidR="009103CC" w:rsidRPr="00546E9D" w:rsidRDefault="009103CC" w:rsidP="002718DF">
            <w:pPr>
              <w:pStyle w:val="Tabletext"/>
              <w:jc w:val="right"/>
              <w:rPr>
                <w:rFonts w:cs="Arial"/>
              </w:rPr>
            </w:pPr>
            <w:r w:rsidRPr="00546E9D">
              <w:rPr>
                <w:rFonts w:cs="Arial"/>
              </w:rPr>
              <w:t>-</w:t>
            </w:r>
          </w:p>
        </w:tc>
        <w:tc>
          <w:tcPr>
            <w:tcW w:w="606" w:type="pct"/>
            <w:gridSpan w:val="2"/>
            <w:tcBorders>
              <w:top w:val="single" w:sz="2" w:space="0" w:color="020A09"/>
              <w:left w:val="nil"/>
              <w:bottom w:val="single" w:sz="2" w:space="0" w:color="020A09"/>
              <w:right w:val="nil"/>
            </w:tcBorders>
          </w:tcPr>
          <w:p w14:paraId="733F192A" w14:textId="77777777" w:rsidR="009103CC" w:rsidRPr="00546E9D" w:rsidRDefault="009103CC" w:rsidP="002718DF">
            <w:pPr>
              <w:pStyle w:val="Tabletext"/>
              <w:jc w:val="right"/>
              <w:rPr>
                <w:rFonts w:cs="Arial"/>
              </w:rPr>
            </w:pPr>
            <w:r w:rsidRPr="00546E9D">
              <w:rPr>
                <w:rFonts w:cs="Arial"/>
              </w:rPr>
              <w:t>(4,265)</w:t>
            </w:r>
          </w:p>
        </w:tc>
      </w:tr>
      <w:tr w:rsidR="009103CC" w:rsidRPr="00546E9D" w14:paraId="1C2C5715" w14:textId="77777777" w:rsidTr="002718DF">
        <w:trPr>
          <w:cantSplit/>
          <w:trHeight w:hRule="exact" w:val="497"/>
        </w:trPr>
        <w:tc>
          <w:tcPr>
            <w:tcW w:w="2063" w:type="pct"/>
            <w:tcBorders>
              <w:top w:val="single" w:sz="2" w:space="0" w:color="020A09"/>
              <w:left w:val="nil"/>
              <w:bottom w:val="single" w:sz="2" w:space="0" w:color="020A09"/>
              <w:right w:val="nil"/>
            </w:tcBorders>
          </w:tcPr>
          <w:p w14:paraId="05231923" w14:textId="77777777" w:rsidR="009103CC" w:rsidRPr="00546E9D" w:rsidRDefault="009103CC" w:rsidP="002718DF">
            <w:pPr>
              <w:pStyle w:val="Tabletext"/>
              <w:rPr>
                <w:rFonts w:cs="Arial"/>
              </w:rPr>
            </w:pPr>
            <w:r w:rsidRPr="00546E9D">
              <w:rPr>
                <w:rFonts w:cs="Arial"/>
              </w:rPr>
              <w:t>Net revaluation increment/revaluation decrements</w:t>
            </w:r>
          </w:p>
        </w:tc>
        <w:tc>
          <w:tcPr>
            <w:tcW w:w="541" w:type="pct"/>
            <w:gridSpan w:val="2"/>
            <w:tcBorders>
              <w:top w:val="single" w:sz="2" w:space="0" w:color="020A09"/>
              <w:left w:val="nil"/>
              <w:bottom w:val="single" w:sz="2" w:space="0" w:color="020A09"/>
              <w:right w:val="nil"/>
            </w:tcBorders>
          </w:tcPr>
          <w:p w14:paraId="2E87F9EE" w14:textId="77777777" w:rsidR="009103CC" w:rsidRPr="00546E9D" w:rsidRDefault="009103CC" w:rsidP="002718DF">
            <w:pPr>
              <w:pStyle w:val="Tabletext"/>
              <w:jc w:val="right"/>
              <w:rPr>
                <w:rFonts w:cs="Arial"/>
              </w:rPr>
            </w:pPr>
            <w:r w:rsidRPr="00546E9D">
              <w:rPr>
                <w:rFonts w:cs="Arial"/>
              </w:rPr>
              <w:t>-</w:t>
            </w:r>
          </w:p>
        </w:tc>
        <w:tc>
          <w:tcPr>
            <w:tcW w:w="593" w:type="pct"/>
            <w:gridSpan w:val="2"/>
            <w:tcBorders>
              <w:top w:val="single" w:sz="2" w:space="0" w:color="020A09"/>
              <w:left w:val="nil"/>
              <w:bottom w:val="single" w:sz="2" w:space="0" w:color="020A09"/>
              <w:right w:val="nil"/>
            </w:tcBorders>
          </w:tcPr>
          <w:p w14:paraId="318BEB5D" w14:textId="77777777" w:rsidR="009103CC" w:rsidRPr="00546E9D" w:rsidRDefault="009103CC" w:rsidP="002718DF">
            <w:pPr>
              <w:pStyle w:val="Tabletext"/>
              <w:jc w:val="right"/>
              <w:rPr>
                <w:rFonts w:cs="Arial"/>
              </w:rPr>
            </w:pPr>
            <w:r w:rsidRPr="00546E9D">
              <w:rPr>
                <w:rFonts w:cs="Arial"/>
              </w:rPr>
              <w:t>-</w:t>
            </w:r>
          </w:p>
        </w:tc>
        <w:tc>
          <w:tcPr>
            <w:tcW w:w="625" w:type="pct"/>
            <w:gridSpan w:val="2"/>
            <w:tcBorders>
              <w:top w:val="single" w:sz="2" w:space="0" w:color="020A09"/>
              <w:left w:val="nil"/>
              <w:bottom w:val="single" w:sz="2" w:space="0" w:color="020A09"/>
              <w:right w:val="nil"/>
            </w:tcBorders>
          </w:tcPr>
          <w:p w14:paraId="5FD128B3" w14:textId="77777777" w:rsidR="009103CC" w:rsidRPr="00546E9D" w:rsidRDefault="009103CC" w:rsidP="002718DF">
            <w:pPr>
              <w:pStyle w:val="Tabletext"/>
              <w:jc w:val="right"/>
              <w:rPr>
                <w:rFonts w:cs="Arial"/>
              </w:rPr>
            </w:pPr>
            <w:r w:rsidRPr="00546E9D">
              <w:rPr>
                <w:rFonts w:cs="Arial"/>
              </w:rPr>
              <w:t>-</w:t>
            </w:r>
          </w:p>
        </w:tc>
        <w:tc>
          <w:tcPr>
            <w:tcW w:w="572" w:type="pct"/>
            <w:gridSpan w:val="2"/>
            <w:tcBorders>
              <w:top w:val="single" w:sz="2" w:space="0" w:color="020A09"/>
              <w:left w:val="nil"/>
              <w:bottom w:val="single" w:sz="2" w:space="0" w:color="020A09"/>
              <w:right w:val="nil"/>
            </w:tcBorders>
          </w:tcPr>
          <w:p w14:paraId="761333AA" w14:textId="77777777" w:rsidR="009103CC" w:rsidRPr="00546E9D" w:rsidRDefault="009103CC" w:rsidP="002718DF">
            <w:pPr>
              <w:pStyle w:val="Tabletext"/>
              <w:jc w:val="right"/>
              <w:rPr>
                <w:rFonts w:cs="Arial"/>
              </w:rPr>
            </w:pPr>
            <w:r w:rsidRPr="00546E9D">
              <w:rPr>
                <w:rFonts w:cs="Arial"/>
              </w:rPr>
              <w:t>385,638</w:t>
            </w:r>
          </w:p>
        </w:tc>
        <w:tc>
          <w:tcPr>
            <w:tcW w:w="606" w:type="pct"/>
            <w:gridSpan w:val="2"/>
            <w:tcBorders>
              <w:top w:val="single" w:sz="2" w:space="0" w:color="020A09"/>
              <w:left w:val="nil"/>
              <w:bottom w:val="single" w:sz="2" w:space="0" w:color="020A09"/>
              <w:right w:val="nil"/>
            </w:tcBorders>
          </w:tcPr>
          <w:p w14:paraId="59B1FC63" w14:textId="77777777" w:rsidR="009103CC" w:rsidRPr="00546E9D" w:rsidRDefault="009103CC" w:rsidP="002718DF">
            <w:pPr>
              <w:pStyle w:val="Tabletext"/>
              <w:jc w:val="right"/>
              <w:rPr>
                <w:rFonts w:cs="Arial"/>
              </w:rPr>
            </w:pPr>
            <w:r w:rsidRPr="00546E9D">
              <w:rPr>
                <w:rFonts w:cs="Arial"/>
              </w:rPr>
              <w:t>385,638</w:t>
            </w:r>
          </w:p>
        </w:tc>
      </w:tr>
      <w:tr w:rsidR="009103CC" w:rsidRPr="00546E9D" w14:paraId="75F05EAE" w14:textId="77777777" w:rsidTr="002718DF">
        <w:trPr>
          <w:cantSplit/>
          <w:trHeight w:hRule="exact" w:val="332"/>
        </w:trPr>
        <w:tc>
          <w:tcPr>
            <w:tcW w:w="2063" w:type="pct"/>
            <w:tcBorders>
              <w:top w:val="single" w:sz="2" w:space="0" w:color="020A09"/>
              <w:left w:val="nil"/>
              <w:bottom w:val="single" w:sz="2" w:space="0" w:color="020A09"/>
              <w:right w:val="nil"/>
            </w:tcBorders>
          </w:tcPr>
          <w:p w14:paraId="6C15706E" w14:textId="77777777" w:rsidR="009103CC" w:rsidRPr="00546E9D" w:rsidRDefault="009103CC" w:rsidP="002718DF">
            <w:pPr>
              <w:pStyle w:val="Tabletext"/>
              <w:rPr>
                <w:rFonts w:cs="Arial"/>
              </w:rPr>
            </w:pPr>
            <w:r w:rsidRPr="00546E9D">
              <w:rPr>
                <w:rFonts w:cs="Arial"/>
              </w:rPr>
              <w:t>Net carrying amount at 30 June 2020</w:t>
            </w:r>
          </w:p>
        </w:tc>
        <w:tc>
          <w:tcPr>
            <w:tcW w:w="541" w:type="pct"/>
            <w:gridSpan w:val="2"/>
            <w:tcBorders>
              <w:top w:val="single" w:sz="2" w:space="0" w:color="020A09"/>
              <w:left w:val="nil"/>
              <w:bottom w:val="single" w:sz="2" w:space="0" w:color="020A09"/>
              <w:right w:val="nil"/>
            </w:tcBorders>
          </w:tcPr>
          <w:p w14:paraId="0D8727D2" w14:textId="77777777" w:rsidR="009103CC" w:rsidRPr="00546E9D" w:rsidRDefault="009103CC" w:rsidP="002718DF">
            <w:pPr>
              <w:pStyle w:val="Tabletext"/>
              <w:jc w:val="right"/>
              <w:rPr>
                <w:rFonts w:cs="Arial"/>
              </w:rPr>
            </w:pPr>
            <w:r w:rsidRPr="00546E9D">
              <w:rPr>
                <w:rFonts w:cs="Arial"/>
              </w:rPr>
              <w:t>25,600</w:t>
            </w:r>
          </w:p>
        </w:tc>
        <w:tc>
          <w:tcPr>
            <w:tcW w:w="593" w:type="pct"/>
            <w:gridSpan w:val="2"/>
            <w:tcBorders>
              <w:top w:val="single" w:sz="2" w:space="0" w:color="020A09"/>
              <w:left w:val="nil"/>
              <w:bottom w:val="single" w:sz="2" w:space="0" w:color="020A09"/>
              <w:right w:val="nil"/>
            </w:tcBorders>
          </w:tcPr>
          <w:p w14:paraId="150F6082" w14:textId="77777777" w:rsidR="009103CC" w:rsidRPr="00546E9D" w:rsidRDefault="009103CC" w:rsidP="002718DF">
            <w:pPr>
              <w:pStyle w:val="Tabletext"/>
              <w:jc w:val="right"/>
              <w:rPr>
                <w:rFonts w:cs="Arial"/>
              </w:rPr>
            </w:pPr>
            <w:r w:rsidRPr="00546E9D">
              <w:rPr>
                <w:rFonts w:cs="Arial"/>
              </w:rPr>
              <w:t>292,419</w:t>
            </w:r>
          </w:p>
        </w:tc>
        <w:tc>
          <w:tcPr>
            <w:tcW w:w="625" w:type="pct"/>
            <w:gridSpan w:val="2"/>
            <w:tcBorders>
              <w:top w:val="single" w:sz="2" w:space="0" w:color="020A09"/>
              <w:left w:val="nil"/>
              <w:bottom w:val="single" w:sz="2" w:space="0" w:color="020A09"/>
              <w:right w:val="nil"/>
            </w:tcBorders>
          </w:tcPr>
          <w:p w14:paraId="09F61E11" w14:textId="77777777" w:rsidR="009103CC" w:rsidRPr="00546E9D" w:rsidRDefault="009103CC" w:rsidP="002718DF">
            <w:pPr>
              <w:pStyle w:val="Tabletext"/>
              <w:jc w:val="right"/>
              <w:rPr>
                <w:rFonts w:cs="Arial"/>
              </w:rPr>
            </w:pPr>
            <w:r w:rsidRPr="00546E9D">
              <w:rPr>
                <w:rFonts w:cs="Arial"/>
              </w:rPr>
              <w:t>3,236</w:t>
            </w:r>
          </w:p>
        </w:tc>
        <w:tc>
          <w:tcPr>
            <w:tcW w:w="572" w:type="pct"/>
            <w:gridSpan w:val="2"/>
            <w:tcBorders>
              <w:top w:val="single" w:sz="2" w:space="0" w:color="020A09"/>
              <w:left w:val="nil"/>
              <w:bottom w:val="single" w:sz="2" w:space="0" w:color="020A09"/>
              <w:right w:val="nil"/>
            </w:tcBorders>
          </w:tcPr>
          <w:p w14:paraId="41EC268D" w14:textId="77777777" w:rsidR="009103CC" w:rsidRPr="00546E9D" w:rsidRDefault="009103CC" w:rsidP="002718DF">
            <w:pPr>
              <w:pStyle w:val="Tabletext"/>
              <w:jc w:val="right"/>
              <w:rPr>
                <w:rFonts w:cs="Arial"/>
              </w:rPr>
            </w:pPr>
            <w:r w:rsidRPr="00546E9D">
              <w:rPr>
                <w:rFonts w:cs="Arial"/>
              </w:rPr>
              <w:t>1,791,534</w:t>
            </w:r>
          </w:p>
        </w:tc>
        <w:tc>
          <w:tcPr>
            <w:tcW w:w="606" w:type="pct"/>
            <w:gridSpan w:val="2"/>
            <w:tcBorders>
              <w:top w:val="single" w:sz="2" w:space="0" w:color="020A09"/>
              <w:left w:val="nil"/>
              <w:bottom w:val="single" w:sz="2" w:space="0" w:color="020A09"/>
              <w:right w:val="nil"/>
            </w:tcBorders>
          </w:tcPr>
          <w:p w14:paraId="1B8FC7CA" w14:textId="77777777" w:rsidR="009103CC" w:rsidRPr="00546E9D" w:rsidRDefault="009103CC" w:rsidP="002718DF">
            <w:pPr>
              <w:pStyle w:val="Tabletext"/>
              <w:jc w:val="right"/>
              <w:rPr>
                <w:rFonts w:cs="Arial"/>
              </w:rPr>
            </w:pPr>
            <w:r w:rsidRPr="00546E9D">
              <w:rPr>
                <w:rFonts w:cs="Arial"/>
              </w:rPr>
              <w:t>2,112,789</w:t>
            </w:r>
          </w:p>
        </w:tc>
      </w:tr>
      <w:tr w:rsidR="009103CC" w:rsidRPr="00546E9D" w14:paraId="2E0E1C25" w14:textId="77777777" w:rsidTr="002718DF">
        <w:trPr>
          <w:cantSplit/>
          <w:trHeight w:hRule="exact" w:val="665"/>
        </w:trPr>
        <w:tc>
          <w:tcPr>
            <w:tcW w:w="2063" w:type="pct"/>
            <w:tcBorders>
              <w:top w:val="single" w:sz="2" w:space="0" w:color="020A09"/>
              <w:left w:val="nil"/>
              <w:bottom w:val="single" w:sz="2" w:space="0" w:color="020A09"/>
              <w:right w:val="nil"/>
            </w:tcBorders>
          </w:tcPr>
          <w:p w14:paraId="216D324C" w14:textId="77777777" w:rsidR="009103CC" w:rsidRPr="00546E9D" w:rsidRDefault="009103CC" w:rsidP="002718DF">
            <w:pPr>
              <w:pStyle w:val="Tabletext"/>
              <w:rPr>
                <w:rFonts w:cs="Arial"/>
                <w:b/>
                <w:bCs/>
              </w:rPr>
            </w:pPr>
          </w:p>
          <w:p w14:paraId="752F5576" w14:textId="77777777" w:rsidR="009103CC" w:rsidRPr="00546E9D" w:rsidRDefault="009103CC" w:rsidP="002718DF">
            <w:pPr>
              <w:pStyle w:val="Tabletext"/>
              <w:rPr>
                <w:rFonts w:cs="Arial"/>
                <w:b/>
                <w:bCs/>
              </w:rPr>
            </w:pPr>
            <w:r w:rsidRPr="00546E9D">
              <w:rPr>
                <w:rFonts w:cs="Arial"/>
                <w:b/>
                <w:bCs/>
              </w:rPr>
              <w:t>Year ended 30 June 2021</w:t>
            </w:r>
          </w:p>
        </w:tc>
        <w:tc>
          <w:tcPr>
            <w:tcW w:w="541" w:type="pct"/>
            <w:gridSpan w:val="2"/>
            <w:tcBorders>
              <w:top w:val="single" w:sz="2" w:space="0" w:color="020A09"/>
              <w:left w:val="nil"/>
              <w:bottom w:val="single" w:sz="2" w:space="0" w:color="020A09"/>
              <w:right w:val="nil"/>
            </w:tcBorders>
          </w:tcPr>
          <w:p w14:paraId="33EE977D" w14:textId="77777777" w:rsidR="009103CC" w:rsidRPr="00546E9D" w:rsidRDefault="009103CC" w:rsidP="002718DF">
            <w:pPr>
              <w:pStyle w:val="Tabletext"/>
              <w:jc w:val="right"/>
              <w:rPr>
                <w:rFonts w:cs="Arial"/>
                <w:b/>
                <w:bCs/>
              </w:rPr>
            </w:pPr>
          </w:p>
        </w:tc>
        <w:tc>
          <w:tcPr>
            <w:tcW w:w="593" w:type="pct"/>
            <w:gridSpan w:val="2"/>
            <w:tcBorders>
              <w:top w:val="single" w:sz="2" w:space="0" w:color="020A09"/>
              <w:left w:val="nil"/>
              <w:bottom w:val="single" w:sz="2" w:space="0" w:color="020A09"/>
              <w:right w:val="nil"/>
            </w:tcBorders>
          </w:tcPr>
          <w:p w14:paraId="6336678E" w14:textId="77777777" w:rsidR="009103CC" w:rsidRPr="00546E9D" w:rsidRDefault="009103CC" w:rsidP="002718DF">
            <w:pPr>
              <w:pStyle w:val="Tabletext"/>
              <w:jc w:val="right"/>
              <w:rPr>
                <w:rFonts w:cs="Arial"/>
                <w:b/>
                <w:bCs/>
              </w:rPr>
            </w:pPr>
          </w:p>
        </w:tc>
        <w:tc>
          <w:tcPr>
            <w:tcW w:w="625" w:type="pct"/>
            <w:gridSpan w:val="2"/>
            <w:tcBorders>
              <w:top w:val="single" w:sz="2" w:space="0" w:color="020A09"/>
              <w:left w:val="nil"/>
              <w:bottom w:val="single" w:sz="2" w:space="0" w:color="020A09"/>
              <w:right w:val="nil"/>
            </w:tcBorders>
          </w:tcPr>
          <w:p w14:paraId="392FA7ED" w14:textId="77777777" w:rsidR="009103CC" w:rsidRPr="00546E9D" w:rsidRDefault="009103CC" w:rsidP="002718DF">
            <w:pPr>
              <w:pStyle w:val="Tabletext"/>
              <w:jc w:val="right"/>
              <w:rPr>
                <w:rFonts w:cs="Arial"/>
                <w:b/>
                <w:bCs/>
              </w:rPr>
            </w:pPr>
          </w:p>
        </w:tc>
        <w:tc>
          <w:tcPr>
            <w:tcW w:w="572" w:type="pct"/>
            <w:gridSpan w:val="2"/>
            <w:tcBorders>
              <w:top w:val="single" w:sz="2" w:space="0" w:color="020A09"/>
              <w:left w:val="nil"/>
              <w:bottom w:val="single" w:sz="2" w:space="0" w:color="020A09"/>
              <w:right w:val="nil"/>
            </w:tcBorders>
          </w:tcPr>
          <w:p w14:paraId="7449F3CE" w14:textId="77777777" w:rsidR="009103CC" w:rsidRPr="00546E9D" w:rsidRDefault="009103CC" w:rsidP="002718DF">
            <w:pPr>
              <w:pStyle w:val="Tabletext"/>
              <w:jc w:val="right"/>
              <w:rPr>
                <w:rFonts w:cs="Arial"/>
                <w:b/>
                <w:bCs/>
              </w:rPr>
            </w:pPr>
          </w:p>
        </w:tc>
        <w:tc>
          <w:tcPr>
            <w:tcW w:w="606" w:type="pct"/>
            <w:gridSpan w:val="2"/>
            <w:tcBorders>
              <w:top w:val="single" w:sz="2" w:space="0" w:color="020A09"/>
              <w:left w:val="nil"/>
              <w:bottom w:val="single" w:sz="2" w:space="0" w:color="020A09"/>
              <w:right w:val="nil"/>
            </w:tcBorders>
          </w:tcPr>
          <w:p w14:paraId="541B1554" w14:textId="77777777" w:rsidR="009103CC" w:rsidRPr="00546E9D" w:rsidRDefault="009103CC" w:rsidP="002718DF">
            <w:pPr>
              <w:pStyle w:val="Tabletext"/>
              <w:jc w:val="right"/>
              <w:rPr>
                <w:rFonts w:cs="Arial"/>
                <w:b/>
                <w:bCs/>
              </w:rPr>
            </w:pPr>
          </w:p>
        </w:tc>
      </w:tr>
      <w:tr w:rsidR="009103CC" w:rsidRPr="00546E9D" w14:paraId="7867AB09" w14:textId="77777777" w:rsidTr="002718DF">
        <w:trPr>
          <w:cantSplit/>
          <w:trHeight w:hRule="exact" w:val="332"/>
        </w:trPr>
        <w:tc>
          <w:tcPr>
            <w:tcW w:w="2063" w:type="pct"/>
            <w:tcBorders>
              <w:top w:val="single" w:sz="2" w:space="0" w:color="020A09"/>
              <w:left w:val="nil"/>
              <w:bottom w:val="single" w:sz="2" w:space="0" w:color="020A09"/>
              <w:right w:val="nil"/>
            </w:tcBorders>
          </w:tcPr>
          <w:p w14:paraId="6E5A8F1B" w14:textId="77777777" w:rsidR="009103CC" w:rsidRPr="00546E9D" w:rsidRDefault="009103CC" w:rsidP="002718DF">
            <w:pPr>
              <w:pStyle w:val="Tabletext"/>
              <w:rPr>
                <w:rFonts w:cs="Arial"/>
              </w:rPr>
            </w:pPr>
            <w:r w:rsidRPr="00546E9D">
              <w:rPr>
                <w:rFonts w:cs="Arial"/>
              </w:rPr>
              <w:t>Net carrying amount at 1 July 2020</w:t>
            </w:r>
          </w:p>
        </w:tc>
        <w:tc>
          <w:tcPr>
            <w:tcW w:w="541" w:type="pct"/>
            <w:gridSpan w:val="2"/>
            <w:tcBorders>
              <w:top w:val="single" w:sz="2" w:space="0" w:color="020A09"/>
              <w:left w:val="nil"/>
              <w:bottom w:val="single" w:sz="2" w:space="0" w:color="020A09"/>
              <w:right w:val="nil"/>
            </w:tcBorders>
          </w:tcPr>
          <w:p w14:paraId="2330EC95" w14:textId="77777777" w:rsidR="009103CC" w:rsidRPr="00546E9D" w:rsidRDefault="009103CC" w:rsidP="002718DF">
            <w:pPr>
              <w:pStyle w:val="Tabletext"/>
              <w:jc w:val="right"/>
              <w:rPr>
                <w:rFonts w:cs="Arial"/>
              </w:rPr>
            </w:pPr>
            <w:r w:rsidRPr="00546E9D">
              <w:rPr>
                <w:rFonts w:cs="Arial"/>
              </w:rPr>
              <w:t>25,600</w:t>
            </w:r>
          </w:p>
        </w:tc>
        <w:tc>
          <w:tcPr>
            <w:tcW w:w="593" w:type="pct"/>
            <w:gridSpan w:val="2"/>
            <w:tcBorders>
              <w:top w:val="single" w:sz="2" w:space="0" w:color="020A09"/>
              <w:left w:val="nil"/>
              <w:bottom w:val="single" w:sz="2" w:space="0" w:color="020A09"/>
              <w:right w:val="nil"/>
            </w:tcBorders>
          </w:tcPr>
          <w:p w14:paraId="26F0C7A7" w14:textId="77777777" w:rsidR="009103CC" w:rsidRPr="00546E9D" w:rsidRDefault="009103CC" w:rsidP="002718DF">
            <w:pPr>
              <w:pStyle w:val="Tabletext"/>
              <w:jc w:val="right"/>
              <w:rPr>
                <w:rFonts w:cs="Arial"/>
              </w:rPr>
            </w:pPr>
            <w:r w:rsidRPr="00546E9D">
              <w:rPr>
                <w:rFonts w:cs="Arial"/>
              </w:rPr>
              <w:t>292,419</w:t>
            </w:r>
          </w:p>
        </w:tc>
        <w:tc>
          <w:tcPr>
            <w:tcW w:w="625" w:type="pct"/>
            <w:gridSpan w:val="2"/>
            <w:tcBorders>
              <w:top w:val="single" w:sz="2" w:space="0" w:color="020A09"/>
              <w:left w:val="nil"/>
              <w:bottom w:val="single" w:sz="2" w:space="0" w:color="020A09"/>
              <w:right w:val="nil"/>
            </w:tcBorders>
          </w:tcPr>
          <w:p w14:paraId="7E281BFE" w14:textId="77777777" w:rsidR="009103CC" w:rsidRPr="00546E9D" w:rsidRDefault="009103CC" w:rsidP="002718DF">
            <w:pPr>
              <w:pStyle w:val="Tabletext"/>
              <w:jc w:val="right"/>
              <w:rPr>
                <w:rFonts w:cs="Arial"/>
              </w:rPr>
            </w:pPr>
            <w:r w:rsidRPr="00546E9D">
              <w:rPr>
                <w:rFonts w:cs="Arial"/>
              </w:rPr>
              <w:t>3,236</w:t>
            </w:r>
          </w:p>
        </w:tc>
        <w:tc>
          <w:tcPr>
            <w:tcW w:w="572" w:type="pct"/>
            <w:gridSpan w:val="2"/>
            <w:tcBorders>
              <w:top w:val="single" w:sz="2" w:space="0" w:color="020A09"/>
              <w:left w:val="nil"/>
              <w:bottom w:val="single" w:sz="2" w:space="0" w:color="020A09"/>
              <w:right w:val="nil"/>
            </w:tcBorders>
          </w:tcPr>
          <w:p w14:paraId="63C6E6AB" w14:textId="77777777" w:rsidR="009103CC" w:rsidRPr="00546E9D" w:rsidRDefault="009103CC" w:rsidP="002718DF">
            <w:pPr>
              <w:pStyle w:val="Tabletext"/>
              <w:jc w:val="right"/>
              <w:rPr>
                <w:rFonts w:cs="Arial"/>
              </w:rPr>
            </w:pPr>
            <w:r w:rsidRPr="00546E9D">
              <w:rPr>
                <w:rFonts w:cs="Arial"/>
              </w:rPr>
              <w:t>1,791,534</w:t>
            </w:r>
          </w:p>
        </w:tc>
        <w:tc>
          <w:tcPr>
            <w:tcW w:w="606" w:type="pct"/>
            <w:gridSpan w:val="2"/>
            <w:tcBorders>
              <w:top w:val="single" w:sz="2" w:space="0" w:color="020A09"/>
              <w:left w:val="nil"/>
              <w:bottom w:val="single" w:sz="2" w:space="0" w:color="020A09"/>
              <w:right w:val="nil"/>
            </w:tcBorders>
          </w:tcPr>
          <w:p w14:paraId="608C10A6" w14:textId="77777777" w:rsidR="009103CC" w:rsidRPr="00546E9D" w:rsidRDefault="009103CC" w:rsidP="002718DF">
            <w:pPr>
              <w:pStyle w:val="Tabletext"/>
              <w:jc w:val="right"/>
              <w:rPr>
                <w:rFonts w:cs="Arial"/>
              </w:rPr>
            </w:pPr>
            <w:r w:rsidRPr="00546E9D">
              <w:rPr>
                <w:rFonts w:cs="Arial"/>
              </w:rPr>
              <w:t>2,112,789</w:t>
            </w:r>
          </w:p>
        </w:tc>
      </w:tr>
      <w:tr w:rsidR="009103CC" w:rsidRPr="00546E9D" w14:paraId="2DD7B997" w14:textId="77777777" w:rsidTr="002718DF">
        <w:trPr>
          <w:cantSplit/>
          <w:trHeight w:hRule="exact" w:val="332"/>
        </w:trPr>
        <w:tc>
          <w:tcPr>
            <w:tcW w:w="2063" w:type="pct"/>
            <w:tcBorders>
              <w:top w:val="single" w:sz="2" w:space="0" w:color="020A09"/>
              <w:left w:val="nil"/>
              <w:bottom w:val="single" w:sz="2" w:space="0" w:color="020A09"/>
              <w:right w:val="nil"/>
            </w:tcBorders>
          </w:tcPr>
          <w:p w14:paraId="3C196657" w14:textId="77777777" w:rsidR="009103CC" w:rsidRPr="00546E9D" w:rsidRDefault="009103CC" w:rsidP="002718DF">
            <w:pPr>
              <w:pStyle w:val="Tabletext"/>
              <w:rPr>
                <w:rFonts w:cs="Arial"/>
              </w:rPr>
            </w:pPr>
            <w:r w:rsidRPr="00546E9D">
              <w:rPr>
                <w:rFonts w:cs="Arial"/>
              </w:rPr>
              <w:t>Additions</w:t>
            </w:r>
          </w:p>
        </w:tc>
        <w:tc>
          <w:tcPr>
            <w:tcW w:w="541" w:type="pct"/>
            <w:gridSpan w:val="2"/>
            <w:tcBorders>
              <w:top w:val="single" w:sz="2" w:space="0" w:color="020A09"/>
              <w:left w:val="nil"/>
              <w:bottom w:val="single" w:sz="2" w:space="0" w:color="020A09"/>
              <w:right w:val="nil"/>
            </w:tcBorders>
          </w:tcPr>
          <w:p w14:paraId="3577EB00" w14:textId="77777777" w:rsidR="009103CC" w:rsidRPr="00546E9D" w:rsidRDefault="009103CC" w:rsidP="002718DF">
            <w:pPr>
              <w:pStyle w:val="Tabletext"/>
              <w:jc w:val="right"/>
              <w:rPr>
                <w:rFonts w:cs="Arial"/>
              </w:rPr>
            </w:pPr>
            <w:r w:rsidRPr="00546E9D">
              <w:rPr>
                <w:rFonts w:cs="Arial"/>
              </w:rPr>
              <w:t>-</w:t>
            </w:r>
          </w:p>
        </w:tc>
        <w:tc>
          <w:tcPr>
            <w:tcW w:w="593" w:type="pct"/>
            <w:gridSpan w:val="2"/>
            <w:tcBorders>
              <w:top w:val="single" w:sz="2" w:space="0" w:color="020A09"/>
              <w:left w:val="nil"/>
              <w:bottom w:val="single" w:sz="2" w:space="0" w:color="020A09"/>
              <w:right w:val="nil"/>
            </w:tcBorders>
          </w:tcPr>
          <w:p w14:paraId="547F3F35" w14:textId="77777777" w:rsidR="009103CC" w:rsidRPr="00546E9D" w:rsidRDefault="009103CC" w:rsidP="002718DF">
            <w:pPr>
              <w:pStyle w:val="Tabletext"/>
              <w:jc w:val="right"/>
              <w:rPr>
                <w:rFonts w:cs="Arial"/>
              </w:rPr>
            </w:pPr>
            <w:r w:rsidRPr="00546E9D">
              <w:rPr>
                <w:rFonts w:cs="Arial"/>
              </w:rPr>
              <w:t>82,784</w:t>
            </w:r>
          </w:p>
        </w:tc>
        <w:tc>
          <w:tcPr>
            <w:tcW w:w="625" w:type="pct"/>
            <w:gridSpan w:val="2"/>
            <w:tcBorders>
              <w:top w:val="single" w:sz="2" w:space="0" w:color="020A09"/>
              <w:left w:val="nil"/>
              <w:bottom w:val="single" w:sz="2" w:space="0" w:color="020A09"/>
              <w:right w:val="nil"/>
            </w:tcBorders>
          </w:tcPr>
          <w:p w14:paraId="30A8B6C9" w14:textId="77777777" w:rsidR="009103CC" w:rsidRPr="00546E9D" w:rsidRDefault="009103CC" w:rsidP="002718DF">
            <w:pPr>
              <w:pStyle w:val="Tabletext"/>
              <w:jc w:val="right"/>
              <w:rPr>
                <w:rFonts w:cs="Arial"/>
              </w:rPr>
            </w:pPr>
            <w:r w:rsidRPr="00546E9D">
              <w:rPr>
                <w:rFonts w:cs="Arial"/>
              </w:rPr>
              <w:t>1,212</w:t>
            </w:r>
          </w:p>
        </w:tc>
        <w:tc>
          <w:tcPr>
            <w:tcW w:w="572" w:type="pct"/>
            <w:gridSpan w:val="2"/>
            <w:tcBorders>
              <w:top w:val="single" w:sz="2" w:space="0" w:color="020A09"/>
              <w:left w:val="nil"/>
              <w:bottom w:val="single" w:sz="2" w:space="0" w:color="020A09"/>
              <w:right w:val="nil"/>
            </w:tcBorders>
          </w:tcPr>
          <w:p w14:paraId="53791163" w14:textId="77777777" w:rsidR="009103CC" w:rsidRPr="00546E9D" w:rsidRDefault="009103CC" w:rsidP="002718DF">
            <w:pPr>
              <w:pStyle w:val="Tabletext"/>
              <w:jc w:val="right"/>
              <w:rPr>
                <w:rFonts w:cs="Arial"/>
              </w:rPr>
            </w:pPr>
            <w:r w:rsidRPr="00546E9D">
              <w:rPr>
                <w:rFonts w:cs="Arial"/>
              </w:rPr>
              <w:t>12,787</w:t>
            </w:r>
          </w:p>
        </w:tc>
        <w:tc>
          <w:tcPr>
            <w:tcW w:w="606" w:type="pct"/>
            <w:gridSpan w:val="2"/>
            <w:tcBorders>
              <w:top w:val="single" w:sz="2" w:space="0" w:color="020A09"/>
              <w:left w:val="nil"/>
              <w:bottom w:val="single" w:sz="2" w:space="0" w:color="020A09"/>
              <w:right w:val="nil"/>
            </w:tcBorders>
          </w:tcPr>
          <w:p w14:paraId="669CF108" w14:textId="77777777" w:rsidR="009103CC" w:rsidRPr="00546E9D" w:rsidRDefault="009103CC" w:rsidP="002718DF">
            <w:pPr>
              <w:pStyle w:val="Tabletext"/>
              <w:jc w:val="right"/>
              <w:rPr>
                <w:rFonts w:cs="Arial"/>
              </w:rPr>
            </w:pPr>
            <w:r w:rsidRPr="00546E9D">
              <w:rPr>
                <w:rFonts w:cs="Arial"/>
              </w:rPr>
              <w:t>96,783</w:t>
            </w:r>
          </w:p>
        </w:tc>
      </w:tr>
      <w:tr w:rsidR="009103CC" w:rsidRPr="00546E9D" w14:paraId="3897CF65" w14:textId="77777777" w:rsidTr="002718DF">
        <w:trPr>
          <w:cantSplit/>
          <w:trHeight w:hRule="exact" w:val="332"/>
        </w:trPr>
        <w:tc>
          <w:tcPr>
            <w:tcW w:w="2063" w:type="pct"/>
            <w:tcBorders>
              <w:top w:val="single" w:sz="2" w:space="0" w:color="020A09"/>
              <w:left w:val="nil"/>
              <w:bottom w:val="single" w:sz="2" w:space="0" w:color="020A09"/>
              <w:right w:val="nil"/>
            </w:tcBorders>
          </w:tcPr>
          <w:p w14:paraId="47F7AF18" w14:textId="77777777" w:rsidR="009103CC" w:rsidRPr="00546E9D" w:rsidRDefault="009103CC" w:rsidP="002718DF">
            <w:pPr>
              <w:pStyle w:val="Tabletext"/>
              <w:rPr>
                <w:rFonts w:cs="Arial"/>
              </w:rPr>
            </w:pPr>
            <w:r w:rsidRPr="00546E9D">
              <w:rPr>
                <w:rFonts w:cs="Arial"/>
              </w:rPr>
              <w:t>Depreciation expenses</w:t>
            </w:r>
          </w:p>
        </w:tc>
        <w:tc>
          <w:tcPr>
            <w:tcW w:w="541" w:type="pct"/>
            <w:gridSpan w:val="2"/>
            <w:tcBorders>
              <w:top w:val="single" w:sz="2" w:space="0" w:color="020A09"/>
              <w:left w:val="nil"/>
              <w:bottom w:val="single" w:sz="2" w:space="0" w:color="020A09"/>
              <w:right w:val="nil"/>
            </w:tcBorders>
          </w:tcPr>
          <w:p w14:paraId="04051260" w14:textId="77777777" w:rsidR="009103CC" w:rsidRPr="00546E9D" w:rsidRDefault="009103CC" w:rsidP="002718DF">
            <w:pPr>
              <w:pStyle w:val="Tabletext"/>
              <w:jc w:val="right"/>
              <w:rPr>
                <w:rFonts w:cs="Arial"/>
              </w:rPr>
            </w:pPr>
            <w:r w:rsidRPr="00546E9D">
              <w:rPr>
                <w:rFonts w:cs="Arial"/>
              </w:rPr>
              <w:t>-</w:t>
            </w:r>
          </w:p>
        </w:tc>
        <w:tc>
          <w:tcPr>
            <w:tcW w:w="593" w:type="pct"/>
            <w:gridSpan w:val="2"/>
            <w:tcBorders>
              <w:top w:val="single" w:sz="2" w:space="0" w:color="020A09"/>
              <w:left w:val="nil"/>
              <w:bottom w:val="single" w:sz="2" w:space="0" w:color="020A09"/>
              <w:right w:val="nil"/>
            </w:tcBorders>
          </w:tcPr>
          <w:p w14:paraId="519E9A81" w14:textId="77777777" w:rsidR="009103CC" w:rsidRPr="00546E9D" w:rsidRDefault="009103CC" w:rsidP="002718DF">
            <w:pPr>
              <w:pStyle w:val="Tabletext"/>
              <w:jc w:val="right"/>
              <w:rPr>
                <w:rFonts w:cs="Arial"/>
              </w:rPr>
            </w:pPr>
            <w:r w:rsidRPr="00546E9D">
              <w:rPr>
                <w:rFonts w:cs="Arial"/>
              </w:rPr>
              <w:t>(2,606)</w:t>
            </w:r>
          </w:p>
        </w:tc>
        <w:tc>
          <w:tcPr>
            <w:tcW w:w="625" w:type="pct"/>
            <w:gridSpan w:val="2"/>
            <w:tcBorders>
              <w:top w:val="single" w:sz="2" w:space="0" w:color="020A09"/>
              <w:left w:val="nil"/>
              <w:bottom w:val="single" w:sz="2" w:space="0" w:color="020A09"/>
              <w:right w:val="nil"/>
            </w:tcBorders>
          </w:tcPr>
          <w:p w14:paraId="4C9A3874" w14:textId="77777777" w:rsidR="009103CC" w:rsidRPr="00546E9D" w:rsidRDefault="009103CC" w:rsidP="002718DF">
            <w:pPr>
              <w:pStyle w:val="Tabletext"/>
              <w:jc w:val="right"/>
              <w:rPr>
                <w:rFonts w:cs="Arial"/>
              </w:rPr>
            </w:pPr>
            <w:r w:rsidRPr="00546E9D">
              <w:rPr>
                <w:rFonts w:cs="Arial"/>
              </w:rPr>
              <w:t>(564)</w:t>
            </w:r>
          </w:p>
        </w:tc>
        <w:tc>
          <w:tcPr>
            <w:tcW w:w="572" w:type="pct"/>
            <w:gridSpan w:val="2"/>
            <w:tcBorders>
              <w:top w:val="single" w:sz="2" w:space="0" w:color="020A09"/>
              <w:left w:val="nil"/>
              <w:bottom w:val="single" w:sz="2" w:space="0" w:color="020A09"/>
              <w:right w:val="nil"/>
            </w:tcBorders>
          </w:tcPr>
          <w:p w14:paraId="5374A211" w14:textId="77777777" w:rsidR="009103CC" w:rsidRPr="00546E9D" w:rsidRDefault="009103CC" w:rsidP="002718DF">
            <w:pPr>
              <w:pStyle w:val="Tabletext"/>
              <w:jc w:val="right"/>
              <w:rPr>
                <w:rFonts w:cs="Arial"/>
              </w:rPr>
            </w:pPr>
            <w:r w:rsidRPr="00546E9D">
              <w:rPr>
                <w:rFonts w:cs="Arial"/>
              </w:rPr>
              <w:t>-</w:t>
            </w:r>
          </w:p>
        </w:tc>
        <w:tc>
          <w:tcPr>
            <w:tcW w:w="606" w:type="pct"/>
            <w:gridSpan w:val="2"/>
            <w:tcBorders>
              <w:top w:val="single" w:sz="2" w:space="0" w:color="020A09"/>
              <w:left w:val="nil"/>
              <w:bottom w:val="single" w:sz="2" w:space="0" w:color="020A09"/>
              <w:right w:val="nil"/>
            </w:tcBorders>
          </w:tcPr>
          <w:p w14:paraId="3C7A3D8B" w14:textId="77777777" w:rsidR="009103CC" w:rsidRPr="00546E9D" w:rsidRDefault="009103CC" w:rsidP="002718DF">
            <w:pPr>
              <w:pStyle w:val="Tabletext"/>
              <w:jc w:val="right"/>
              <w:rPr>
                <w:rFonts w:cs="Arial"/>
              </w:rPr>
            </w:pPr>
            <w:r w:rsidRPr="00546E9D">
              <w:rPr>
                <w:rFonts w:cs="Arial"/>
              </w:rPr>
              <w:t>(3,170)</w:t>
            </w:r>
          </w:p>
        </w:tc>
      </w:tr>
      <w:tr w:rsidR="009103CC" w:rsidRPr="00546E9D" w14:paraId="365AC7B0" w14:textId="77777777" w:rsidTr="002718DF">
        <w:trPr>
          <w:cantSplit/>
          <w:trHeight w:hRule="exact" w:val="547"/>
        </w:trPr>
        <w:tc>
          <w:tcPr>
            <w:tcW w:w="2063" w:type="pct"/>
            <w:tcBorders>
              <w:top w:val="single" w:sz="2" w:space="0" w:color="020A09"/>
              <w:left w:val="nil"/>
              <w:bottom w:val="single" w:sz="2" w:space="0" w:color="020A09"/>
              <w:right w:val="nil"/>
            </w:tcBorders>
          </w:tcPr>
          <w:p w14:paraId="32FC1DA0" w14:textId="77777777" w:rsidR="009103CC" w:rsidRPr="00546E9D" w:rsidRDefault="009103CC" w:rsidP="002718DF">
            <w:pPr>
              <w:pStyle w:val="Tabletext"/>
              <w:rPr>
                <w:rFonts w:cs="Arial"/>
              </w:rPr>
            </w:pPr>
            <w:r w:rsidRPr="00546E9D">
              <w:rPr>
                <w:rFonts w:cs="Arial"/>
              </w:rPr>
              <w:t>Net revaluation increment/revaluation decrements</w:t>
            </w:r>
          </w:p>
        </w:tc>
        <w:tc>
          <w:tcPr>
            <w:tcW w:w="541" w:type="pct"/>
            <w:gridSpan w:val="2"/>
            <w:tcBorders>
              <w:top w:val="single" w:sz="2" w:space="0" w:color="020A09"/>
              <w:left w:val="nil"/>
              <w:bottom w:val="single" w:sz="2" w:space="0" w:color="020A09"/>
              <w:right w:val="nil"/>
            </w:tcBorders>
          </w:tcPr>
          <w:p w14:paraId="0D0944FE" w14:textId="77777777" w:rsidR="009103CC" w:rsidRPr="00546E9D" w:rsidRDefault="009103CC" w:rsidP="002718DF">
            <w:pPr>
              <w:pStyle w:val="Tabletext"/>
              <w:jc w:val="right"/>
              <w:rPr>
                <w:rFonts w:cs="Arial"/>
              </w:rPr>
            </w:pPr>
            <w:r w:rsidRPr="00546E9D">
              <w:rPr>
                <w:rFonts w:cs="Arial"/>
              </w:rPr>
              <w:t>1,500</w:t>
            </w:r>
          </w:p>
        </w:tc>
        <w:tc>
          <w:tcPr>
            <w:tcW w:w="593" w:type="pct"/>
            <w:gridSpan w:val="2"/>
            <w:tcBorders>
              <w:top w:val="single" w:sz="2" w:space="0" w:color="020A09"/>
              <w:left w:val="nil"/>
              <w:bottom w:val="single" w:sz="2" w:space="0" w:color="020A09"/>
              <w:right w:val="nil"/>
            </w:tcBorders>
          </w:tcPr>
          <w:p w14:paraId="37A86ACA" w14:textId="77777777" w:rsidR="009103CC" w:rsidRPr="00546E9D" w:rsidRDefault="009103CC" w:rsidP="002718DF">
            <w:pPr>
              <w:pStyle w:val="Tabletext"/>
              <w:jc w:val="right"/>
              <w:rPr>
                <w:rFonts w:cs="Arial"/>
              </w:rPr>
            </w:pPr>
            <w:r w:rsidRPr="00546E9D">
              <w:rPr>
                <w:rFonts w:cs="Arial"/>
              </w:rPr>
              <w:t>-</w:t>
            </w:r>
          </w:p>
        </w:tc>
        <w:tc>
          <w:tcPr>
            <w:tcW w:w="625" w:type="pct"/>
            <w:gridSpan w:val="2"/>
            <w:tcBorders>
              <w:top w:val="single" w:sz="2" w:space="0" w:color="020A09"/>
              <w:left w:val="nil"/>
              <w:bottom w:val="single" w:sz="2" w:space="0" w:color="020A09"/>
              <w:right w:val="nil"/>
            </w:tcBorders>
          </w:tcPr>
          <w:p w14:paraId="531588CB" w14:textId="77777777" w:rsidR="009103CC" w:rsidRPr="00546E9D" w:rsidRDefault="009103CC" w:rsidP="002718DF">
            <w:pPr>
              <w:pStyle w:val="Tabletext"/>
              <w:jc w:val="right"/>
              <w:rPr>
                <w:rFonts w:cs="Arial"/>
              </w:rPr>
            </w:pPr>
            <w:r w:rsidRPr="00546E9D">
              <w:rPr>
                <w:rFonts w:cs="Arial"/>
              </w:rPr>
              <w:t>-</w:t>
            </w:r>
          </w:p>
        </w:tc>
        <w:tc>
          <w:tcPr>
            <w:tcW w:w="572" w:type="pct"/>
            <w:gridSpan w:val="2"/>
            <w:tcBorders>
              <w:top w:val="single" w:sz="2" w:space="0" w:color="020A09"/>
              <w:left w:val="nil"/>
              <w:bottom w:val="single" w:sz="2" w:space="0" w:color="020A09"/>
              <w:right w:val="nil"/>
            </w:tcBorders>
          </w:tcPr>
          <w:p w14:paraId="7C2DC389" w14:textId="77777777" w:rsidR="009103CC" w:rsidRPr="00546E9D" w:rsidRDefault="009103CC" w:rsidP="002718DF">
            <w:pPr>
              <w:pStyle w:val="Tabletext"/>
              <w:jc w:val="right"/>
              <w:rPr>
                <w:rFonts w:cs="Arial"/>
              </w:rPr>
            </w:pPr>
            <w:r w:rsidRPr="00546E9D">
              <w:rPr>
                <w:rFonts w:cs="Arial"/>
              </w:rPr>
              <w:t>-</w:t>
            </w:r>
          </w:p>
        </w:tc>
        <w:tc>
          <w:tcPr>
            <w:tcW w:w="606" w:type="pct"/>
            <w:gridSpan w:val="2"/>
            <w:tcBorders>
              <w:top w:val="single" w:sz="2" w:space="0" w:color="020A09"/>
              <w:left w:val="nil"/>
              <w:bottom w:val="single" w:sz="2" w:space="0" w:color="020A09"/>
              <w:right w:val="nil"/>
            </w:tcBorders>
          </w:tcPr>
          <w:p w14:paraId="02B35F47" w14:textId="77777777" w:rsidR="009103CC" w:rsidRPr="00546E9D" w:rsidRDefault="009103CC" w:rsidP="002718DF">
            <w:pPr>
              <w:pStyle w:val="Tabletext"/>
              <w:jc w:val="right"/>
              <w:rPr>
                <w:rFonts w:cs="Arial"/>
              </w:rPr>
            </w:pPr>
            <w:r w:rsidRPr="00546E9D">
              <w:rPr>
                <w:rFonts w:cs="Arial"/>
              </w:rPr>
              <w:t>1,500</w:t>
            </w:r>
          </w:p>
        </w:tc>
      </w:tr>
      <w:tr w:rsidR="009103CC" w:rsidRPr="00546E9D" w14:paraId="26FE679E" w14:textId="77777777" w:rsidTr="002718DF">
        <w:trPr>
          <w:cantSplit/>
          <w:trHeight w:hRule="exact" w:val="332"/>
        </w:trPr>
        <w:tc>
          <w:tcPr>
            <w:tcW w:w="2063" w:type="pct"/>
            <w:tcBorders>
              <w:top w:val="single" w:sz="2" w:space="0" w:color="020A09"/>
              <w:left w:val="nil"/>
              <w:bottom w:val="single" w:sz="2" w:space="0" w:color="020A09"/>
              <w:right w:val="nil"/>
            </w:tcBorders>
          </w:tcPr>
          <w:p w14:paraId="53AB7AD0" w14:textId="77777777" w:rsidR="009103CC" w:rsidRPr="00546E9D" w:rsidRDefault="009103CC" w:rsidP="002718DF">
            <w:pPr>
              <w:pStyle w:val="Tabletext"/>
              <w:rPr>
                <w:rFonts w:cs="Arial"/>
              </w:rPr>
            </w:pPr>
            <w:r w:rsidRPr="00546E9D">
              <w:rPr>
                <w:rFonts w:cs="Arial"/>
              </w:rPr>
              <w:t>Net carrying amount at 30 June 2021</w:t>
            </w:r>
          </w:p>
        </w:tc>
        <w:tc>
          <w:tcPr>
            <w:tcW w:w="541" w:type="pct"/>
            <w:gridSpan w:val="2"/>
            <w:tcBorders>
              <w:top w:val="single" w:sz="2" w:space="0" w:color="020A09"/>
              <w:left w:val="nil"/>
              <w:bottom w:val="single" w:sz="2" w:space="0" w:color="020A09"/>
              <w:right w:val="nil"/>
            </w:tcBorders>
          </w:tcPr>
          <w:p w14:paraId="7493602A" w14:textId="77777777" w:rsidR="009103CC" w:rsidRPr="00546E9D" w:rsidRDefault="009103CC" w:rsidP="002718DF">
            <w:pPr>
              <w:pStyle w:val="Tabletext"/>
              <w:jc w:val="right"/>
              <w:rPr>
                <w:rFonts w:cs="Arial"/>
              </w:rPr>
            </w:pPr>
            <w:r w:rsidRPr="00546E9D">
              <w:rPr>
                <w:rFonts w:cs="Arial"/>
              </w:rPr>
              <w:t>27,100</w:t>
            </w:r>
          </w:p>
        </w:tc>
        <w:tc>
          <w:tcPr>
            <w:tcW w:w="593" w:type="pct"/>
            <w:gridSpan w:val="2"/>
            <w:tcBorders>
              <w:top w:val="single" w:sz="2" w:space="0" w:color="020A09"/>
              <w:left w:val="nil"/>
              <w:bottom w:val="single" w:sz="2" w:space="0" w:color="020A09"/>
              <w:right w:val="nil"/>
            </w:tcBorders>
          </w:tcPr>
          <w:p w14:paraId="54DD2CF5" w14:textId="77777777" w:rsidR="009103CC" w:rsidRPr="00546E9D" w:rsidRDefault="009103CC" w:rsidP="002718DF">
            <w:pPr>
              <w:pStyle w:val="Tabletext"/>
              <w:jc w:val="right"/>
              <w:rPr>
                <w:rFonts w:cs="Arial"/>
              </w:rPr>
            </w:pPr>
            <w:r w:rsidRPr="00546E9D">
              <w:rPr>
                <w:rFonts w:cs="Arial"/>
              </w:rPr>
              <w:t>372,597</w:t>
            </w:r>
          </w:p>
        </w:tc>
        <w:tc>
          <w:tcPr>
            <w:tcW w:w="625" w:type="pct"/>
            <w:gridSpan w:val="2"/>
            <w:tcBorders>
              <w:top w:val="single" w:sz="2" w:space="0" w:color="020A09"/>
              <w:left w:val="nil"/>
              <w:bottom w:val="single" w:sz="2" w:space="0" w:color="020A09"/>
              <w:right w:val="nil"/>
            </w:tcBorders>
          </w:tcPr>
          <w:p w14:paraId="44129D07" w14:textId="77777777" w:rsidR="009103CC" w:rsidRPr="00546E9D" w:rsidRDefault="009103CC" w:rsidP="002718DF">
            <w:pPr>
              <w:pStyle w:val="Tabletext"/>
              <w:jc w:val="right"/>
              <w:rPr>
                <w:rFonts w:cs="Arial"/>
              </w:rPr>
            </w:pPr>
            <w:r w:rsidRPr="00546E9D">
              <w:rPr>
                <w:rFonts w:cs="Arial"/>
              </w:rPr>
              <w:t>3,884</w:t>
            </w:r>
          </w:p>
        </w:tc>
        <w:tc>
          <w:tcPr>
            <w:tcW w:w="572" w:type="pct"/>
            <w:gridSpan w:val="2"/>
            <w:tcBorders>
              <w:top w:val="single" w:sz="2" w:space="0" w:color="020A09"/>
              <w:left w:val="nil"/>
              <w:bottom w:val="single" w:sz="2" w:space="0" w:color="020A09"/>
              <w:right w:val="nil"/>
            </w:tcBorders>
          </w:tcPr>
          <w:p w14:paraId="191EF035" w14:textId="77777777" w:rsidR="009103CC" w:rsidRPr="00546E9D" w:rsidRDefault="009103CC" w:rsidP="002718DF">
            <w:pPr>
              <w:pStyle w:val="Tabletext"/>
              <w:jc w:val="right"/>
              <w:rPr>
                <w:rFonts w:cs="Arial"/>
              </w:rPr>
            </w:pPr>
            <w:r w:rsidRPr="00546E9D">
              <w:rPr>
                <w:rFonts w:cs="Arial"/>
              </w:rPr>
              <w:t>1,804,321</w:t>
            </w:r>
          </w:p>
        </w:tc>
        <w:tc>
          <w:tcPr>
            <w:tcW w:w="606" w:type="pct"/>
            <w:gridSpan w:val="2"/>
            <w:tcBorders>
              <w:top w:val="single" w:sz="2" w:space="0" w:color="020A09"/>
              <w:left w:val="nil"/>
              <w:bottom w:val="single" w:sz="2" w:space="0" w:color="020A09"/>
              <w:right w:val="nil"/>
            </w:tcBorders>
          </w:tcPr>
          <w:p w14:paraId="52F1F2DA" w14:textId="77777777" w:rsidR="009103CC" w:rsidRPr="00546E9D" w:rsidRDefault="009103CC" w:rsidP="002718DF">
            <w:pPr>
              <w:pStyle w:val="Tabletext"/>
              <w:jc w:val="right"/>
              <w:rPr>
                <w:rFonts w:cs="Arial"/>
              </w:rPr>
            </w:pPr>
            <w:r w:rsidRPr="00546E9D">
              <w:rPr>
                <w:rFonts w:cs="Arial"/>
              </w:rPr>
              <w:t>2,207,902</w:t>
            </w:r>
          </w:p>
        </w:tc>
      </w:tr>
      <w:bookmarkEnd w:id="21"/>
    </w:tbl>
    <w:p w14:paraId="08D9EAC0" w14:textId="77777777" w:rsidR="009103CC" w:rsidRDefault="009103CC" w:rsidP="009103CC">
      <w:pPr>
        <w:pStyle w:val="ARbody"/>
        <w:rPr>
          <w:rFonts w:cs="Preston"/>
        </w:rPr>
      </w:pPr>
    </w:p>
    <w:tbl>
      <w:tblPr>
        <w:tblW w:w="5000" w:type="pct"/>
        <w:tblCellMar>
          <w:left w:w="0" w:type="dxa"/>
          <w:right w:w="0" w:type="dxa"/>
        </w:tblCellMar>
        <w:tblLook w:val="01E0" w:firstRow="1" w:lastRow="1" w:firstColumn="1" w:lastColumn="1" w:noHBand="0" w:noVBand="0"/>
        <w:tblCaption w:val="Fair value measurment of non-financial assets"/>
        <w:tblDescription w:val="This table provides figures for land, building, collection assets and plant and equipment for 2020 and 2021 in a heirarchy of levels 1, 2 and 3 as well as total fair value."/>
      </w:tblPr>
      <w:tblGrid>
        <w:gridCol w:w="3731"/>
        <w:gridCol w:w="972"/>
        <w:gridCol w:w="1076"/>
        <w:gridCol w:w="1134"/>
        <w:gridCol w:w="1038"/>
        <w:gridCol w:w="1119"/>
      </w:tblGrid>
      <w:tr w:rsidR="009103CC" w:rsidRPr="00546E9D" w14:paraId="6A64CB65" w14:textId="77777777" w:rsidTr="002718DF">
        <w:trPr>
          <w:cantSplit/>
          <w:trHeight w:hRule="exact" w:val="665"/>
          <w:tblHeader/>
        </w:trPr>
        <w:tc>
          <w:tcPr>
            <w:tcW w:w="2057" w:type="pct"/>
            <w:tcBorders>
              <w:left w:val="nil"/>
              <w:bottom w:val="single" w:sz="4" w:space="0" w:color="auto"/>
              <w:right w:val="nil"/>
            </w:tcBorders>
          </w:tcPr>
          <w:p w14:paraId="2B0F6CC4" w14:textId="77777777" w:rsidR="009103CC" w:rsidRPr="00546E9D" w:rsidRDefault="009103CC" w:rsidP="002718DF">
            <w:pPr>
              <w:pStyle w:val="Tabletext"/>
              <w:rPr>
                <w:b/>
                <w:bCs/>
              </w:rPr>
            </w:pPr>
            <w:r w:rsidRPr="00546E9D">
              <w:rPr>
                <w:b/>
                <w:bCs/>
              </w:rPr>
              <w:t>Fair value measurement of non financial assets</w:t>
            </w:r>
          </w:p>
        </w:tc>
        <w:tc>
          <w:tcPr>
            <w:tcW w:w="536" w:type="pct"/>
            <w:tcBorders>
              <w:left w:val="nil"/>
              <w:bottom w:val="single" w:sz="4" w:space="0" w:color="auto"/>
              <w:right w:val="nil"/>
            </w:tcBorders>
          </w:tcPr>
          <w:p w14:paraId="09CC6AB5" w14:textId="77777777" w:rsidR="009103CC" w:rsidRPr="00546E9D" w:rsidRDefault="009103CC" w:rsidP="002718DF">
            <w:pPr>
              <w:pStyle w:val="Tabletext"/>
              <w:rPr>
                <w:b/>
                <w:bCs/>
              </w:rPr>
            </w:pPr>
          </w:p>
        </w:tc>
        <w:tc>
          <w:tcPr>
            <w:tcW w:w="593" w:type="pct"/>
            <w:tcBorders>
              <w:left w:val="nil"/>
              <w:bottom w:val="single" w:sz="4" w:space="0" w:color="auto"/>
              <w:right w:val="nil"/>
            </w:tcBorders>
          </w:tcPr>
          <w:p w14:paraId="02264A85" w14:textId="77777777" w:rsidR="009103CC" w:rsidRPr="00546E9D" w:rsidRDefault="009103CC" w:rsidP="002718DF">
            <w:pPr>
              <w:pStyle w:val="Tabletext"/>
              <w:rPr>
                <w:b/>
                <w:bCs/>
              </w:rPr>
            </w:pPr>
          </w:p>
        </w:tc>
        <w:tc>
          <w:tcPr>
            <w:tcW w:w="625" w:type="pct"/>
            <w:tcBorders>
              <w:left w:val="nil"/>
              <w:bottom w:val="single" w:sz="4" w:space="0" w:color="auto"/>
              <w:right w:val="nil"/>
            </w:tcBorders>
          </w:tcPr>
          <w:p w14:paraId="12057C9A" w14:textId="77777777" w:rsidR="009103CC" w:rsidRPr="00546E9D" w:rsidRDefault="009103CC" w:rsidP="002718DF">
            <w:pPr>
              <w:pStyle w:val="Tabletext"/>
              <w:rPr>
                <w:b/>
                <w:bCs/>
              </w:rPr>
            </w:pPr>
          </w:p>
        </w:tc>
        <w:tc>
          <w:tcPr>
            <w:tcW w:w="572" w:type="pct"/>
            <w:tcBorders>
              <w:left w:val="nil"/>
              <w:bottom w:val="single" w:sz="4" w:space="0" w:color="auto"/>
              <w:right w:val="nil"/>
            </w:tcBorders>
          </w:tcPr>
          <w:p w14:paraId="7789E0D5" w14:textId="77777777" w:rsidR="009103CC" w:rsidRPr="00546E9D" w:rsidRDefault="009103CC" w:rsidP="002718DF">
            <w:pPr>
              <w:pStyle w:val="Tabletext"/>
              <w:rPr>
                <w:b/>
                <w:bCs/>
              </w:rPr>
            </w:pPr>
          </w:p>
        </w:tc>
        <w:tc>
          <w:tcPr>
            <w:tcW w:w="617" w:type="pct"/>
            <w:tcBorders>
              <w:left w:val="nil"/>
              <w:bottom w:val="single" w:sz="4" w:space="0" w:color="auto"/>
              <w:right w:val="nil"/>
            </w:tcBorders>
          </w:tcPr>
          <w:p w14:paraId="7F8347C2" w14:textId="77777777" w:rsidR="009103CC" w:rsidRPr="00546E9D" w:rsidRDefault="009103CC" w:rsidP="002718DF">
            <w:pPr>
              <w:pStyle w:val="Tabletext"/>
              <w:rPr>
                <w:b/>
                <w:bCs/>
              </w:rPr>
            </w:pPr>
          </w:p>
        </w:tc>
      </w:tr>
      <w:tr w:rsidR="009103CC" w:rsidRPr="00546E9D" w14:paraId="06A9582F" w14:textId="77777777" w:rsidTr="002718DF">
        <w:trPr>
          <w:cantSplit/>
          <w:trHeight w:hRule="exact" w:val="569"/>
          <w:tblHeader/>
        </w:trPr>
        <w:tc>
          <w:tcPr>
            <w:tcW w:w="2057" w:type="pct"/>
            <w:tcBorders>
              <w:top w:val="single" w:sz="4" w:space="0" w:color="auto"/>
              <w:left w:val="nil"/>
              <w:bottom w:val="nil"/>
              <w:right w:val="nil"/>
            </w:tcBorders>
          </w:tcPr>
          <w:p w14:paraId="37DBCD84" w14:textId="77777777" w:rsidR="009103CC" w:rsidRPr="00546E9D" w:rsidRDefault="009103CC" w:rsidP="002718DF">
            <w:pPr>
              <w:pStyle w:val="Tabletext"/>
              <w:rPr>
                <w:b/>
                <w:bCs/>
              </w:rPr>
            </w:pPr>
            <w:r w:rsidRPr="00546E9D">
              <w:rPr>
                <w:b/>
                <w:bCs/>
              </w:rPr>
              <w:t>Fair value hierarchy</w:t>
            </w:r>
          </w:p>
        </w:tc>
        <w:tc>
          <w:tcPr>
            <w:tcW w:w="536" w:type="pct"/>
            <w:tcBorders>
              <w:top w:val="single" w:sz="4" w:space="0" w:color="auto"/>
              <w:left w:val="nil"/>
              <w:bottom w:val="nil"/>
              <w:right w:val="nil"/>
            </w:tcBorders>
          </w:tcPr>
          <w:p w14:paraId="0668030B" w14:textId="77777777" w:rsidR="009103CC" w:rsidRPr="00546E9D" w:rsidRDefault="009103CC" w:rsidP="002718DF">
            <w:pPr>
              <w:pStyle w:val="Tabletext"/>
              <w:rPr>
                <w:b/>
                <w:bCs/>
              </w:rPr>
            </w:pPr>
          </w:p>
        </w:tc>
        <w:tc>
          <w:tcPr>
            <w:tcW w:w="593" w:type="pct"/>
            <w:tcBorders>
              <w:top w:val="single" w:sz="4" w:space="0" w:color="auto"/>
              <w:left w:val="nil"/>
              <w:bottom w:val="nil"/>
              <w:right w:val="nil"/>
            </w:tcBorders>
          </w:tcPr>
          <w:p w14:paraId="5F49786A" w14:textId="77777777" w:rsidR="009103CC" w:rsidRPr="00546E9D" w:rsidRDefault="009103CC" w:rsidP="002718DF">
            <w:pPr>
              <w:pStyle w:val="Tabletext"/>
              <w:jc w:val="right"/>
              <w:rPr>
                <w:b/>
                <w:bCs/>
              </w:rPr>
            </w:pPr>
            <w:r w:rsidRPr="00546E9D">
              <w:rPr>
                <w:b/>
                <w:bCs/>
              </w:rPr>
              <w:t>Level 1</w:t>
            </w:r>
          </w:p>
          <w:p w14:paraId="209D55EC" w14:textId="77777777" w:rsidR="009103CC" w:rsidRPr="00546E9D" w:rsidRDefault="009103CC" w:rsidP="002718DF">
            <w:pPr>
              <w:pStyle w:val="Tabletext"/>
              <w:jc w:val="right"/>
              <w:rPr>
                <w:b/>
                <w:bCs/>
              </w:rPr>
            </w:pPr>
            <w:r w:rsidRPr="00546E9D">
              <w:rPr>
                <w:b/>
                <w:bCs/>
              </w:rPr>
              <w:t>$’000</w:t>
            </w:r>
          </w:p>
        </w:tc>
        <w:tc>
          <w:tcPr>
            <w:tcW w:w="625" w:type="pct"/>
            <w:tcBorders>
              <w:top w:val="single" w:sz="4" w:space="0" w:color="auto"/>
              <w:left w:val="nil"/>
              <w:bottom w:val="nil"/>
              <w:right w:val="nil"/>
            </w:tcBorders>
          </w:tcPr>
          <w:p w14:paraId="4EF6094A" w14:textId="77777777" w:rsidR="009103CC" w:rsidRPr="00546E9D" w:rsidRDefault="009103CC" w:rsidP="002718DF">
            <w:pPr>
              <w:pStyle w:val="Tabletext"/>
              <w:jc w:val="right"/>
              <w:rPr>
                <w:b/>
                <w:bCs/>
              </w:rPr>
            </w:pPr>
            <w:r w:rsidRPr="00546E9D">
              <w:rPr>
                <w:b/>
                <w:bCs/>
              </w:rPr>
              <w:t>Level 2</w:t>
            </w:r>
          </w:p>
          <w:p w14:paraId="4FCF2B75" w14:textId="77777777" w:rsidR="009103CC" w:rsidRPr="00546E9D" w:rsidRDefault="009103CC" w:rsidP="002718DF">
            <w:pPr>
              <w:pStyle w:val="Tabletext"/>
              <w:jc w:val="right"/>
              <w:rPr>
                <w:b/>
                <w:bCs/>
              </w:rPr>
            </w:pPr>
            <w:r w:rsidRPr="00546E9D">
              <w:rPr>
                <w:b/>
                <w:bCs/>
              </w:rPr>
              <w:t>$’000</w:t>
            </w:r>
          </w:p>
        </w:tc>
        <w:tc>
          <w:tcPr>
            <w:tcW w:w="572" w:type="pct"/>
            <w:tcBorders>
              <w:top w:val="single" w:sz="4" w:space="0" w:color="auto"/>
              <w:left w:val="nil"/>
              <w:bottom w:val="nil"/>
              <w:right w:val="nil"/>
            </w:tcBorders>
          </w:tcPr>
          <w:p w14:paraId="59C2FD98" w14:textId="77777777" w:rsidR="009103CC" w:rsidRPr="00546E9D" w:rsidRDefault="009103CC" w:rsidP="002718DF">
            <w:pPr>
              <w:pStyle w:val="Tabletext"/>
              <w:jc w:val="right"/>
              <w:rPr>
                <w:b/>
                <w:bCs/>
              </w:rPr>
            </w:pPr>
            <w:r w:rsidRPr="00546E9D">
              <w:rPr>
                <w:b/>
                <w:bCs/>
              </w:rPr>
              <w:t>Level 3</w:t>
            </w:r>
          </w:p>
          <w:p w14:paraId="2887A51C" w14:textId="77777777" w:rsidR="009103CC" w:rsidRPr="00546E9D" w:rsidRDefault="009103CC" w:rsidP="002718DF">
            <w:pPr>
              <w:pStyle w:val="Tabletext"/>
              <w:jc w:val="right"/>
              <w:rPr>
                <w:b/>
                <w:bCs/>
              </w:rPr>
            </w:pPr>
            <w:r w:rsidRPr="00546E9D">
              <w:rPr>
                <w:b/>
                <w:bCs/>
              </w:rPr>
              <w:t>$’000</w:t>
            </w:r>
          </w:p>
        </w:tc>
        <w:tc>
          <w:tcPr>
            <w:tcW w:w="617" w:type="pct"/>
            <w:tcBorders>
              <w:top w:val="single" w:sz="4" w:space="0" w:color="auto"/>
              <w:left w:val="nil"/>
              <w:bottom w:val="nil"/>
              <w:right w:val="nil"/>
            </w:tcBorders>
          </w:tcPr>
          <w:p w14:paraId="76D5E46E" w14:textId="77777777" w:rsidR="009103CC" w:rsidRPr="00546E9D" w:rsidRDefault="009103CC" w:rsidP="002718DF">
            <w:pPr>
              <w:pStyle w:val="Tabletext"/>
              <w:jc w:val="right"/>
              <w:rPr>
                <w:b/>
                <w:bCs/>
              </w:rPr>
            </w:pPr>
            <w:r w:rsidRPr="00546E9D">
              <w:rPr>
                <w:b/>
                <w:bCs/>
              </w:rPr>
              <w:t>Total fair value $’000</w:t>
            </w:r>
          </w:p>
        </w:tc>
      </w:tr>
      <w:tr w:rsidR="009103CC" w:rsidRPr="00E47E40" w14:paraId="4A477DEF" w14:textId="77777777" w:rsidTr="002718DF">
        <w:trPr>
          <w:cantSplit/>
          <w:trHeight w:hRule="exact" w:val="317"/>
        </w:trPr>
        <w:tc>
          <w:tcPr>
            <w:tcW w:w="2057" w:type="pct"/>
            <w:tcBorders>
              <w:top w:val="nil"/>
              <w:left w:val="nil"/>
              <w:bottom w:val="single" w:sz="2" w:space="0" w:color="020A09"/>
              <w:right w:val="nil"/>
            </w:tcBorders>
          </w:tcPr>
          <w:p w14:paraId="29A8BF3E" w14:textId="77777777" w:rsidR="009103CC" w:rsidRPr="00600F77" w:rsidRDefault="009103CC" w:rsidP="002718DF">
            <w:pPr>
              <w:pStyle w:val="Tabletext"/>
              <w:rPr>
                <w:b/>
                <w:bCs/>
              </w:rPr>
            </w:pPr>
            <w:r w:rsidRPr="00600F77">
              <w:rPr>
                <w:b/>
                <w:bCs/>
              </w:rPr>
              <w:t>2020</w:t>
            </w:r>
          </w:p>
        </w:tc>
        <w:tc>
          <w:tcPr>
            <w:tcW w:w="536" w:type="pct"/>
            <w:tcBorders>
              <w:top w:val="nil"/>
              <w:left w:val="nil"/>
              <w:bottom w:val="single" w:sz="2" w:space="0" w:color="020A09"/>
              <w:right w:val="nil"/>
            </w:tcBorders>
          </w:tcPr>
          <w:p w14:paraId="49BD81E4" w14:textId="77777777" w:rsidR="009103CC" w:rsidRPr="00E47E40" w:rsidRDefault="009103CC" w:rsidP="002718DF">
            <w:pPr>
              <w:pStyle w:val="Tabletext"/>
              <w:rPr>
                <w:b/>
                <w:bCs/>
              </w:rPr>
            </w:pPr>
          </w:p>
        </w:tc>
        <w:tc>
          <w:tcPr>
            <w:tcW w:w="593" w:type="pct"/>
            <w:tcBorders>
              <w:top w:val="nil"/>
              <w:left w:val="nil"/>
              <w:bottom w:val="single" w:sz="2" w:space="0" w:color="020A09"/>
              <w:right w:val="nil"/>
            </w:tcBorders>
          </w:tcPr>
          <w:p w14:paraId="062CF5E7" w14:textId="77777777" w:rsidR="009103CC" w:rsidRPr="00E47E40" w:rsidRDefault="009103CC" w:rsidP="002718DF">
            <w:pPr>
              <w:pStyle w:val="Tabletext"/>
              <w:jc w:val="right"/>
              <w:rPr>
                <w:b/>
                <w:bCs/>
              </w:rPr>
            </w:pPr>
          </w:p>
        </w:tc>
        <w:tc>
          <w:tcPr>
            <w:tcW w:w="625" w:type="pct"/>
            <w:tcBorders>
              <w:top w:val="nil"/>
              <w:left w:val="nil"/>
              <w:bottom w:val="single" w:sz="2" w:space="0" w:color="020A09"/>
              <w:right w:val="nil"/>
            </w:tcBorders>
          </w:tcPr>
          <w:p w14:paraId="05E24BE1" w14:textId="77777777" w:rsidR="009103CC" w:rsidRPr="00E47E40" w:rsidRDefault="009103CC" w:rsidP="002718DF">
            <w:pPr>
              <w:pStyle w:val="Tabletext"/>
              <w:jc w:val="right"/>
              <w:rPr>
                <w:b/>
                <w:bCs/>
              </w:rPr>
            </w:pPr>
          </w:p>
        </w:tc>
        <w:tc>
          <w:tcPr>
            <w:tcW w:w="572" w:type="pct"/>
            <w:tcBorders>
              <w:top w:val="nil"/>
              <w:left w:val="nil"/>
              <w:bottom w:val="single" w:sz="2" w:space="0" w:color="020A09"/>
              <w:right w:val="nil"/>
            </w:tcBorders>
          </w:tcPr>
          <w:p w14:paraId="5585A99D" w14:textId="77777777" w:rsidR="009103CC" w:rsidRPr="00E47E40" w:rsidRDefault="009103CC" w:rsidP="002718DF">
            <w:pPr>
              <w:pStyle w:val="Tabletext"/>
              <w:jc w:val="right"/>
              <w:rPr>
                <w:b/>
                <w:bCs/>
              </w:rPr>
            </w:pPr>
          </w:p>
        </w:tc>
        <w:tc>
          <w:tcPr>
            <w:tcW w:w="617" w:type="pct"/>
            <w:tcBorders>
              <w:top w:val="nil"/>
              <w:left w:val="nil"/>
              <w:bottom w:val="single" w:sz="2" w:space="0" w:color="020A09"/>
              <w:right w:val="nil"/>
            </w:tcBorders>
          </w:tcPr>
          <w:p w14:paraId="03C8D2B1" w14:textId="77777777" w:rsidR="009103CC" w:rsidRPr="00E47E40" w:rsidRDefault="009103CC" w:rsidP="002718DF">
            <w:pPr>
              <w:pStyle w:val="Tabletext"/>
              <w:jc w:val="right"/>
              <w:rPr>
                <w:b/>
                <w:bCs/>
              </w:rPr>
            </w:pPr>
          </w:p>
        </w:tc>
      </w:tr>
      <w:tr w:rsidR="009103CC" w14:paraId="6731B5BA" w14:textId="77777777" w:rsidTr="002718DF">
        <w:trPr>
          <w:cantSplit/>
          <w:trHeight w:hRule="exact" w:val="332"/>
        </w:trPr>
        <w:tc>
          <w:tcPr>
            <w:tcW w:w="2057" w:type="pct"/>
            <w:tcBorders>
              <w:top w:val="single" w:sz="2" w:space="0" w:color="020A09"/>
              <w:left w:val="nil"/>
              <w:bottom w:val="single" w:sz="2" w:space="0" w:color="020A09"/>
              <w:right w:val="nil"/>
            </w:tcBorders>
          </w:tcPr>
          <w:p w14:paraId="33B7050E" w14:textId="77777777" w:rsidR="009103CC" w:rsidRDefault="009103CC" w:rsidP="002718DF">
            <w:pPr>
              <w:pStyle w:val="Tabletext"/>
            </w:pPr>
            <w:r w:rsidRPr="00600F77">
              <w:t>Land</w:t>
            </w:r>
          </w:p>
        </w:tc>
        <w:tc>
          <w:tcPr>
            <w:tcW w:w="536" w:type="pct"/>
            <w:tcBorders>
              <w:top w:val="single" w:sz="2" w:space="0" w:color="020A09"/>
              <w:left w:val="nil"/>
              <w:bottom w:val="single" w:sz="2" w:space="0" w:color="020A09"/>
              <w:right w:val="nil"/>
            </w:tcBorders>
          </w:tcPr>
          <w:p w14:paraId="0F49ABA7" w14:textId="77777777" w:rsidR="009103CC" w:rsidRDefault="009103CC" w:rsidP="002718DF">
            <w:pPr>
              <w:pStyle w:val="Tabletext"/>
            </w:pPr>
          </w:p>
        </w:tc>
        <w:tc>
          <w:tcPr>
            <w:tcW w:w="593" w:type="pct"/>
            <w:tcBorders>
              <w:top w:val="single" w:sz="2" w:space="0" w:color="020A09"/>
              <w:left w:val="nil"/>
              <w:bottom w:val="single" w:sz="2" w:space="0" w:color="020A09"/>
              <w:right w:val="nil"/>
            </w:tcBorders>
          </w:tcPr>
          <w:p w14:paraId="184AD6AC" w14:textId="77777777" w:rsidR="009103CC" w:rsidRPr="00600F77" w:rsidRDefault="009103CC" w:rsidP="002718DF">
            <w:pPr>
              <w:pStyle w:val="Tabletext"/>
              <w:jc w:val="right"/>
            </w:pPr>
            <w:r w:rsidRPr="00600F77">
              <w:t>-</w:t>
            </w:r>
          </w:p>
        </w:tc>
        <w:tc>
          <w:tcPr>
            <w:tcW w:w="625" w:type="pct"/>
            <w:tcBorders>
              <w:top w:val="single" w:sz="2" w:space="0" w:color="020A09"/>
              <w:left w:val="nil"/>
              <w:bottom w:val="single" w:sz="2" w:space="0" w:color="020A09"/>
              <w:right w:val="nil"/>
            </w:tcBorders>
          </w:tcPr>
          <w:p w14:paraId="0A1A5662" w14:textId="77777777" w:rsidR="009103CC" w:rsidRDefault="009103CC" w:rsidP="002718DF">
            <w:pPr>
              <w:pStyle w:val="Tabletext"/>
              <w:jc w:val="right"/>
            </w:pPr>
            <w:r w:rsidRPr="00600F77">
              <w:t>25</w:t>
            </w:r>
            <w:r w:rsidRPr="00546E9D">
              <w:t>,</w:t>
            </w:r>
            <w:r w:rsidRPr="00600F77">
              <w:t>600</w:t>
            </w:r>
          </w:p>
        </w:tc>
        <w:tc>
          <w:tcPr>
            <w:tcW w:w="572" w:type="pct"/>
            <w:tcBorders>
              <w:top w:val="single" w:sz="2" w:space="0" w:color="020A09"/>
              <w:left w:val="nil"/>
              <w:bottom w:val="single" w:sz="2" w:space="0" w:color="020A09"/>
              <w:right w:val="nil"/>
            </w:tcBorders>
          </w:tcPr>
          <w:p w14:paraId="2F70B589" w14:textId="77777777" w:rsidR="009103CC" w:rsidRPr="00600F77" w:rsidRDefault="009103CC" w:rsidP="002718DF">
            <w:pPr>
              <w:pStyle w:val="Tabletext"/>
              <w:jc w:val="right"/>
            </w:pPr>
            <w:r w:rsidRPr="00600F77">
              <w:t>-</w:t>
            </w:r>
          </w:p>
        </w:tc>
        <w:tc>
          <w:tcPr>
            <w:tcW w:w="617" w:type="pct"/>
            <w:tcBorders>
              <w:top w:val="single" w:sz="2" w:space="0" w:color="020A09"/>
              <w:left w:val="nil"/>
              <w:bottom w:val="single" w:sz="2" w:space="0" w:color="020A09"/>
              <w:right w:val="nil"/>
            </w:tcBorders>
          </w:tcPr>
          <w:p w14:paraId="11F10AA2" w14:textId="77777777" w:rsidR="009103CC" w:rsidRDefault="009103CC" w:rsidP="002718DF">
            <w:pPr>
              <w:pStyle w:val="Tabletext"/>
              <w:jc w:val="right"/>
            </w:pPr>
            <w:r w:rsidRPr="00600F77">
              <w:t>25</w:t>
            </w:r>
            <w:r w:rsidRPr="00546E9D">
              <w:t>,</w:t>
            </w:r>
            <w:r w:rsidRPr="00600F77">
              <w:t>600</w:t>
            </w:r>
          </w:p>
        </w:tc>
      </w:tr>
      <w:tr w:rsidR="009103CC" w14:paraId="2401E93B" w14:textId="77777777" w:rsidTr="002718DF">
        <w:trPr>
          <w:cantSplit/>
          <w:trHeight w:hRule="exact" w:val="332"/>
        </w:trPr>
        <w:tc>
          <w:tcPr>
            <w:tcW w:w="2057" w:type="pct"/>
            <w:tcBorders>
              <w:top w:val="single" w:sz="2" w:space="0" w:color="020A09"/>
              <w:left w:val="nil"/>
              <w:bottom w:val="single" w:sz="2" w:space="0" w:color="020A09"/>
              <w:right w:val="nil"/>
            </w:tcBorders>
          </w:tcPr>
          <w:p w14:paraId="79158858" w14:textId="77777777" w:rsidR="009103CC" w:rsidRDefault="009103CC" w:rsidP="002718DF">
            <w:pPr>
              <w:pStyle w:val="Tabletext"/>
            </w:pPr>
            <w:r w:rsidRPr="00546E9D">
              <w:t>B</w:t>
            </w:r>
            <w:r w:rsidRPr="00600F77">
              <w:t>uildings</w:t>
            </w:r>
          </w:p>
        </w:tc>
        <w:tc>
          <w:tcPr>
            <w:tcW w:w="536" w:type="pct"/>
            <w:tcBorders>
              <w:top w:val="single" w:sz="2" w:space="0" w:color="020A09"/>
              <w:left w:val="nil"/>
              <w:bottom w:val="single" w:sz="2" w:space="0" w:color="020A09"/>
              <w:right w:val="nil"/>
            </w:tcBorders>
          </w:tcPr>
          <w:p w14:paraId="4A1C87C3" w14:textId="77777777" w:rsidR="009103CC" w:rsidRDefault="009103CC" w:rsidP="002718DF">
            <w:pPr>
              <w:pStyle w:val="Tabletext"/>
            </w:pPr>
          </w:p>
        </w:tc>
        <w:tc>
          <w:tcPr>
            <w:tcW w:w="593" w:type="pct"/>
            <w:tcBorders>
              <w:top w:val="single" w:sz="2" w:space="0" w:color="020A09"/>
              <w:left w:val="nil"/>
              <w:bottom w:val="single" w:sz="2" w:space="0" w:color="020A09"/>
              <w:right w:val="nil"/>
            </w:tcBorders>
          </w:tcPr>
          <w:p w14:paraId="43911DFB" w14:textId="77777777" w:rsidR="009103CC" w:rsidRPr="00600F77" w:rsidRDefault="009103CC" w:rsidP="002718DF">
            <w:pPr>
              <w:pStyle w:val="Tabletext"/>
              <w:jc w:val="right"/>
            </w:pPr>
            <w:r w:rsidRPr="00600F77">
              <w:t>-</w:t>
            </w:r>
          </w:p>
        </w:tc>
        <w:tc>
          <w:tcPr>
            <w:tcW w:w="625" w:type="pct"/>
            <w:tcBorders>
              <w:top w:val="single" w:sz="2" w:space="0" w:color="020A09"/>
              <w:left w:val="nil"/>
              <w:bottom w:val="single" w:sz="2" w:space="0" w:color="020A09"/>
              <w:right w:val="nil"/>
            </w:tcBorders>
          </w:tcPr>
          <w:p w14:paraId="3137ED5E" w14:textId="77777777" w:rsidR="009103CC" w:rsidRPr="00600F77" w:rsidRDefault="009103CC" w:rsidP="002718DF">
            <w:pPr>
              <w:pStyle w:val="Tabletext"/>
              <w:jc w:val="right"/>
            </w:pPr>
            <w:r w:rsidRPr="00600F77">
              <w:t>-</w:t>
            </w:r>
          </w:p>
        </w:tc>
        <w:tc>
          <w:tcPr>
            <w:tcW w:w="572" w:type="pct"/>
            <w:tcBorders>
              <w:top w:val="single" w:sz="2" w:space="0" w:color="020A09"/>
              <w:left w:val="nil"/>
              <w:bottom w:val="single" w:sz="2" w:space="0" w:color="020A09"/>
              <w:right w:val="nil"/>
            </w:tcBorders>
          </w:tcPr>
          <w:p w14:paraId="4999F80E" w14:textId="77777777" w:rsidR="009103CC" w:rsidRDefault="009103CC" w:rsidP="002718DF">
            <w:pPr>
              <w:pStyle w:val="Tabletext"/>
              <w:jc w:val="right"/>
            </w:pPr>
            <w:r w:rsidRPr="00600F77">
              <w:t>292,</w:t>
            </w:r>
            <w:r w:rsidRPr="00546E9D">
              <w:t>4</w:t>
            </w:r>
            <w:r w:rsidRPr="00600F77">
              <w:t>19</w:t>
            </w:r>
          </w:p>
        </w:tc>
        <w:tc>
          <w:tcPr>
            <w:tcW w:w="617" w:type="pct"/>
            <w:tcBorders>
              <w:top w:val="single" w:sz="2" w:space="0" w:color="020A09"/>
              <w:left w:val="nil"/>
              <w:bottom w:val="single" w:sz="2" w:space="0" w:color="020A09"/>
              <w:right w:val="nil"/>
            </w:tcBorders>
          </w:tcPr>
          <w:p w14:paraId="32CE00D0" w14:textId="77777777" w:rsidR="009103CC" w:rsidRDefault="009103CC" w:rsidP="002718DF">
            <w:pPr>
              <w:pStyle w:val="Tabletext"/>
              <w:jc w:val="right"/>
            </w:pPr>
            <w:r w:rsidRPr="00600F77">
              <w:t>292,</w:t>
            </w:r>
            <w:r w:rsidRPr="00546E9D">
              <w:t>4</w:t>
            </w:r>
            <w:r w:rsidRPr="00600F77">
              <w:t>19</w:t>
            </w:r>
          </w:p>
        </w:tc>
      </w:tr>
      <w:tr w:rsidR="009103CC" w14:paraId="67E04423" w14:textId="77777777" w:rsidTr="002718DF">
        <w:trPr>
          <w:cantSplit/>
          <w:trHeight w:hRule="exact" w:val="332"/>
        </w:trPr>
        <w:tc>
          <w:tcPr>
            <w:tcW w:w="2057" w:type="pct"/>
            <w:tcBorders>
              <w:top w:val="single" w:sz="2" w:space="0" w:color="020A09"/>
              <w:left w:val="nil"/>
              <w:bottom w:val="single" w:sz="2" w:space="0" w:color="020A09"/>
              <w:right w:val="nil"/>
            </w:tcBorders>
          </w:tcPr>
          <w:p w14:paraId="785D42B7" w14:textId="77777777" w:rsidR="009103CC" w:rsidRDefault="009103CC" w:rsidP="002718DF">
            <w:pPr>
              <w:pStyle w:val="Tabletext"/>
            </w:pPr>
            <w:r w:rsidRPr="00600F77">
              <w:t>C</w:t>
            </w:r>
            <w:r>
              <w:t>olle</w:t>
            </w:r>
            <w:r w:rsidRPr="00600F77">
              <w:t>c</w:t>
            </w:r>
            <w:r>
              <w:t>tion</w:t>
            </w:r>
            <w:r w:rsidRPr="00600F77">
              <w:t xml:space="preserve"> assets</w:t>
            </w:r>
          </w:p>
        </w:tc>
        <w:tc>
          <w:tcPr>
            <w:tcW w:w="536" w:type="pct"/>
            <w:tcBorders>
              <w:top w:val="single" w:sz="2" w:space="0" w:color="020A09"/>
              <w:left w:val="nil"/>
              <w:bottom w:val="single" w:sz="2" w:space="0" w:color="020A09"/>
              <w:right w:val="nil"/>
            </w:tcBorders>
          </w:tcPr>
          <w:p w14:paraId="2CD54EDB" w14:textId="77777777" w:rsidR="009103CC" w:rsidRDefault="009103CC" w:rsidP="002718DF">
            <w:pPr>
              <w:pStyle w:val="Tabletext"/>
            </w:pPr>
          </w:p>
        </w:tc>
        <w:tc>
          <w:tcPr>
            <w:tcW w:w="593" w:type="pct"/>
            <w:tcBorders>
              <w:top w:val="single" w:sz="2" w:space="0" w:color="020A09"/>
              <w:left w:val="nil"/>
              <w:bottom w:val="single" w:sz="2" w:space="0" w:color="020A09"/>
              <w:right w:val="nil"/>
            </w:tcBorders>
          </w:tcPr>
          <w:p w14:paraId="0E3F0273" w14:textId="77777777" w:rsidR="009103CC" w:rsidRPr="00600F77" w:rsidRDefault="009103CC" w:rsidP="002718DF">
            <w:pPr>
              <w:pStyle w:val="Tabletext"/>
              <w:jc w:val="right"/>
            </w:pPr>
            <w:r w:rsidRPr="00600F77">
              <w:t>-</w:t>
            </w:r>
          </w:p>
        </w:tc>
        <w:tc>
          <w:tcPr>
            <w:tcW w:w="625" w:type="pct"/>
            <w:tcBorders>
              <w:top w:val="single" w:sz="2" w:space="0" w:color="020A09"/>
              <w:left w:val="nil"/>
              <w:bottom w:val="single" w:sz="2" w:space="0" w:color="020A09"/>
              <w:right w:val="nil"/>
            </w:tcBorders>
          </w:tcPr>
          <w:p w14:paraId="224DB5EB" w14:textId="77777777" w:rsidR="009103CC" w:rsidRDefault="009103CC" w:rsidP="002718DF">
            <w:pPr>
              <w:pStyle w:val="Tabletext"/>
              <w:jc w:val="right"/>
            </w:pPr>
            <w:r w:rsidRPr="00600F77">
              <w:t>1</w:t>
            </w:r>
            <w:r w:rsidRPr="00546E9D">
              <w:t>,</w:t>
            </w:r>
            <w:r w:rsidRPr="00600F77">
              <w:t>783,168</w:t>
            </w:r>
          </w:p>
        </w:tc>
        <w:tc>
          <w:tcPr>
            <w:tcW w:w="572" w:type="pct"/>
            <w:tcBorders>
              <w:top w:val="single" w:sz="2" w:space="0" w:color="020A09"/>
              <w:left w:val="nil"/>
              <w:bottom w:val="single" w:sz="2" w:space="0" w:color="020A09"/>
              <w:right w:val="nil"/>
            </w:tcBorders>
          </w:tcPr>
          <w:p w14:paraId="1A48BE6F" w14:textId="77777777" w:rsidR="009103CC" w:rsidRDefault="009103CC" w:rsidP="002718DF">
            <w:pPr>
              <w:pStyle w:val="Tabletext"/>
              <w:jc w:val="right"/>
            </w:pPr>
            <w:r w:rsidRPr="00600F77">
              <w:t>8,366</w:t>
            </w:r>
          </w:p>
        </w:tc>
        <w:tc>
          <w:tcPr>
            <w:tcW w:w="617" w:type="pct"/>
            <w:tcBorders>
              <w:top w:val="single" w:sz="2" w:space="0" w:color="020A09"/>
              <w:left w:val="nil"/>
              <w:bottom w:val="single" w:sz="2" w:space="0" w:color="020A09"/>
              <w:right w:val="nil"/>
            </w:tcBorders>
          </w:tcPr>
          <w:p w14:paraId="73BE556E" w14:textId="77777777" w:rsidR="009103CC" w:rsidRDefault="009103CC" w:rsidP="002718DF">
            <w:pPr>
              <w:pStyle w:val="Tabletext"/>
              <w:jc w:val="right"/>
            </w:pPr>
            <w:r w:rsidRPr="00600F77">
              <w:t>1</w:t>
            </w:r>
            <w:r w:rsidRPr="00546E9D">
              <w:t>,</w:t>
            </w:r>
            <w:r w:rsidRPr="00600F77">
              <w:t>791,534</w:t>
            </w:r>
          </w:p>
        </w:tc>
      </w:tr>
      <w:tr w:rsidR="009103CC" w14:paraId="7B053BE3" w14:textId="77777777" w:rsidTr="002718DF">
        <w:trPr>
          <w:cantSplit/>
          <w:trHeight w:hRule="exact" w:val="332"/>
        </w:trPr>
        <w:tc>
          <w:tcPr>
            <w:tcW w:w="2057" w:type="pct"/>
            <w:tcBorders>
              <w:top w:val="single" w:sz="2" w:space="0" w:color="020A09"/>
              <w:left w:val="nil"/>
              <w:bottom w:val="single" w:sz="2" w:space="0" w:color="020A09"/>
              <w:right w:val="nil"/>
            </w:tcBorders>
          </w:tcPr>
          <w:p w14:paraId="21A2D134" w14:textId="77777777" w:rsidR="009103CC" w:rsidRDefault="009103CC" w:rsidP="002718DF">
            <w:pPr>
              <w:pStyle w:val="Tabletext"/>
            </w:pPr>
            <w:r>
              <w:t>Pla</w:t>
            </w:r>
            <w:r w:rsidRPr="00600F77">
              <w:t>n</w:t>
            </w:r>
            <w:r>
              <w:t>t</w:t>
            </w:r>
            <w:r w:rsidRPr="00600F77">
              <w:t xml:space="preserve"> </w:t>
            </w:r>
            <w:r>
              <w:t>and</w:t>
            </w:r>
            <w:r w:rsidRPr="00600F77">
              <w:t xml:space="preserve"> equipment</w:t>
            </w:r>
          </w:p>
        </w:tc>
        <w:tc>
          <w:tcPr>
            <w:tcW w:w="536" w:type="pct"/>
            <w:tcBorders>
              <w:top w:val="single" w:sz="2" w:space="0" w:color="020A09"/>
              <w:left w:val="nil"/>
              <w:bottom w:val="single" w:sz="2" w:space="0" w:color="020A09"/>
              <w:right w:val="nil"/>
            </w:tcBorders>
          </w:tcPr>
          <w:p w14:paraId="7E406D3C" w14:textId="77777777" w:rsidR="009103CC" w:rsidRDefault="009103CC" w:rsidP="002718DF">
            <w:pPr>
              <w:pStyle w:val="Tabletext"/>
            </w:pPr>
          </w:p>
        </w:tc>
        <w:tc>
          <w:tcPr>
            <w:tcW w:w="593" w:type="pct"/>
            <w:tcBorders>
              <w:top w:val="single" w:sz="2" w:space="0" w:color="020A09"/>
              <w:left w:val="nil"/>
              <w:bottom w:val="single" w:sz="2" w:space="0" w:color="020A09"/>
              <w:right w:val="nil"/>
            </w:tcBorders>
          </w:tcPr>
          <w:p w14:paraId="08ABA397" w14:textId="77777777" w:rsidR="009103CC" w:rsidRPr="00600F77" w:rsidRDefault="009103CC" w:rsidP="002718DF">
            <w:pPr>
              <w:pStyle w:val="Tabletext"/>
              <w:jc w:val="right"/>
            </w:pPr>
            <w:r w:rsidRPr="00600F77">
              <w:t>-</w:t>
            </w:r>
          </w:p>
        </w:tc>
        <w:tc>
          <w:tcPr>
            <w:tcW w:w="625" w:type="pct"/>
            <w:tcBorders>
              <w:top w:val="single" w:sz="2" w:space="0" w:color="020A09"/>
              <w:left w:val="nil"/>
              <w:bottom w:val="single" w:sz="2" w:space="0" w:color="020A09"/>
              <w:right w:val="nil"/>
            </w:tcBorders>
          </w:tcPr>
          <w:p w14:paraId="3BAF9705" w14:textId="77777777" w:rsidR="009103CC" w:rsidRDefault="009103CC" w:rsidP="002718DF">
            <w:pPr>
              <w:pStyle w:val="Tabletext"/>
              <w:jc w:val="right"/>
            </w:pPr>
            <w:r w:rsidRPr="00600F77">
              <w:t>3,236</w:t>
            </w:r>
          </w:p>
        </w:tc>
        <w:tc>
          <w:tcPr>
            <w:tcW w:w="572" w:type="pct"/>
            <w:tcBorders>
              <w:top w:val="single" w:sz="2" w:space="0" w:color="020A09"/>
              <w:left w:val="nil"/>
              <w:bottom w:val="single" w:sz="2" w:space="0" w:color="020A09"/>
              <w:right w:val="nil"/>
            </w:tcBorders>
          </w:tcPr>
          <w:p w14:paraId="5A417960" w14:textId="77777777" w:rsidR="009103CC" w:rsidRPr="00600F77" w:rsidRDefault="009103CC" w:rsidP="002718DF">
            <w:pPr>
              <w:pStyle w:val="Tabletext"/>
              <w:jc w:val="right"/>
            </w:pPr>
            <w:r w:rsidRPr="00600F77">
              <w:t>-</w:t>
            </w:r>
          </w:p>
        </w:tc>
        <w:tc>
          <w:tcPr>
            <w:tcW w:w="617" w:type="pct"/>
            <w:tcBorders>
              <w:top w:val="single" w:sz="2" w:space="0" w:color="020A09"/>
              <w:left w:val="nil"/>
              <w:bottom w:val="single" w:sz="2" w:space="0" w:color="020A09"/>
              <w:right w:val="nil"/>
            </w:tcBorders>
          </w:tcPr>
          <w:p w14:paraId="1CDA3A8F" w14:textId="77777777" w:rsidR="009103CC" w:rsidRDefault="009103CC" w:rsidP="002718DF">
            <w:pPr>
              <w:pStyle w:val="Tabletext"/>
              <w:jc w:val="right"/>
            </w:pPr>
            <w:r w:rsidRPr="00600F77">
              <w:t>3,236</w:t>
            </w:r>
          </w:p>
        </w:tc>
      </w:tr>
      <w:tr w:rsidR="009103CC" w14:paraId="28A63FF9" w14:textId="77777777" w:rsidTr="002718DF">
        <w:trPr>
          <w:cantSplit/>
          <w:trHeight w:hRule="exact" w:val="332"/>
        </w:trPr>
        <w:tc>
          <w:tcPr>
            <w:tcW w:w="2057" w:type="pct"/>
            <w:tcBorders>
              <w:top w:val="single" w:sz="2" w:space="0" w:color="020A09"/>
              <w:left w:val="nil"/>
              <w:bottom w:val="single" w:sz="2" w:space="0" w:color="020A09"/>
              <w:right w:val="nil"/>
            </w:tcBorders>
          </w:tcPr>
          <w:p w14:paraId="12D77FA9" w14:textId="77777777" w:rsidR="009103CC" w:rsidRDefault="009103CC" w:rsidP="002718DF">
            <w:pPr>
              <w:pStyle w:val="Tabletext"/>
            </w:pPr>
          </w:p>
        </w:tc>
        <w:tc>
          <w:tcPr>
            <w:tcW w:w="536" w:type="pct"/>
            <w:tcBorders>
              <w:top w:val="single" w:sz="2" w:space="0" w:color="020A09"/>
              <w:left w:val="nil"/>
              <w:bottom w:val="single" w:sz="2" w:space="0" w:color="020A09"/>
              <w:right w:val="nil"/>
            </w:tcBorders>
          </w:tcPr>
          <w:p w14:paraId="7049242C" w14:textId="77777777" w:rsidR="009103CC" w:rsidRDefault="009103CC" w:rsidP="002718DF">
            <w:pPr>
              <w:pStyle w:val="Tabletext"/>
            </w:pPr>
          </w:p>
        </w:tc>
        <w:tc>
          <w:tcPr>
            <w:tcW w:w="593" w:type="pct"/>
            <w:tcBorders>
              <w:top w:val="single" w:sz="2" w:space="0" w:color="020A09"/>
              <w:left w:val="nil"/>
              <w:bottom w:val="single" w:sz="2" w:space="0" w:color="020A09"/>
              <w:right w:val="nil"/>
            </w:tcBorders>
          </w:tcPr>
          <w:p w14:paraId="40FDAB83" w14:textId="77777777" w:rsidR="009103CC" w:rsidRPr="00600F77" w:rsidRDefault="009103CC" w:rsidP="002718DF">
            <w:pPr>
              <w:pStyle w:val="Tabletext"/>
              <w:jc w:val="right"/>
            </w:pPr>
            <w:r w:rsidRPr="00600F77">
              <w:t>-</w:t>
            </w:r>
          </w:p>
        </w:tc>
        <w:tc>
          <w:tcPr>
            <w:tcW w:w="625" w:type="pct"/>
            <w:tcBorders>
              <w:top w:val="single" w:sz="2" w:space="0" w:color="020A09"/>
              <w:left w:val="nil"/>
              <w:bottom w:val="single" w:sz="2" w:space="0" w:color="020A09"/>
              <w:right w:val="nil"/>
            </w:tcBorders>
          </w:tcPr>
          <w:p w14:paraId="5EA9A06C" w14:textId="77777777" w:rsidR="009103CC" w:rsidRDefault="009103CC" w:rsidP="002718DF">
            <w:pPr>
              <w:pStyle w:val="Tabletext"/>
              <w:jc w:val="right"/>
            </w:pPr>
            <w:r w:rsidRPr="00600F77">
              <w:t>1,812,004</w:t>
            </w:r>
          </w:p>
        </w:tc>
        <w:tc>
          <w:tcPr>
            <w:tcW w:w="572" w:type="pct"/>
            <w:tcBorders>
              <w:top w:val="single" w:sz="2" w:space="0" w:color="020A09"/>
              <w:left w:val="nil"/>
              <w:bottom w:val="single" w:sz="2" w:space="0" w:color="020A09"/>
              <w:right w:val="nil"/>
            </w:tcBorders>
          </w:tcPr>
          <w:p w14:paraId="2C7C354A" w14:textId="77777777" w:rsidR="009103CC" w:rsidRDefault="009103CC" w:rsidP="002718DF">
            <w:pPr>
              <w:pStyle w:val="Tabletext"/>
              <w:jc w:val="right"/>
            </w:pPr>
            <w:r w:rsidRPr="00600F77">
              <w:t>300</w:t>
            </w:r>
            <w:r w:rsidRPr="00546E9D">
              <w:t>,</w:t>
            </w:r>
            <w:r w:rsidRPr="00600F77">
              <w:t>7</w:t>
            </w:r>
            <w:r w:rsidRPr="00546E9D">
              <w:t>85</w:t>
            </w:r>
          </w:p>
        </w:tc>
        <w:tc>
          <w:tcPr>
            <w:tcW w:w="617" w:type="pct"/>
            <w:tcBorders>
              <w:top w:val="single" w:sz="2" w:space="0" w:color="020A09"/>
              <w:left w:val="nil"/>
              <w:bottom w:val="single" w:sz="2" w:space="0" w:color="020A09"/>
              <w:right w:val="nil"/>
            </w:tcBorders>
          </w:tcPr>
          <w:p w14:paraId="34151A7F" w14:textId="77777777" w:rsidR="009103CC" w:rsidRDefault="009103CC" w:rsidP="002718DF">
            <w:pPr>
              <w:pStyle w:val="Tabletext"/>
              <w:jc w:val="right"/>
            </w:pPr>
            <w:r w:rsidRPr="00600F77">
              <w:t>2,112</w:t>
            </w:r>
            <w:r w:rsidRPr="00546E9D">
              <w:t>,</w:t>
            </w:r>
            <w:r w:rsidRPr="00600F77">
              <w:t>789</w:t>
            </w:r>
          </w:p>
        </w:tc>
      </w:tr>
      <w:tr w:rsidR="009103CC" w:rsidRPr="00E47E40" w14:paraId="4125DC72" w14:textId="77777777" w:rsidTr="002718DF">
        <w:trPr>
          <w:cantSplit/>
          <w:trHeight w:hRule="exact" w:val="317"/>
        </w:trPr>
        <w:tc>
          <w:tcPr>
            <w:tcW w:w="2057" w:type="pct"/>
            <w:tcBorders>
              <w:top w:val="nil"/>
              <w:left w:val="nil"/>
              <w:bottom w:val="single" w:sz="2" w:space="0" w:color="020A09"/>
              <w:right w:val="nil"/>
            </w:tcBorders>
          </w:tcPr>
          <w:p w14:paraId="0CF0F207" w14:textId="77777777" w:rsidR="009103CC" w:rsidRPr="00600F77" w:rsidRDefault="009103CC" w:rsidP="002718DF">
            <w:pPr>
              <w:pStyle w:val="Tabletext"/>
              <w:rPr>
                <w:b/>
                <w:bCs/>
              </w:rPr>
            </w:pPr>
            <w:r w:rsidRPr="00600F77">
              <w:rPr>
                <w:b/>
                <w:bCs/>
              </w:rPr>
              <w:t>2021</w:t>
            </w:r>
          </w:p>
        </w:tc>
        <w:tc>
          <w:tcPr>
            <w:tcW w:w="536" w:type="pct"/>
            <w:tcBorders>
              <w:top w:val="nil"/>
              <w:left w:val="nil"/>
              <w:bottom w:val="single" w:sz="2" w:space="0" w:color="020A09"/>
              <w:right w:val="nil"/>
            </w:tcBorders>
          </w:tcPr>
          <w:p w14:paraId="12819D5C" w14:textId="77777777" w:rsidR="009103CC" w:rsidRPr="00E47E40" w:rsidRDefault="009103CC" w:rsidP="002718DF">
            <w:pPr>
              <w:pStyle w:val="Tabletext"/>
              <w:rPr>
                <w:b/>
                <w:bCs/>
              </w:rPr>
            </w:pPr>
          </w:p>
        </w:tc>
        <w:tc>
          <w:tcPr>
            <w:tcW w:w="593" w:type="pct"/>
            <w:tcBorders>
              <w:top w:val="nil"/>
              <w:left w:val="nil"/>
              <w:bottom w:val="single" w:sz="2" w:space="0" w:color="020A09"/>
              <w:right w:val="nil"/>
            </w:tcBorders>
          </w:tcPr>
          <w:p w14:paraId="117E8959" w14:textId="77777777" w:rsidR="009103CC" w:rsidRPr="00E47E40" w:rsidRDefault="009103CC" w:rsidP="002718DF">
            <w:pPr>
              <w:pStyle w:val="Tabletext"/>
              <w:jc w:val="right"/>
              <w:rPr>
                <w:b/>
                <w:bCs/>
              </w:rPr>
            </w:pPr>
          </w:p>
        </w:tc>
        <w:tc>
          <w:tcPr>
            <w:tcW w:w="625" w:type="pct"/>
            <w:tcBorders>
              <w:top w:val="nil"/>
              <w:left w:val="nil"/>
              <w:bottom w:val="single" w:sz="2" w:space="0" w:color="020A09"/>
              <w:right w:val="nil"/>
            </w:tcBorders>
          </w:tcPr>
          <w:p w14:paraId="3E67D447" w14:textId="77777777" w:rsidR="009103CC" w:rsidRPr="00E47E40" w:rsidRDefault="009103CC" w:rsidP="002718DF">
            <w:pPr>
              <w:pStyle w:val="Tabletext"/>
              <w:jc w:val="right"/>
              <w:rPr>
                <w:b/>
                <w:bCs/>
              </w:rPr>
            </w:pPr>
          </w:p>
        </w:tc>
        <w:tc>
          <w:tcPr>
            <w:tcW w:w="572" w:type="pct"/>
            <w:tcBorders>
              <w:top w:val="nil"/>
              <w:left w:val="nil"/>
              <w:bottom w:val="single" w:sz="2" w:space="0" w:color="020A09"/>
              <w:right w:val="nil"/>
            </w:tcBorders>
          </w:tcPr>
          <w:p w14:paraId="3047836E" w14:textId="77777777" w:rsidR="009103CC" w:rsidRPr="00E47E40" w:rsidRDefault="009103CC" w:rsidP="002718DF">
            <w:pPr>
              <w:pStyle w:val="Tabletext"/>
              <w:jc w:val="right"/>
              <w:rPr>
                <w:b/>
                <w:bCs/>
              </w:rPr>
            </w:pPr>
          </w:p>
        </w:tc>
        <w:tc>
          <w:tcPr>
            <w:tcW w:w="617" w:type="pct"/>
            <w:tcBorders>
              <w:top w:val="nil"/>
              <w:left w:val="nil"/>
              <w:bottom w:val="single" w:sz="2" w:space="0" w:color="020A09"/>
              <w:right w:val="nil"/>
            </w:tcBorders>
          </w:tcPr>
          <w:p w14:paraId="4289F26B" w14:textId="77777777" w:rsidR="009103CC" w:rsidRPr="00E47E40" w:rsidRDefault="009103CC" w:rsidP="002718DF">
            <w:pPr>
              <w:pStyle w:val="Tabletext"/>
              <w:jc w:val="right"/>
              <w:rPr>
                <w:b/>
                <w:bCs/>
              </w:rPr>
            </w:pPr>
          </w:p>
        </w:tc>
      </w:tr>
      <w:tr w:rsidR="009103CC" w14:paraId="7011FC2F" w14:textId="77777777" w:rsidTr="002718DF">
        <w:trPr>
          <w:cantSplit/>
          <w:trHeight w:hRule="exact" w:val="332"/>
        </w:trPr>
        <w:tc>
          <w:tcPr>
            <w:tcW w:w="2057" w:type="pct"/>
            <w:tcBorders>
              <w:top w:val="single" w:sz="2" w:space="0" w:color="020A09"/>
              <w:left w:val="nil"/>
              <w:bottom w:val="single" w:sz="2" w:space="0" w:color="020A09"/>
              <w:right w:val="nil"/>
            </w:tcBorders>
          </w:tcPr>
          <w:p w14:paraId="6486D8A1" w14:textId="77777777" w:rsidR="009103CC" w:rsidRDefault="009103CC" w:rsidP="002718DF">
            <w:pPr>
              <w:pStyle w:val="Tabletext"/>
            </w:pPr>
            <w:r w:rsidRPr="00600F77">
              <w:t>Land</w:t>
            </w:r>
          </w:p>
        </w:tc>
        <w:tc>
          <w:tcPr>
            <w:tcW w:w="536" w:type="pct"/>
            <w:tcBorders>
              <w:top w:val="single" w:sz="2" w:space="0" w:color="020A09"/>
              <w:left w:val="nil"/>
              <w:bottom w:val="single" w:sz="2" w:space="0" w:color="020A09"/>
              <w:right w:val="nil"/>
            </w:tcBorders>
          </w:tcPr>
          <w:p w14:paraId="243182D0" w14:textId="77777777" w:rsidR="009103CC" w:rsidRDefault="009103CC" w:rsidP="002718DF">
            <w:pPr>
              <w:pStyle w:val="Tabletext"/>
            </w:pPr>
          </w:p>
        </w:tc>
        <w:tc>
          <w:tcPr>
            <w:tcW w:w="593" w:type="pct"/>
            <w:tcBorders>
              <w:top w:val="single" w:sz="2" w:space="0" w:color="020A09"/>
              <w:left w:val="nil"/>
              <w:bottom w:val="single" w:sz="2" w:space="0" w:color="020A09"/>
              <w:right w:val="nil"/>
            </w:tcBorders>
          </w:tcPr>
          <w:p w14:paraId="1A7435BD" w14:textId="77777777" w:rsidR="009103CC" w:rsidRPr="00600F77" w:rsidRDefault="009103CC" w:rsidP="002718DF">
            <w:pPr>
              <w:pStyle w:val="Tabletext"/>
              <w:jc w:val="right"/>
            </w:pPr>
            <w:r w:rsidRPr="00600F77">
              <w:t>-</w:t>
            </w:r>
          </w:p>
        </w:tc>
        <w:tc>
          <w:tcPr>
            <w:tcW w:w="625" w:type="pct"/>
            <w:tcBorders>
              <w:top w:val="single" w:sz="2" w:space="0" w:color="020A09"/>
              <w:left w:val="nil"/>
              <w:bottom w:val="single" w:sz="2" w:space="0" w:color="020A09"/>
              <w:right w:val="nil"/>
            </w:tcBorders>
          </w:tcPr>
          <w:p w14:paraId="773E54C5" w14:textId="77777777" w:rsidR="009103CC" w:rsidRPr="00600F77" w:rsidRDefault="009103CC" w:rsidP="002718DF">
            <w:pPr>
              <w:pStyle w:val="Tabletext"/>
              <w:jc w:val="right"/>
            </w:pPr>
            <w:r w:rsidRPr="00600F77">
              <w:t>27,100</w:t>
            </w:r>
          </w:p>
        </w:tc>
        <w:tc>
          <w:tcPr>
            <w:tcW w:w="572" w:type="pct"/>
            <w:tcBorders>
              <w:top w:val="single" w:sz="2" w:space="0" w:color="020A09"/>
              <w:left w:val="nil"/>
              <w:bottom w:val="single" w:sz="2" w:space="0" w:color="020A09"/>
              <w:right w:val="nil"/>
            </w:tcBorders>
          </w:tcPr>
          <w:p w14:paraId="2D4703DA" w14:textId="77777777" w:rsidR="009103CC" w:rsidRPr="00600F77" w:rsidRDefault="009103CC" w:rsidP="002718DF">
            <w:pPr>
              <w:pStyle w:val="Tabletext"/>
              <w:jc w:val="right"/>
            </w:pPr>
            <w:r w:rsidRPr="00600F77">
              <w:t>-</w:t>
            </w:r>
          </w:p>
        </w:tc>
        <w:tc>
          <w:tcPr>
            <w:tcW w:w="617" w:type="pct"/>
            <w:tcBorders>
              <w:top w:val="single" w:sz="2" w:space="0" w:color="020A09"/>
              <w:left w:val="nil"/>
              <w:bottom w:val="single" w:sz="2" w:space="0" w:color="020A09"/>
              <w:right w:val="nil"/>
            </w:tcBorders>
          </w:tcPr>
          <w:p w14:paraId="186B8675" w14:textId="77777777" w:rsidR="009103CC" w:rsidRPr="00600F77" w:rsidRDefault="009103CC" w:rsidP="002718DF">
            <w:pPr>
              <w:pStyle w:val="Tabletext"/>
              <w:jc w:val="right"/>
            </w:pPr>
            <w:r w:rsidRPr="00600F77">
              <w:t>27,100</w:t>
            </w:r>
          </w:p>
        </w:tc>
      </w:tr>
      <w:tr w:rsidR="009103CC" w14:paraId="52051296" w14:textId="77777777" w:rsidTr="002718DF">
        <w:trPr>
          <w:cantSplit/>
          <w:trHeight w:hRule="exact" w:val="332"/>
        </w:trPr>
        <w:tc>
          <w:tcPr>
            <w:tcW w:w="2057" w:type="pct"/>
            <w:tcBorders>
              <w:top w:val="single" w:sz="2" w:space="0" w:color="020A09"/>
              <w:left w:val="nil"/>
              <w:bottom w:val="single" w:sz="2" w:space="0" w:color="020A09"/>
              <w:right w:val="nil"/>
            </w:tcBorders>
          </w:tcPr>
          <w:p w14:paraId="7D04946D" w14:textId="77777777" w:rsidR="009103CC" w:rsidRDefault="009103CC" w:rsidP="002718DF">
            <w:pPr>
              <w:pStyle w:val="Tabletext"/>
            </w:pPr>
            <w:r w:rsidRPr="00546E9D">
              <w:t>B</w:t>
            </w:r>
            <w:r w:rsidRPr="00600F77">
              <w:t>uildings</w:t>
            </w:r>
          </w:p>
        </w:tc>
        <w:tc>
          <w:tcPr>
            <w:tcW w:w="536" w:type="pct"/>
            <w:tcBorders>
              <w:top w:val="single" w:sz="2" w:space="0" w:color="020A09"/>
              <w:left w:val="nil"/>
              <w:bottom w:val="single" w:sz="2" w:space="0" w:color="020A09"/>
              <w:right w:val="nil"/>
            </w:tcBorders>
          </w:tcPr>
          <w:p w14:paraId="33BF1575" w14:textId="77777777" w:rsidR="009103CC" w:rsidRDefault="009103CC" w:rsidP="002718DF">
            <w:pPr>
              <w:pStyle w:val="Tabletext"/>
            </w:pPr>
          </w:p>
        </w:tc>
        <w:tc>
          <w:tcPr>
            <w:tcW w:w="593" w:type="pct"/>
            <w:tcBorders>
              <w:top w:val="single" w:sz="2" w:space="0" w:color="020A09"/>
              <w:left w:val="nil"/>
              <w:bottom w:val="single" w:sz="2" w:space="0" w:color="020A09"/>
              <w:right w:val="nil"/>
            </w:tcBorders>
          </w:tcPr>
          <w:p w14:paraId="44A6E6B8" w14:textId="77777777" w:rsidR="009103CC" w:rsidRPr="00600F77" w:rsidRDefault="009103CC" w:rsidP="002718DF">
            <w:pPr>
              <w:pStyle w:val="Tabletext"/>
              <w:jc w:val="right"/>
            </w:pPr>
            <w:r w:rsidRPr="00600F77">
              <w:t>-</w:t>
            </w:r>
          </w:p>
        </w:tc>
        <w:tc>
          <w:tcPr>
            <w:tcW w:w="625" w:type="pct"/>
            <w:tcBorders>
              <w:top w:val="single" w:sz="2" w:space="0" w:color="020A09"/>
              <w:left w:val="nil"/>
              <w:bottom w:val="single" w:sz="2" w:space="0" w:color="020A09"/>
              <w:right w:val="nil"/>
            </w:tcBorders>
          </w:tcPr>
          <w:p w14:paraId="51EE0A0B" w14:textId="77777777" w:rsidR="009103CC" w:rsidRPr="00600F77" w:rsidRDefault="009103CC" w:rsidP="002718DF">
            <w:pPr>
              <w:pStyle w:val="Tabletext"/>
              <w:jc w:val="right"/>
            </w:pPr>
            <w:r w:rsidRPr="00600F77">
              <w:t>-</w:t>
            </w:r>
          </w:p>
        </w:tc>
        <w:tc>
          <w:tcPr>
            <w:tcW w:w="572" w:type="pct"/>
            <w:tcBorders>
              <w:top w:val="single" w:sz="2" w:space="0" w:color="020A09"/>
              <w:left w:val="nil"/>
              <w:bottom w:val="single" w:sz="2" w:space="0" w:color="020A09"/>
              <w:right w:val="nil"/>
            </w:tcBorders>
          </w:tcPr>
          <w:p w14:paraId="340422BC" w14:textId="77777777" w:rsidR="009103CC" w:rsidRPr="00600F77" w:rsidRDefault="009103CC" w:rsidP="002718DF">
            <w:pPr>
              <w:pStyle w:val="Tabletext"/>
              <w:jc w:val="right"/>
            </w:pPr>
            <w:r w:rsidRPr="00600F77">
              <w:t>372,597</w:t>
            </w:r>
          </w:p>
        </w:tc>
        <w:tc>
          <w:tcPr>
            <w:tcW w:w="617" w:type="pct"/>
            <w:tcBorders>
              <w:top w:val="single" w:sz="2" w:space="0" w:color="020A09"/>
              <w:left w:val="nil"/>
              <w:bottom w:val="single" w:sz="2" w:space="0" w:color="020A09"/>
              <w:right w:val="nil"/>
            </w:tcBorders>
          </w:tcPr>
          <w:p w14:paraId="1DB55EDD" w14:textId="77777777" w:rsidR="009103CC" w:rsidRPr="00600F77" w:rsidRDefault="009103CC" w:rsidP="002718DF">
            <w:pPr>
              <w:pStyle w:val="Tabletext"/>
              <w:jc w:val="right"/>
            </w:pPr>
            <w:r w:rsidRPr="00600F77">
              <w:t>372,597</w:t>
            </w:r>
          </w:p>
        </w:tc>
      </w:tr>
      <w:tr w:rsidR="009103CC" w14:paraId="31397FE0" w14:textId="77777777" w:rsidTr="002718DF">
        <w:trPr>
          <w:cantSplit/>
          <w:trHeight w:hRule="exact" w:val="332"/>
        </w:trPr>
        <w:tc>
          <w:tcPr>
            <w:tcW w:w="2057" w:type="pct"/>
            <w:tcBorders>
              <w:top w:val="single" w:sz="2" w:space="0" w:color="020A09"/>
              <w:left w:val="nil"/>
              <w:bottom w:val="single" w:sz="2" w:space="0" w:color="020A09"/>
              <w:right w:val="nil"/>
            </w:tcBorders>
          </w:tcPr>
          <w:p w14:paraId="27A6D737" w14:textId="77777777" w:rsidR="009103CC" w:rsidRDefault="009103CC" w:rsidP="002718DF">
            <w:pPr>
              <w:pStyle w:val="Tabletext"/>
            </w:pPr>
            <w:r w:rsidRPr="00600F77">
              <w:t>C</w:t>
            </w:r>
            <w:r>
              <w:t>olle</w:t>
            </w:r>
            <w:r w:rsidRPr="00600F77">
              <w:t>c</w:t>
            </w:r>
            <w:r>
              <w:t>tion</w:t>
            </w:r>
            <w:r w:rsidRPr="00600F77">
              <w:t xml:space="preserve"> assets</w:t>
            </w:r>
          </w:p>
        </w:tc>
        <w:tc>
          <w:tcPr>
            <w:tcW w:w="536" w:type="pct"/>
            <w:tcBorders>
              <w:top w:val="single" w:sz="2" w:space="0" w:color="020A09"/>
              <w:left w:val="nil"/>
              <w:bottom w:val="single" w:sz="2" w:space="0" w:color="020A09"/>
              <w:right w:val="nil"/>
            </w:tcBorders>
          </w:tcPr>
          <w:p w14:paraId="469B20D6" w14:textId="77777777" w:rsidR="009103CC" w:rsidRDefault="009103CC" w:rsidP="002718DF">
            <w:pPr>
              <w:pStyle w:val="Tabletext"/>
            </w:pPr>
          </w:p>
        </w:tc>
        <w:tc>
          <w:tcPr>
            <w:tcW w:w="593" w:type="pct"/>
            <w:tcBorders>
              <w:top w:val="single" w:sz="2" w:space="0" w:color="020A09"/>
              <w:left w:val="nil"/>
              <w:bottom w:val="single" w:sz="2" w:space="0" w:color="020A09"/>
              <w:right w:val="nil"/>
            </w:tcBorders>
          </w:tcPr>
          <w:p w14:paraId="48479300" w14:textId="77777777" w:rsidR="009103CC" w:rsidRPr="00600F77" w:rsidRDefault="009103CC" w:rsidP="002718DF">
            <w:pPr>
              <w:pStyle w:val="Tabletext"/>
              <w:jc w:val="right"/>
            </w:pPr>
            <w:r w:rsidRPr="00600F77">
              <w:t>-</w:t>
            </w:r>
          </w:p>
        </w:tc>
        <w:tc>
          <w:tcPr>
            <w:tcW w:w="625" w:type="pct"/>
            <w:tcBorders>
              <w:top w:val="single" w:sz="2" w:space="0" w:color="020A09"/>
              <w:left w:val="nil"/>
              <w:bottom w:val="single" w:sz="2" w:space="0" w:color="020A09"/>
              <w:right w:val="nil"/>
            </w:tcBorders>
          </w:tcPr>
          <w:p w14:paraId="7CDF37FE" w14:textId="77777777" w:rsidR="009103CC" w:rsidRDefault="009103CC" w:rsidP="002718DF">
            <w:pPr>
              <w:pStyle w:val="Tabletext"/>
              <w:jc w:val="right"/>
            </w:pPr>
            <w:r w:rsidRPr="00600F77">
              <w:t>1</w:t>
            </w:r>
            <w:r w:rsidRPr="00546E9D">
              <w:t>,</w:t>
            </w:r>
            <w:r w:rsidRPr="00600F77">
              <w:t>795,955</w:t>
            </w:r>
          </w:p>
        </w:tc>
        <w:tc>
          <w:tcPr>
            <w:tcW w:w="572" w:type="pct"/>
            <w:tcBorders>
              <w:top w:val="single" w:sz="2" w:space="0" w:color="020A09"/>
              <w:left w:val="nil"/>
              <w:bottom w:val="single" w:sz="2" w:space="0" w:color="020A09"/>
              <w:right w:val="nil"/>
            </w:tcBorders>
          </w:tcPr>
          <w:p w14:paraId="1A74190A" w14:textId="77777777" w:rsidR="009103CC" w:rsidRDefault="009103CC" w:rsidP="002718DF">
            <w:pPr>
              <w:pStyle w:val="Tabletext"/>
              <w:jc w:val="right"/>
            </w:pPr>
            <w:r w:rsidRPr="00600F77">
              <w:t>8,366</w:t>
            </w:r>
          </w:p>
        </w:tc>
        <w:tc>
          <w:tcPr>
            <w:tcW w:w="617" w:type="pct"/>
            <w:tcBorders>
              <w:top w:val="single" w:sz="2" w:space="0" w:color="020A09"/>
              <w:left w:val="nil"/>
              <w:bottom w:val="single" w:sz="2" w:space="0" w:color="020A09"/>
              <w:right w:val="nil"/>
            </w:tcBorders>
          </w:tcPr>
          <w:p w14:paraId="72F16195" w14:textId="77777777" w:rsidR="009103CC" w:rsidRDefault="009103CC" w:rsidP="002718DF">
            <w:pPr>
              <w:pStyle w:val="Tabletext"/>
              <w:jc w:val="right"/>
            </w:pPr>
            <w:r w:rsidRPr="00600F77">
              <w:t>1</w:t>
            </w:r>
            <w:r w:rsidRPr="00546E9D">
              <w:t>,</w:t>
            </w:r>
            <w:r w:rsidRPr="00600F77">
              <w:t>804,321</w:t>
            </w:r>
          </w:p>
        </w:tc>
      </w:tr>
      <w:tr w:rsidR="009103CC" w14:paraId="13E7719B" w14:textId="77777777" w:rsidTr="002718DF">
        <w:trPr>
          <w:cantSplit/>
          <w:trHeight w:hRule="exact" w:val="332"/>
        </w:trPr>
        <w:tc>
          <w:tcPr>
            <w:tcW w:w="2057" w:type="pct"/>
            <w:tcBorders>
              <w:top w:val="single" w:sz="2" w:space="0" w:color="020A09"/>
              <w:left w:val="nil"/>
              <w:bottom w:val="single" w:sz="2" w:space="0" w:color="020A09"/>
              <w:right w:val="nil"/>
            </w:tcBorders>
          </w:tcPr>
          <w:p w14:paraId="05EB79D6" w14:textId="77777777" w:rsidR="009103CC" w:rsidRDefault="009103CC" w:rsidP="002718DF">
            <w:pPr>
              <w:pStyle w:val="Tabletext"/>
            </w:pPr>
            <w:r>
              <w:t>Pla</w:t>
            </w:r>
            <w:r w:rsidRPr="00600F77">
              <w:t>n</w:t>
            </w:r>
            <w:r>
              <w:t>t</w:t>
            </w:r>
            <w:r w:rsidRPr="00600F77">
              <w:t xml:space="preserve"> </w:t>
            </w:r>
            <w:r>
              <w:t>and</w:t>
            </w:r>
            <w:r w:rsidRPr="00600F77">
              <w:t xml:space="preserve"> equipment</w:t>
            </w:r>
          </w:p>
        </w:tc>
        <w:tc>
          <w:tcPr>
            <w:tcW w:w="536" w:type="pct"/>
            <w:tcBorders>
              <w:top w:val="single" w:sz="2" w:space="0" w:color="020A09"/>
              <w:left w:val="nil"/>
              <w:bottom w:val="single" w:sz="2" w:space="0" w:color="020A09"/>
              <w:right w:val="nil"/>
            </w:tcBorders>
          </w:tcPr>
          <w:p w14:paraId="35ADC8D4" w14:textId="77777777" w:rsidR="009103CC" w:rsidRDefault="009103CC" w:rsidP="002718DF">
            <w:pPr>
              <w:pStyle w:val="Tabletext"/>
            </w:pPr>
          </w:p>
        </w:tc>
        <w:tc>
          <w:tcPr>
            <w:tcW w:w="593" w:type="pct"/>
            <w:tcBorders>
              <w:top w:val="single" w:sz="2" w:space="0" w:color="020A09"/>
              <w:left w:val="nil"/>
              <w:bottom w:val="single" w:sz="2" w:space="0" w:color="020A09"/>
              <w:right w:val="nil"/>
            </w:tcBorders>
          </w:tcPr>
          <w:p w14:paraId="66FE4ECC" w14:textId="77777777" w:rsidR="009103CC" w:rsidRPr="00600F77" w:rsidRDefault="009103CC" w:rsidP="002718DF">
            <w:pPr>
              <w:pStyle w:val="Tabletext"/>
              <w:jc w:val="right"/>
            </w:pPr>
            <w:r w:rsidRPr="00600F77">
              <w:t>-</w:t>
            </w:r>
          </w:p>
        </w:tc>
        <w:tc>
          <w:tcPr>
            <w:tcW w:w="625" w:type="pct"/>
            <w:tcBorders>
              <w:top w:val="single" w:sz="2" w:space="0" w:color="020A09"/>
              <w:left w:val="nil"/>
              <w:bottom w:val="single" w:sz="2" w:space="0" w:color="020A09"/>
              <w:right w:val="nil"/>
            </w:tcBorders>
          </w:tcPr>
          <w:p w14:paraId="4521C386" w14:textId="77777777" w:rsidR="009103CC" w:rsidRDefault="009103CC" w:rsidP="002718DF">
            <w:pPr>
              <w:pStyle w:val="Tabletext"/>
              <w:jc w:val="right"/>
            </w:pPr>
            <w:r w:rsidRPr="00600F77">
              <w:t>3,884</w:t>
            </w:r>
          </w:p>
        </w:tc>
        <w:tc>
          <w:tcPr>
            <w:tcW w:w="572" w:type="pct"/>
            <w:tcBorders>
              <w:top w:val="single" w:sz="2" w:space="0" w:color="020A09"/>
              <w:left w:val="nil"/>
              <w:bottom w:val="single" w:sz="2" w:space="0" w:color="020A09"/>
              <w:right w:val="nil"/>
            </w:tcBorders>
          </w:tcPr>
          <w:p w14:paraId="3B56B63C" w14:textId="77777777" w:rsidR="009103CC" w:rsidRPr="00600F77" w:rsidRDefault="009103CC" w:rsidP="002718DF">
            <w:pPr>
              <w:pStyle w:val="Tabletext"/>
              <w:jc w:val="right"/>
            </w:pPr>
            <w:r w:rsidRPr="00600F77">
              <w:t>-</w:t>
            </w:r>
          </w:p>
        </w:tc>
        <w:tc>
          <w:tcPr>
            <w:tcW w:w="617" w:type="pct"/>
            <w:tcBorders>
              <w:top w:val="single" w:sz="2" w:space="0" w:color="020A09"/>
              <w:left w:val="nil"/>
              <w:bottom w:val="single" w:sz="2" w:space="0" w:color="020A09"/>
              <w:right w:val="nil"/>
            </w:tcBorders>
          </w:tcPr>
          <w:p w14:paraId="0899EB60" w14:textId="77777777" w:rsidR="009103CC" w:rsidRDefault="009103CC" w:rsidP="002718DF">
            <w:pPr>
              <w:pStyle w:val="Tabletext"/>
              <w:jc w:val="right"/>
            </w:pPr>
            <w:r w:rsidRPr="00600F77">
              <w:t>3,884</w:t>
            </w:r>
          </w:p>
        </w:tc>
      </w:tr>
      <w:tr w:rsidR="009103CC" w14:paraId="5713CDA2" w14:textId="77777777" w:rsidTr="002718DF">
        <w:trPr>
          <w:cantSplit/>
          <w:trHeight w:hRule="exact" w:val="332"/>
        </w:trPr>
        <w:tc>
          <w:tcPr>
            <w:tcW w:w="2057" w:type="pct"/>
            <w:tcBorders>
              <w:top w:val="single" w:sz="2" w:space="0" w:color="020A09"/>
              <w:left w:val="nil"/>
              <w:bottom w:val="single" w:sz="2" w:space="0" w:color="020A09"/>
              <w:right w:val="nil"/>
            </w:tcBorders>
          </w:tcPr>
          <w:p w14:paraId="30FE15D6" w14:textId="77777777" w:rsidR="009103CC" w:rsidRDefault="009103CC" w:rsidP="002718DF">
            <w:pPr>
              <w:pStyle w:val="Tabletext"/>
            </w:pPr>
          </w:p>
        </w:tc>
        <w:tc>
          <w:tcPr>
            <w:tcW w:w="536" w:type="pct"/>
            <w:tcBorders>
              <w:top w:val="single" w:sz="2" w:space="0" w:color="020A09"/>
              <w:left w:val="nil"/>
              <w:bottom w:val="single" w:sz="2" w:space="0" w:color="020A09"/>
              <w:right w:val="nil"/>
            </w:tcBorders>
          </w:tcPr>
          <w:p w14:paraId="1E987402" w14:textId="77777777" w:rsidR="009103CC" w:rsidRDefault="009103CC" w:rsidP="002718DF">
            <w:pPr>
              <w:pStyle w:val="Tabletext"/>
            </w:pPr>
          </w:p>
        </w:tc>
        <w:tc>
          <w:tcPr>
            <w:tcW w:w="593" w:type="pct"/>
            <w:tcBorders>
              <w:top w:val="single" w:sz="2" w:space="0" w:color="020A09"/>
              <w:left w:val="nil"/>
              <w:bottom w:val="single" w:sz="2" w:space="0" w:color="020A09"/>
              <w:right w:val="nil"/>
            </w:tcBorders>
          </w:tcPr>
          <w:p w14:paraId="59A72C38" w14:textId="77777777" w:rsidR="009103CC" w:rsidRPr="00600F77" w:rsidRDefault="009103CC" w:rsidP="002718DF">
            <w:pPr>
              <w:pStyle w:val="Tabletext"/>
              <w:jc w:val="right"/>
            </w:pPr>
            <w:r w:rsidRPr="00600F77">
              <w:t>-</w:t>
            </w:r>
          </w:p>
        </w:tc>
        <w:tc>
          <w:tcPr>
            <w:tcW w:w="625" w:type="pct"/>
            <w:tcBorders>
              <w:top w:val="single" w:sz="2" w:space="0" w:color="020A09"/>
              <w:left w:val="nil"/>
              <w:bottom w:val="single" w:sz="2" w:space="0" w:color="020A09"/>
              <w:right w:val="nil"/>
            </w:tcBorders>
          </w:tcPr>
          <w:p w14:paraId="7D5842B9" w14:textId="77777777" w:rsidR="009103CC" w:rsidRDefault="009103CC" w:rsidP="002718DF">
            <w:pPr>
              <w:pStyle w:val="Tabletext"/>
              <w:jc w:val="right"/>
            </w:pPr>
            <w:r w:rsidRPr="00600F77">
              <w:t>1,826,939</w:t>
            </w:r>
          </w:p>
        </w:tc>
        <w:tc>
          <w:tcPr>
            <w:tcW w:w="572" w:type="pct"/>
            <w:tcBorders>
              <w:top w:val="single" w:sz="2" w:space="0" w:color="020A09"/>
              <w:left w:val="nil"/>
              <w:bottom w:val="single" w:sz="2" w:space="0" w:color="020A09"/>
              <w:right w:val="nil"/>
            </w:tcBorders>
          </w:tcPr>
          <w:p w14:paraId="3E04A001" w14:textId="77777777" w:rsidR="009103CC" w:rsidRPr="00600F77" w:rsidRDefault="009103CC" w:rsidP="002718DF">
            <w:pPr>
              <w:pStyle w:val="Tabletext"/>
              <w:jc w:val="right"/>
            </w:pPr>
            <w:r w:rsidRPr="00600F77">
              <w:t>380,963</w:t>
            </w:r>
          </w:p>
        </w:tc>
        <w:tc>
          <w:tcPr>
            <w:tcW w:w="617" w:type="pct"/>
            <w:tcBorders>
              <w:top w:val="single" w:sz="2" w:space="0" w:color="020A09"/>
              <w:left w:val="nil"/>
              <w:bottom w:val="single" w:sz="2" w:space="0" w:color="020A09"/>
              <w:right w:val="nil"/>
            </w:tcBorders>
          </w:tcPr>
          <w:p w14:paraId="527B1650" w14:textId="77777777" w:rsidR="009103CC" w:rsidRDefault="009103CC" w:rsidP="002718DF">
            <w:pPr>
              <w:pStyle w:val="Tabletext"/>
              <w:jc w:val="right"/>
            </w:pPr>
            <w:r w:rsidRPr="00600F77">
              <w:t>2,207,902</w:t>
            </w:r>
          </w:p>
        </w:tc>
      </w:tr>
    </w:tbl>
    <w:p w14:paraId="2DC4A023" w14:textId="77777777" w:rsidR="009103CC" w:rsidRPr="00103914" w:rsidRDefault="009103CC" w:rsidP="009103CC">
      <w:pPr>
        <w:pStyle w:val="Tabletext"/>
      </w:pPr>
    </w:p>
    <w:p w14:paraId="6B4021D9" w14:textId="77777777" w:rsidR="009103CC" w:rsidRPr="00DF0BE6" w:rsidRDefault="009103CC" w:rsidP="009103CC">
      <w:pPr>
        <w:pStyle w:val="ARbody"/>
        <w:rPr>
          <w:rFonts w:cs="Preston"/>
        </w:rPr>
      </w:pPr>
      <w:r w:rsidRPr="00DF0BE6">
        <w:rPr>
          <w:rFonts w:cs="Preston"/>
        </w:rPr>
        <w:t xml:space="preserve">The Gallery's land, comprising 2B Art Gallery Road, Sydney and 2-4 Raper Street, Surry Hills, was revalued in 2021 by a certified practicing valuer. The resulting increase of $1.5 million in value was recorded in the asset revaluation reserve in the current year. </w:t>
      </w:r>
    </w:p>
    <w:p w14:paraId="165F7872" w14:textId="77777777" w:rsidR="009103CC" w:rsidRPr="00DF0BE6" w:rsidRDefault="009103CC" w:rsidP="009103CC">
      <w:pPr>
        <w:pStyle w:val="ARbody"/>
        <w:rPr>
          <w:rFonts w:cs="Preston"/>
        </w:rPr>
      </w:pPr>
      <w:r w:rsidRPr="00DF0BE6">
        <w:rPr>
          <w:rFonts w:cs="Preston"/>
        </w:rPr>
        <w:t xml:space="preserve">Buildings were revalued in March of 2019 by a certified practising valuer. The resulting increase in value was recorded in the asset revaluation reserve in 2019. </w:t>
      </w:r>
    </w:p>
    <w:p w14:paraId="679C7591" w14:textId="77777777" w:rsidR="009103CC" w:rsidRPr="00DF0BE6" w:rsidRDefault="009103CC" w:rsidP="009103CC">
      <w:pPr>
        <w:pStyle w:val="ARbody"/>
        <w:rPr>
          <w:rFonts w:cs="Preston"/>
        </w:rPr>
      </w:pPr>
      <w:r w:rsidRPr="00DF0BE6">
        <w:rPr>
          <w:rFonts w:cs="Preston"/>
        </w:rPr>
        <w:t xml:space="preserve">The library collection was revalued in 2020 at fair value by Mr. Simon Taaffe, accredited valuer for the Australian Government's Cultural Gifts Program. The increase in value of $14.5 million was recorded in the asset revaluation reserve in 2020. </w:t>
      </w:r>
    </w:p>
    <w:p w14:paraId="785738CE" w14:textId="77777777" w:rsidR="009103CC" w:rsidRPr="00DF0BE6" w:rsidRDefault="009103CC" w:rsidP="009103CC">
      <w:pPr>
        <w:pStyle w:val="ARbody"/>
        <w:rPr>
          <w:rFonts w:cs="Preston"/>
        </w:rPr>
      </w:pPr>
      <w:r w:rsidRPr="00DF0BE6">
        <w:rPr>
          <w:rFonts w:cs="Preston"/>
        </w:rPr>
        <w:t xml:space="preserve">The art collection was revalued in 2020 by Mr. Simon Storey Valuers who have provided valuations for the National Gallery Australia, National Gallery Victoria, and the Museum of Contemporary Art Australia, amongst others. The increase in value of $371 million was recorded in the asset revaluation reserve in 2020. A portion of the collection, previously classed as Level 3 under the fair value hierarchy, was reclassified to Level 2 during the prior year's revaluation process. Level 2 inputs are inputs other than quoted market prices and include prices that can be corroberated by observable market data such as quoted prices for similar assets in active markets. Level 3 inputs are unobservable inputs for the asset or liability. </w:t>
      </w:r>
    </w:p>
    <w:p w14:paraId="452B1DB6" w14:textId="77777777" w:rsidR="009103CC" w:rsidRPr="00DF0BE6" w:rsidRDefault="009103CC" w:rsidP="009103CC">
      <w:pPr>
        <w:pStyle w:val="ARbody"/>
        <w:rPr>
          <w:rFonts w:cs="Preston"/>
        </w:rPr>
      </w:pPr>
      <w:r w:rsidRPr="00DF0BE6">
        <w:rPr>
          <w:rFonts w:cs="Preston"/>
        </w:rPr>
        <w:t xml:space="preserve">A comprehensive valuation on property, plant and equipment is conducted by an external professionally qualified valuer every 3 or 5 years. </w:t>
      </w:r>
    </w:p>
    <w:p w14:paraId="221FB818" w14:textId="77777777" w:rsidR="009103CC" w:rsidRDefault="009103CC" w:rsidP="009103CC">
      <w:pPr>
        <w:pStyle w:val="ARbody"/>
        <w:rPr>
          <w:rFonts w:cs="Preston"/>
        </w:rPr>
      </w:pPr>
      <w:r w:rsidRPr="00DF0BE6">
        <w:rPr>
          <w:rFonts w:cs="Preston"/>
        </w:rPr>
        <w:t>In between comprehensive revaluations the Gallery conducts interim revaluations to determine whether fair value may differ materially from carrying value. For land and buildings, indexation factors are obtained from NSW Valuer-General. For the artwork and library collections desktop valuations are performed by the Gallery's internal experts.</w:t>
      </w:r>
    </w:p>
    <w:tbl>
      <w:tblPr>
        <w:tblW w:w="5000" w:type="pct"/>
        <w:tblCellMar>
          <w:left w:w="0" w:type="dxa"/>
          <w:right w:w="0" w:type="dxa"/>
        </w:tblCellMar>
        <w:tblLook w:val="01E0" w:firstRow="1" w:lastRow="1" w:firstColumn="1" w:lastColumn="1" w:noHBand="0" w:noVBand="0"/>
        <w:tblCaption w:val="Reconcilation of level 3 fair value measurements"/>
        <w:tblDescription w:val="This table provides figures for building and collections for 2020 and 2021."/>
      </w:tblPr>
      <w:tblGrid>
        <w:gridCol w:w="4897"/>
        <w:gridCol w:w="1275"/>
        <w:gridCol w:w="1411"/>
        <w:gridCol w:w="1487"/>
      </w:tblGrid>
      <w:tr w:rsidR="009103CC" w:rsidRPr="00345E5B" w14:paraId="5D8B16F8" w14:textId="77777777" w:rsidTr="002718DF">
        <w:trPr>
          <w:cantSplit/>
          <w:trHeight w:hRule="exact" w:val="569"/>
          <w:tblHeader/>
        </w:trPr>
        <w:tc>
          <w:tcPr>
            <w:tcW w:w="2699" w:type="pct"/>
            <w:tcBorders>
              <w:left w:val="nil"/>
              <w:bottom w:val="single" w:sz="4" w:space="0" w:color="auto"/>
              <w:right w:val="nil"/>
            </w:tcBorders>
          </w:tcPr>
          <w:p w14:paraId="35E6368E" w14:textId="77777777" w:rsidR="009103CC" w:rsidRPr="00345E5B" w:rsidRDefault="009103CC" w:rsidP="002718DF">
            <w:pPr>
              <w:pStyle w:val="Tabletext"/>
              <w:rPr>
                <w:b/>
                <w:bCs/>
              </w:rPr>
            </w:pPr>
            <w:r w:rsidRPr="00345E5B">
              <w:rPr>
                <w:b/>
                <w:bCs/>
              </w:rPr>
              <w:t>Reconciliation of recurring Level 3 fair value measurements</w:t>
            </w:r>
          </w:p>
        </w:tc>
        <w:tc>
          <w:tcPr>
            <w:tcW w:w="703" w:type="pct"/>
            <w:tcBorders>
              <w:left w:val="nil"/>
              <w:bottom w:val="single" w:sz="4" w:space="0" w:color="auto"/>
              <w:right w:val="nil"/>
            </w:tcBorders>
          </w:tcPr>
          <w:p w14:paraId="5BC7A426" w14:textId="77777777" w:rsidR="009103CC" w:rsidRPr="00345E5B" w:rsidRDefault="009103CC" w:rsidP="002718DF">
            <w:pPr>
              <w:pStyle w:val="Tabletext"/>
              <w:rPr>
                <w:b/>
                <w:bCs/>
              </w:rPr>
            </w:pPr>
          </w:p>
        </w:tc>
        <w:tc>
          <w:tcPr>
            <w:tcW w:w="778" w:type="pct"/>
            <w:tcBorders>
              <w:left w:val="nil"/>
              <w:bottom w:val="single" w:sz="4" w:space="0" w:color="auto"/>
              <w:right w:val="nil"/>
            </w:tcBorders>
          </w:tcPr>
          <w:p w14:paraId="14F13959" w14:textId="77777777" w:rsidR="009103CC" w:rsidRPr="00345E5B" w:rsidRDefault="009103CC" w:rsidP="002718DF">
            <w:pPr>
              <w:pStyle w:val="Tabletext"/>
              <w:jc w:val="right"/>
              <w:rPr>
                <w:b/>
                <w:bCs/>
              </w:rPr>
            </w:pPr>
            <w:r w:rsidRPr="00345E5B">
              <w:rPr>
                <w:b/>
                <w:bCs/>
              </w:rPr>
              <w:t>Building</w:t>
            </w:r>
          </w:p>
          <w:p w14:paraId="0531C242" w14:textId="77777777" w:rsidR="009103CC" w:rsidRPr="00345E5B" w:rsidRDefault="009103CC" w:rsidP="002718DF">
            <w:pPr>
              <w:pStyle w:val="Tabletext"/>
              <w:jc w:val="right"/>
              <w:rPr>
                <w:b/>
                <w:bCs/>
              </w:rPr>
            </w:pPr>
            <w:r w:rsidRPr="00345E5B">
              <w:rPr>
                <w:b/>
                <w:bCs/>
              </w:rPr>
              <w:t>$’000</w:t>
            </w:r>
          </w:p>
        </w:tc>
        <w:tc>
          <w:tcPr>
            <w:tcW w:w="820" w:type="pct"/>
            <w:tcBorders>
              <w:left w:val="nil"/>
              <w:bottom w:val="single" w:sz="4" w:space="0" w:color="auto"/>
              <w:right w:val="nil"/>
            </w:tcBorders>
          </w:tcPr>
          <w:p w14:paraId="60F616EC" w14:textId="77777777" w:rsidR="009103CC" w:rsidRPr="00345E5B" w:rsidRDefault="009103CC" w:rsidP="002718DF">
            <w:pPr>
              <w:pStyle w:val="Tabletext"/>
              <w:jc w:val="right"/>
              <w:rPr>
                <w:b/>
                <w:bCs/>
              </w:rPr>
            </w:pPr>
            <w:r w:rsidRPr="00345E5B">
              <w:rPr>
                <w:b/>
                <w:bCs/>
              </w:rPr>
              <w:t>Collections</w:t>
            </w:r>
          </w:p>
          <w:p w14:paraId="5BDA375F" w14:textId="77777777" w:rsidR="009103CC" w:rsidRPr="00345E5B" w:rsidRDefault="009103CC" w:rsidP="002718DF">
            <w:pPr>
              <w:pStyle w:val="Tabletext"/>
              <w:jc w:val="right"/>
              <w:rPr>
                <w:b/>
                <w:bCs/>
              </w:rPr>
            </w:pPr>
            <w:r w:rsidRPr="00345E5B">
              <w:rPr>
                <w:b/>
                <w:bCs/>
              </w:rPr>
              <w:t>$’000</w:t>
            </w:r>
          </w:p>
        </w:tc>
      </w:tr>
      <w:tr w:rsidR="009103CC" w:rsidRPr="00345E5B" w14:paraId="72FD972D" w14:textId="77777777" w:rsidTr="002718DF">
        <w:trPr>
          <w:cantSplit/>
          <w:trHeight w:hRule="exact" w:val="317"/>
        </w:trPr>
        <w:tc>
          <w:tcPr>
            <w:tcW w:w="2699" w:type="pct"/>
            <w:tcBorders>
              <w:top w:val="single" w:sz="4" w:space="0" w:color="auto"/>
              <w:left w:val="nil"/>
              <w:bottom w:val="single" w:sz="2" w:space="0" w:color="020A09"/>
              <w:right w:val="nil"/>
            </w:tcBorders>
          </w:tcPr>
          <w:p w14:paraId="3BFD11AB" w14:textId="77777777" w:rsidR="009103CC" w:rsidRPr="00345E5B" w:rsidRDefault="009103CC" w:rsidP="002718DF">
            <w:pPr>
              <w:pStyle w:val="Tabletext"/>
              <w:rPr>
                <w:b/>
                <w:bCs/>
              </w:rPr>
            </w:pPr>
            <w:r w:rsidRPr="00345E5B">
              <w:rPr>
                <w:b/>
                <w:bCs/>
              </w:rPr>
              <w:t>2020</w:t>
            </w:r>
          </w:p>
        </w:tc>
        <w:tc>
          <w:tcPr>
            <w:tcW w:w="703" w:type="pct"/>
            <w:tcBorders>
              <w:top w:val="single" w:sz="4" w:space="0" w:color="auto"/>
              <w:left w:val="nil"/>
              <w:bottom w:val="single" w:sz="2" w:space="0" w:color="020A09"/>
              <w:right w:val="nil"/>
            </w:tcBorders>
          </w:tcPr>
          <w:p w14:paraId="769BA456" w14:textId="77777777" w:rsidR="009103CC" w:rsidRPr="00345E5B" w:rsidRDefault="009103CC" w:rsidP="002718DF">
            <w:pPr>
              <w:pStyle w:val="Tabletext"/>
              <w:rPr>
                <w:b/>
                <w:bCs/>
              </w:rPr>
            </w:pPr>
          </w:p>
        </w:tc>
        <w:tc>
          <w:tcPr>
            <w:tcW w:w="778" w:type="pct"/>
            <w:tcBorders>
              <w:top w:val="single" w:sz="4" w:space="0" w:color="auto"/>
              <w:left w:val="nil"/>
              <w:bottom w:val="single" w:sz="2" w:space="0" w:color="020A09"/>
              <w:right w:val="nil"/>
            </w:tcBorders>
          </w:tcPr>
          <w:p w14:paraId="4BFC6191" w14:textId="77777777" w:rsidR="009103CC" w:rsidRPr="00345E5B" w:rsidRDefault="009103CC" w:rsidP="002718DF">
            <w:pPr>
              <w:pStyle w:val="Tabletext"/>
              <w:jc w:val="right"/>
              <w:rPr>
                <w:b/>
                <w:bCs/>
              </w:rPr>
            </w:pPr>
          </w:p>
        </w:tc>
        <w:tc>
          <w:tcPr>
            <w:tcW w:w="820" w:type="pct"/>
            <w:tcBorders>
              <w:top w:val="single" w:sz="4" w:space="0" w:color="auto"/>
              <w:left w:val="nil"/>
              <w:bottom w:val="single" w:sz="2" w:space="0" w:color="020A09"/>
              <w:right w:val="nil"/>
            </w:tcBorders>
          </w:tcPr>
          <w:p w14:paraId="2C37C7ED" w14:textId="77777777" w:rsidR="009103CC" w:rsidRPr="00345E5B" w:rsidRDefault="009103CC" w:rsidP="002718DF">
            <w:pPr>
              <w:pStyle w:val="Tabletext"/>
              <w:jc w:val="right"/>
              <w:rPr>
                <w:b/>
                <w:bCs/>
              </w:rPr>
            </w:pPr>
          </w:p>
        </w:tc>
      </w:tr>
      <w:tr w:rsidR="009103CC" w:rsidRPr="00345E5B" w14:paraId="5A01FA91" w14:textId="77777777" w:rsidTr="002718DF">
        <w:trPr>
          <w:cantSplit/>
          <w:trHeight w:hRule="exact" w:val="332"/>
        </w:trPr>
        <w:tc>
          <w:tcPr>
            <w:tcW w:w="2699" w:type="pct"/>
            <w:tcBorders>
              <w:top w:val="single" w:sz="2" w:space="0" w:color="020A09"/>
              <w:left w:val="nil"/>
              <w:bottom w:val="single" w:sz="2" w:space="0" w:color="020A09"/>
              <w:right w:val="nil"/>
            </w:tcBorders>
          </w:tcPr>
          <w:p w14:paraId="059D8F83" w14:textId="77777777" w:rsidR="009103CC" w:rsidRPr="00345E5B" w:rsidRDefault="009103CC" w:rsidP="002718DF">
            <w:pPr>
              <w:pStyle w:val="Tabletext"/>
            </w:pPr>
            <w:r w:rsidRPr="00345E5B">
              <w:t>Fair value as at 1 July 2019</w:t>
            </w:r>
          </w:p>
        </w:tc>
        <w:tc>
          <w:tcPr>
            <w:tcW w:w="703" w:type="pct"/>
            <w:tcBorders>
              <w:top w:val="single" w:sz="2" w:space="0" w:color="020A09"/>
              <w:left w:val="nil"/>
              <w:bottom w:val="single" w:sz="2" w:space="0" w:color="020A09"/>
              <w:right w:val="nil"/>
            </w:tcBorders>
          </w:tcPr>
          <w:p w14:paraId="0897594E" w14:textId="77777777" w:rsidR="009103CC" w:rsidRPr="00345E5B" w:rsidRDefault="009103CC" w:rsidP="002718DF">
            <w:pPr>
              <w:pStyle w:val="Tabletext"/>
            </w:pPr>
          </w:p>
        </w:tc>
        <w:tc>
          <w:tcPr>
            <w:tcW w:w="778" w:type="pct"/>
            <w:tcBorders>
              <w:top w:val="single" w:sz="2" w:space="0" w:color="020A09"/>
              <w:left w:val="nil"/>
              <w:bottom w:val="single" w:sz="2" w:space="0" w:color="020A09"/>
              <w:right w:val="nil"/>
            </w:tcBorders>
          </w:tcPr>
          <w:p w14:paraId="3149A81B" w14:textId="77777777" w:rsidR="009103CC" w:rsidRPr="00345E5B" w:rsidRDefault="009103CC" w:rsidP="002718DF">
            <w:pPr>
              <w:pStyle w:val="Tabletext"/>
              <w:jc w:val="right"/>
            </w:pPr>
            <w:r w:rsidRPr="00345E5B">
              <w:t>239,313</w:t>
            </w:r>
          </w:p>
        </w:tc>
        <w:tc>
          <w:tcPr>
            <w:tcW w:w="820" w:type="pct"/>
            <w:tcBorders>
              <w:top w:val="single" w:sz="2" w:space="0" w:color="020A09"/>
              <w:left w:val="nil"/>
              <w:bottom w:val="single" w:sz="2" w:space="0" w:color="020A09"/>
              <w:right w:val="nil"/>
            </w:tcBorders>
          </w:tcPr>
          <w:p w14:paraId="71C2D212" w14:textId="77777777" w:rsidR="009103CC" w:rsidRPr="00345E5B" w:rsidRDefault="009103CC" w:rsidP="002718DF">
            <w:pPr>
              <w:pStyle w:val="Tabletext"/>
              <w:jc w:val="right"/>
            </w:pPr>
            <w:r w:rsidRPr="00345E5B">
              <w:t>88,165</w:t>
            </w:r>
          </w:p>
        </w:tc>
      </w:tr>
      <w:tr w:rsidR="009103CC" w:rsidRPr="00345E5B" w14:paraId="079E935C" w14:textId="77777777" w:rsidTr="002718DF">
        <w:trPr>
          <w:cantSplit/>
          <w:trHeight w:hRule="exact" w:val="332"/>
        </w:trPr>
        <w:tc>
          <w:tcPr>
            <w:tcW w:w="2699" w:type="pct"/>
            <w:tcBorders>
              <w:top w:val="single" w:sz="2" w:space="0" w:color="020A09"/>
              <w:left w:val="nil"/>
              <w:bottom w:val="single" w:sz="2" w:space="0" w:color="020A09"/>
              <w:right w:val="nil"/>
            </w:tcBorders>
          </w:tcPr>
          <w:p w14:paraId="18F67A99" w14:textId="77777777" w:rsidR="009103CC" w:rsidRPr="00345E5B" w:rsidRDefault="009103CC" w:rsidP="002718DF">
            <w:pPr>
              <w:pStyle w:val="Tabletext"/>
            </w:pPr>
            <w:r w:rsidRPr="00345E5B">
              <w:t>Additions</w:t>
            </w:r>
          </w:p>
        </w:tc>
        <w:tc>
          <w:tcPr>
            <w:tcW w:w="703" w:type="pct"/>
            <w:tcBorders>
              <w:top w:val="single" w:sz="2" w:space="0" w:color="020A09"/>
              <w:left w:val="nil"/>
              <w:bottom w:val="single" w:sz="2" w:space="0" w:color="020A09"/>
              <w:right w:val="nil"/>
            </w:tcBorders>
          </w:tcPr>
          <w:p w14:paraId="42CA04F7" w14:textId="77777777" w:rsidR="009103CC" w:rsidRPr="00345E5B" w:rsidRDefault="009103CC" w:rsidP="002718DF">
            <w:pPr>
              <w:pStyle w:val="Tabletext"/>
            </w:pPr>
          </w:p>
        </w:tc>
        <w:tc>
          <w:tcPr>
            <w:tcW w:w="778" w:type="pct"/>
            <w:tcBorders>
              <w:top w:val="single" w:sz="2" w:space="0" w:color="020A09"/>
              <w:left w:val="nil"/>
              <w:bottom w:val="single" w:sz="2" w:space="0" w:color="020A09"/>
              <w:right w:val="nil"/>
            </w:tcBorders>
          </w:tcPr>
          <w:p w14:paraId="5B2D5936" w14:textId="77777777" w:rsidR="009103CC" w:rsidRPr="00345E5B" w:rsidRDefault="009103CC" w:rsidP="002718DF">
            <w:pPr>
              <w:pStyle w:val="Tabletext"/>
              <w:jc w:val="right"/>
            </w:pPr>
            <w:r w:rsidRPr="00345E5B">
              <w:t>45,930</w:t>
            </w:r>
          </w:p>
        </w:tc>
        <w:tc>
          <w:tcPr>
            <w:tcW w:w="820" w:type="pct"/>
            <w:tcBorders>
              <w:top w:val="single" w:sz="2" w:space="0" w:color="020A09"/>
              <w:left w:val="nil"/>
              <w:bottom w:val="single" w:sz="2" w:space="0" w:color="020A09"/>
              <w:right w:val="nil"/>
            </w:tcBorders>
          </w:tcPr>
          <w:p w14:paraId="75C45284" w14:textId="77777777" w:rsidR="009103CC" w:rsidRPr="00345E5B" w:rsidRDefault="009103CC" w:rsidP="002718DF">
            <w:pPr>
              <w:pStyle w:val="Tabletext"/>
              <w:jc w:val="right"/>
            </w:pPr>
            <w:r w:rsidRPr="00345E5B">
              <w:t>-</w:t>
            </w:r>
          </w:p>
        </w:tc>
      </w:tr>
      <w:tr w:rsidR="009103CC" w:rsidRPr="00345E5B" w14:paraId="6AB3A9E8" w14:textId="77777777" w:rsidTr="002718DF">
        <w:trPr>
          <w:cantSplit/>
          <w:trHeight w:hRule="exact" w:val="332"/>
        </w:trPr>
        <w:tc>
          <w:tcPr>
            <w:tcW w:w="2699" w:type="pct"/>
            <w:tcBorders>
              <w:top w:val="single" w:sz="2" w:space="0" w:color="020A09"/>
              <w:left w:val="nil"/>
              <w:bottom w:val="single" w:sz="2" w:space="0" w:color="020A09"/>
              <w:right w:val="nil"/>
            </w:tcBorders>
          </w:tcPr>
          <w:p w14:paraId="6987D835" w14:textId="77777777" w:rsidR="009103CC" w:rsidRPr="00345E5B" w:rsidRDefault="009103CC" w:rsidP="002718DF">
            <w:pPr>
              <w:pStyle w:val="Tabletext"/>
            </w:pPr>
            <w:r w:rsidRPr="00345E5B">
              <w:t>Transfers to Level 2</w:t>
            </w:r>
          </w:p>
        </w:tc>
        <w:tc>
          <w:tcPr>
            <w:tcW w:w="703" w:type="pct"/>
            <w:tcBorders>
              <w:top w:val="single" w:sz="2" w:space="0" w:color="020A09"/>
              <w:left w:val="nil"/>
              <w:bottom w:val="single" w:sz="2" w:space="0" w:color="020A09"/>
              <w:right w:val="nil"/>
            </w:tcBorders>
          </w:tcPr>
          <w:p w14:paraId="1B7E5467" w14:textId="77777777" w:rsidR="009103CC" w:rsidRPr="00345E5B" w:rsidRDefault="009103CC" w:rsidP="002718DF">
            <w:pPr>
              <w:pStyle w:val="Tabletext"/>
            </w:pPr>
          </w:p>
        </w:tc>
        <w:tc>
          <w:tcPr>
            <w:tcW w:w="778" w:type="pct"/>
            <w:tcBorders>
              <w:top w:val="single" w:sz="2" w:space="0" w:color="020A09"/>
              <w:left w:val="nil"/>
              <w:bottom w:val="single" w:sz="2" w:space="0" w:color="020A09"/>
              <w:right w:val="nil"/>
            </w:tcBorders>
          </w:tcPr>
          <w:p w14:paraId="5878C384" w14:textId="77777777" w:rsidR="009103CC" w:rsidRPr="00345E5B" w:rsidRDefault="009103CC" w:rsidP="002718DF">
            <w:pPr>
              <w:pStyle w:val="Tabletext"/>
              <w:jc w:val="right"/>
            </w:pPr>
            <w:r w:rsidRPr="00345E5B">
              <w:t>-</w:t>
            </w:r>
          </w:p>
        </w:tc>
        <w:tc>
          <w:tcPr>
            <w:tcW w:w="820" w:type="pct"/>
            <w:tcBorders>
              <w:top w:val="single" w:sz="2" w:space="0" w:color="020A09"/>
              <w:left w:val="nil"/>
              <w:bottom w:val="single" w:sz="2" w:space="0" w:color="020A09"/>
              <w:right w:val="nil"/>
            </w:tcBorders>
          </w:tcPr>
          <w:p w14:paraId="2BF17F76" w14:textId="77777777" w:rsidR="009103CC" w:rsidRPr="00345E5B" w:rsidRDefault="009103CC" w:rsidP="002718DF">
            <w:pPr>
              <w:pStyle w:val="Tabletext"/>
              <w:jc w:val="right"/>
            </w:pPr>
            <w:r w:rsidRPr="00345E5B">
              <w:t>(79,799)</w:t>
            </w:r>
          </w:p>
        </w:tc>
      </w:tr>
      <w:tr w:rsidR="009103CC" w:rsidRPr="00345E5B" w14:paraId="783A91E3" w14:textId="77777777" w:rsidTr="002718DF">
        <w:trPr>
          <w:cantSplit/>
          <w:trHeight w:hRule="exact" w:val="332"/>
        </w:trPr>
        <w:tc>
          <w:tcPr>
            <w:tcW w:w="2699" w:type="pct"/>
            <w:tcBorders>
              <w:top w:val="single" w:sz="2" w:space="0" w:color="020A09"/>
              <w:left w:val="nil"/>
              <w:bottom w:val="single" w:sz="2" w:space="0" w:color="020A09"/>
              <w:right w:val="nil"/>
            </w:tcBorders>
          </w:tcPr>
          <w:p w14:paraId="098A1389" w14:textId="77777777" w:rsidR="009103CC" w:rsidRPr="00345E5B" w:rsidRDefault="009103CC" w:rsidP="002718DF">
            <w:pPr>
              <w:pStyle w:val="Tabletext"/>
            </w:pPr>
            <w:r w:rsidRPr="00345E5B">
              <w:t>Depreciation expenses</w:t>
            </w:r>
          </w:p>
        </w:tc>
        <w:tc>
          <w:tcPr>
            <w:tcW w:w="703" w:type="pct"/>
            <w:tcBorders>
              <w:top w:val="single" w:sz="2" w:space="0" w:color="020A09"/>
              <w:left w:val="nil"/>
              <w:bottom w:val="single" w:sz="2" w:space="0" w:color="020A09"/>
              <w:right w:val="nil"/>
            </w:tcBorders>
          </w:tcPr>
          <w:p w14:paraId="111C119D" w14:textId="77777777" w:rsidR="009103CC" w:rsidRPr="00345E5B" w:rsidRDefault="009103CC" w:rsidP="002718DF">
            <w:pPr>
              <w:pStyle w:val="Tabletext"/>
            </w:pPr>
          </w:p>
        </w:tc>
        <w:tc>
          <w:tcPr>
            <w:tcW w:w="778" w:type="pct"/>
            <w:tcBorders>
              <w:top w:val="single" w:sz="2" w:space="0" w:color="020A09"/>
              <w:left w:val="nil"/>
              <w:bottom w:val="single" w:sz="2" w:space="0" w:color="020A09"/>
              <w:right w:val="nil"/>
            </w:tcBorders>
          </w:tcPr>
          <w:p w14:paraId="7CDC7944" w14:textId="77777777" w:rsidR="009103CC" w:rsidRPr="00345E5B" w:rsidRDefault="009103CC" w:rsidP="002718DF">
            <w:pPr>
              <w:pStyle w:val="Tabletext"/>
              <w:jc w:val="right"/>
            </w:pPr>
            <w:r w:rsidRPr="00345E5B">
              <w:t>(3,703)</w:t>
            </w:r>
          </w:p>
        </w:tc>
        <w:tc>
          <w:tcPr>
            <w:tcW w:w="820" w:type="pct"/>
            <w:tcBorders>
              <w:top w:val="single" w:sz="2" w:space="0" w:color="020A09"/>
              <w:left w:val="nil"/>
              <w:bottom w:val="single" w:sz="2" w:space="0" w:color="020A09"/>
              <w:right w:val="nil"/>
            </w:tcBorders>
          </w:tcPr>
          <w:p w14:paraId="31251F9D" w14:textId="77777777" w:rsidR="009103CC" w:rsidRPr="00345E5B" w:rsidRDefault="009103CC" w:rsidP="002718DF">
            <w:pPr>
              <w:pStyle w:val="Tabletext"/>
              <w:jc w:val="right"/>
            </w:pPr>
            <w:r w:rsidRPr="00345E5B">
              <w:t>-</w:t>
            </w:r>
          </w:p>
        </w:tc>
      </w:tr>
      <w:tr w:rsidR="009103CC" w:rsidRPr="00345E5B" w14:paraId="133E7C48" w14:textId="77777777" w:rsidTr="002718DF">
        <w:trPr>
          <w:cantSplit/>
          <w:trHeight w:hRule="exact" w:val="332"/>
        </w:trPr>
        <w:tc>
          <w:tcPr>
            <w:tcW w:w="2699" w:type="pct"/>
            <w:tcBorders>
              <w:top w:val="single" w:sz="2" w:space="0" w:color="020A09"/>
              <w:left w:val="nil"/>
              <w:bottom w:val="single" w:sz="2" w:space="0" w:color="020A09"/>
              <w:right w:val="nil"/>
            </w:tcBorders>
          </w:tcPr>
          <w:p w14:paraId="79FBB915" w14:textId="77777777" w:rsidR="009103CC" w:rsidRPr="00345E5B" w:rsidRDefault="009103CC" w:rsidP="002718DF">
            <w:pPr>
              <w:pStyle w:val="Tabletext"/>
            </w:pPr>
            <w:r w:rsidRPr="00345E5B">
              <w:t>Fair value as at 30 June 2020</w:t>
            </w:r>
          </w:p>
        </w:tc>
        <w:tc>
          <w:tcPr>
            <w:tcW w:w="703" w:type="pct"/>
            <w:tcBorders>
              <w:top w:val="single" w:sz="2" w:space="0" w:color="020A09"/>
              <w:left w:val="nil"/>
              <w:bottom w:val="single" w:sz="2" w:space="0" w:color="020A09"/>
              <w:right w:val="nil"/>
            </w:tcBorders>
          </w:tcPr>
          <w:p w14:paraId="48F85224" w14:textId="77777777" w:rsidR="009103CC" w:rsidRPr="00345E5B" w:rsidRDefault="009103CC" w:rsidP="002718DF">
            <w:pPr>
              <w:pStyle w:val="Tabletext"/>
            </w:pPr>
          </w:p>
        </w:tc>
        <w:tc>
          <w:tcPr>
            <w:tcW w:w="778" w:type="pct"/>
            <w:tcBorders>
              <w:top w:val="single" w:sz="2" w:space="0" w:color="020A09"/>
              <w:left w:val="nil"/>
              <w:bottom w:val="single" w:sz="2" w:space="0" w:color="020A09"/>
              <w:right w:val="nil"/>
            </w:tcBorders>
          </w:tcPr>
          <w:p w14:paraId="7973FE20" w14:textId="77777777" w:rsidR="009103CC" w:rsidRPr="00345E5B" w:rsidRDefault="009103CC" w:rsidP="002718DF">
            <w:pPr>
              <w:pStyle w:val="Tabletext"/>
              <w:jc w:val="right"/>
            </w:pPr>
            <w:r w:rsidRPr="00345E5B">
              <w:t>281,540</w:t>
            </w:r>
          </w:p>
        </w:tc>
        <w:tc>
          <w:tcPr>
            <w:tcW w:w="820" w:type="pct"/>
            <w:tcBorders>
              <w:top w:val="single" w:sz="2" w:space="0" w:color="020A09"/>
              <w:left w:val="nil"/>
              <w:bottom w:val="single" w:sz="2" w:space="0" w:color="020A09"/>
              <w:right w:val="nil"/>
            </w:tcBorders>
          </w:tcPr>
          <w:p w14:paraId="71E903AA" w14:textId="77777777" w:rsidR="009103CC" w:rsidRPr="00345E5B" w:rsidRDefault="009103CC" w:rsidP="002718DF">
            <w:pPr>
              <w:pStyle w:val="Tabletext"/>
              <w:jc w:val="right"/>
            </w:pPr>
            <w:r w:rsidRPr="00345E5B">
              <w:t>8,366</w:t>
            </w:r>
          </w:p>
        </w:tc>
      </w:tr>
      <w:tr w:rsidR="009103CC" w:rsidRPr="00345E5B" w14:paraId="165185F1" w14:textId="77777777" w:rsidTr="002718DF">
        <w:trPr>
          <w:cantSplit/>
          <w:trHeight w:hRule="exact" w:val="317"/>
        </w:trPr>
        <w:tc>
          <w:tcPr>
            <w:tcW w:w="2699" w:type="pct"/>
            <w:tcBorders>
              <w:top w:val="nil"/>
              <w:left w:val="nil"/>
              <w:bottom w:val="single" w:sz="2" w:space="0" w:color="020A09"/>
              <w:right w:val="nil"/>
            </w:tcBorders>
          </w:tcPr>
          <w:p w14:paraId="5F32A2CE" w14:textId="77777777" w:rsidR="009103CC" w:rsidRPr="00345E5B" w:rsidRDefault="009103CC" w:rsidP="002718DF">
            <w:pPr>
              <w:pStyle w:val="Tabletext"/>
              <w:rPr>
                <w:b/>
                <w:bCs/>
              </w:rPr>
            </w:pPr>
            <w:r w:rsidRPr="00345E5B">
              <w:rPr>
                <w:b/>
                <w:bCs/>
              </w:rPr>
              <w:t>2021</w:t>
            </w:r>
          </w:p>
        </w:tc>
        <w:tc>
          <w:tcPr>
            <w:tcW w:w="703" w:type="pct"/>
            <w:tcBorders>
              <w:top w:val="nil"/>
              <w:left w:val="nil"/>
              <w:bottom w:val="single" w:sz="2" w:space="0" w:color="020A09"/>
              <w:right w:val="nil"/>
            </w:tcBorders>
          </w:tcPr>
          <w:p w14:paraId="349CB212" w14:textId="77777777" w:rsidR="009103CC" w:rsidRPr="00345E5B" w:rsidRDefault="009103CC" w:rsidP="002718DF">
            <w:pPr>
              <w:pStyle w:val="Tabletext"/>
              <w:rPr>
                <w:b/>
                <w:bCs/>
              </w:rPr>
            </w:pPr>
          </w:p>
        </w:tc>
        <w:tc>
          <w:tcPr>
            <w:tcW w:w="778" w:type="pct"/>
            <w:tcBorders>
              <w:top w:val="nil"/>
              <w:left w:val="nil"/>
              <w:bottom w:val="single" w:sz="2" w:space="0" w:color="020A09"/>
              <w:right w:val="nil"/>
            </w:tcBorders>
          </w:tcPr>
          <w:p w14:paraId="7A683254" w14:textId="77777777" w:rsidR="009103CC" w:rsidRPr="00345E5B" w:rsidRDefault="009103CC" w:rsidP="002718DF">
            <w:pPr>
              <w:pStyle w:val="Tabletext"/>
              <w:jc w:val="right"/>
              <w:rPr>
                <w:b/>
                <w:bCs/>
              </w:rPr>
            </w:pPr>
          </w:p>
        </w:tc>
        <w:tc>
          <w:tcPr>
            <w:tcW w:w="820" w:type="pct"/>
            <w:tcBorders>
              <w:top w:val="nil"/>
              <w:left w:val="nil"/>
              <w:bottom w:val="single" w:sz="2" w:space="0" w:color="020A09"/>
              <w:right w:val="nil"/>
            </w:tcBorders>
          </w:tcPr>
          <w:p w14:paraId="0A5FBFE6" w14:textId="77777777" w:rsidR="009103CC" w:rsidRPr="00345E5B" w:rsidRDefault="009103CC" w:rsidP="002718DF">
            <w:pPr>
              <w:pStyle w:val="Tabletext"/>
              <w:jc w:val="right"/>
              <w:rPr>
                <w:b/>
                <w:bCs/>
              </w:rPr>
            </w:pPr>
          </w:p>
        </w:tc>
      </w:tr>
      <w:tr w:rsidR="009103CC" w:rsidRPr="00345E5B" w14:paraId="71761883" w14:textId="77777777" w:rsidTr="002718DF">
        <w:trPr>
          <w:cantSplit/>
          <w:trHeight w:hRule="exact" w:val="332"/>
        </w:trPr>
        <w:tc>
          <w:tcPr>
            <w:tcW w:w="2699" w:type="pct"/>
            <w:tcBorders>
              <w:top w:val="single" w:sz="2" w:space="0" w:color="020A09"/>
              <w:left w:val="nil"/>
              <w:bottom w:val="single" w:sz="2" w:space="0" w:color="020A09"/>
              <w:right w:val="nil"/>
            </w:tcBorders>
          </w:tcPr>
          <w:p w14:paraId="508C288B" w14:textId="77777777" w:rsidR="009103CC" w:rsidRPr="00345E5B" w:rsidRDefault="009103CC" w:rsidP="002718DF">
            <w:pPr>
              <w:pStyle w:val="Tabletext"/>
            </w:pPr>
            <w:r w:rsidRPr="00345E5B">
              <w:t>Fair value as at 1 July 2020</w:t>
            </w:r>
          </w:p>
        </w:tc>
        <w:tc>
          <w:tcPr>
            <w:tcW w:w="703" w:type="pct"/>
            <w:tcBorders>
              <w:top w:val="single" w:sz="2" w:space="0" w:color="020A09"/>
              <w:left w:val="nil"/>
              <w:bottom w:val="single" w:sz="2" w:space="0" w:color="020A09"/>
              <w:right w:val="nil"/>
            </w:tcBorders>
          </w:tcPr>
          <w:p w14:paraId="2BFC4CF7" w14:textId="77777777" w:rsidR="009103CC" w:rsidRPr="00345E5B" w:rsidRDefault="009103CC" w:rsidP="002718DF">
            <w:pPr>
              <w:pStyle w:val="Tabletext"/>
            </w:pPr>
          </w:p>
        </w:tc>
        <w:tc>
          <w:tcPr>
            <w:tcW w:w="778" w:type="pct"/>
            <w:tcBorders>
              <w:top w:val="single" w:sz="2" w:space="0" w:color="020A09"/>
              <w:left w:val="nil"/>
              <w:bottom w:val="single" w:sz="2" w:space="0" w:color="020A09"/>
              <w:right w:val="nil"/>
            </w:tcBorders>
          </w:tcPr>
          <w:p w14:paraId="09216BDC" w14:textId="77777777" w:rsidR="009103CC" w:rsidRPr="00345E5B" w:rsidRDefault="009103CC" w:rsidP="002718DF">
            <w:pPr>
              <w:pStyle w:val="Tabletext"/>
              <w:jc w:val="right"/>
            </w:pPr>
            <w:r w:rsidRPr="00345E5B">
              <w:t>292,419</w:t>
            </w:r>
          </w:p>
        </w:tc>
        <w:tc>
          <w:tcPr>
            <w:tcW w:w="820" w:type="pct"/>
            <w:tcBorders>
              <w:top w:val="single" w:sz="2" w:space="0" w:color="020A09"/>
              <w:left w:val="nil"/>
              <w:bottom w:val="single" w:sz="2" w:space="0" w:color="020A09"/>
              <w:right w:val="nil"/>
            </w:tcBorders>
          </w:tcPr>
          <w:p w14:paraId="62339F60" w14:textId="77777777" w:rsidR="009103CC" w:rsidRPr="00345E5B" w:rsidRDefault="009103CC" w:rsidP="002718DF">
            <w:pPr>
              <w:pStyle w:val="Tabletext"/>
              <w:jc w:val="right"/>
            </w:pPr>
            <w:r w:rsidRPr="00345E5B">
              <w:t>8,366</w:t>
            </w:r>
          </w:p>
        </w:tc>
      </w:tr>
      <w:tr w:rsidR="009103CC" w:rsidRPr="00345E5B" w14:paraId="744AE7A8" w14:textId="77777777" w:rsidTr="002718DF">
        <w:trPr>
          <w:cantSplit/>
          <w:trHeight w:hRule="exact" w:val="332"/>
        </w:trPr>
        <w:tc>
          <w:tcPr>
            <w:tcW w:w="2699" w:type="pct"/>
            <w:tcBorders>
              <w:top w:val="single" w:sz="2" w:space="0" w:color="020A09"/>
              <w:left w:val="nil"/>
              <w:bottom w:val="single" w:sz="2" w:space="0" w:color="020A09"/>
              <w:right w:val="nil"/>
            </w:tcBorders>
          </w:tcPr>
          <w:p w14:paraId="5A975658" w14:textId="77777777" w:rsidR="009103CC" w:rsidRPr="00345E5B" w:rsidRDefault="009103CC" w:rsidP="002718DF">
            <w:pPr>
              <w:pStyle w:val="Tabletext"/>
            </w:pPr>
            <w:r w:rsidRPr="00345E5B">
              <w:t>Additions</w:t>
            </w:r>
          </w:p>
        </w:tc>
        <w:tc>
          <w:tcPr>
            <w:tcW w:w="703" w:type="pct"/>
            <w:tcBorders>
              <w:top w:val="single" w:sz="2" w:space="0" w:color="020A09"/>
              <w:left w:val="nil"/>
              <w:bottom w:val="single" w:sz="2" w:space="0" w:color="020A09"/>
              <w:right w:val="nil"/>
            </w:tcBorders>
          </w:tcPr>
          <w:p w14:paraId="7AD85870" w14:textId="77777777" w:rsidR="009103CC" w:rsidRPr="00345E5B" w:rsidRDefault="009103CC" w:rsidP="002718DF">
            <w:pPr>
              <w:pStyle w:val="Tabletext"/>
            </w:pPr>
          </w:p>
        </w:tc>
        <w:tc>
          <w:tcPr>
            <w:tcW w:w="778" w:type="pct"/>
            <w:tcBorders>
              <w:top w:val="single" w:sz="2" w:space="0" w:color="020A09"/>
              <w:left w:val="nil"/>
              <w:bottom w:val="single" w:sz="2" w:space="0" w:color="020A09"/>
              <w:right w:val="nil"/>
            </w:tcBorders>
          </w:tcPr>
          <w:p w14:paraId="58C5C529" w14:textId="77777777" w:rsidR="009103CC" w:rsidRPr="00345E5B" w:rsidRDefault="009103CC" w:rsidP="002718DF">
            <w:pPr>
              <w:pStyle w:val="Tabletext"/>
              <w:jc w:val="right"/>
            </w:pPr>
            <w:r w:rsidRPr="00345E5B">
              <w:t>82,784</w:t>
            </w:r>
          </w:p>
        </w:tc>
        <w:tc>
          <w:tcPr>
            <w:tcW w:w="820" w:type="pct"/>
            <w:tcBorders>
              <w:top w:val="single" w:sz="2" w:space="0" w:color="020A09"/>
              <w:left w:val="nil"/>
              <w:bottom w:val="single" w:sz="2" w:space="0" w:color="020A09"/>
              <w:right w:val="nil"/>
            </w:tcBorders>
          </w:tcPr>
          <w:p w14:paraId="36299521" w14:textId="77777777" w:rsidR="009103CC" w:rsidRPr="00345E5B" w:rsidRDefault="009103CC" w:rsidP="002718DF">
            <w:pPr>
              <w:pStyle w:val="Tabletext"/>
              <w:jc w:val="right"/>
            </w:pPr>
            <w:r w:rsidRPr="00345E5B">
              <w:t>-</w:t>
            </w:r>
          </w:p>
        </w:tc>
      </w:tr>
      <w:tr w:rsidR="009103CC" w:rsidRPr="00345E5B" w14:paraId="46BF96D2" w14:textId="77777777" w:rsidTr="002718DF">
        <w:trPr>
          <w:cantSplit/>
          <w:trHeight w:hRule="exact" w:val="332"/>
        </w:trPr>
        <w:tc>
          <w:tcPr>
            <w:tcW w:w="2699" w:type="pct"/>
            <w:tcBorders>
              <w:top w:val="single" w:sz="2" w:space="0" w:color="020A09"/>
              <w:left w:val="nil"/>
              <w:bottom w:val="single" w:sz="2" w:space="0" w:color="020A09"/>
              <w:right w:val="nil"/>
            </w:tcBorders>
          </w:tcPr>
          <w:p w14:paraId="78A5FB9C" w14:textId="77777777" w:rsidR="009103CC" w:rsidRPr="00345E5B" w:rsidRDefault="009103CC" w:rsidP="002718DF">
            <w:pPr>
              <w:pStyle w:val="Tabletext"/>
            </w:pPr>
            <w:r w:rsidRPr="00345E5B">
              <w:t>Depreciation expenses</w:t>
            </w:r>
          </w:p>
        </w:tc>
        <w:tc>
          <w:tcPr>
            <w:tcW w:w="703" w:type="pct"/>
            <w:tcBorders>
              <w:top w:val="single" w:sz="2" w:space="0" w:color="020A09"/>
              <w:left w:val="nil"/>
              <w:bottom w:val="single" w:sz="2" w:space="0" w:color="020A09"/>
              <w:right w:val="nil"/>
            </w:tcBorders>
          </w:tcPr>
          <w:p w14:paraId="12B278F3" w14:textId="77777777" w:rsidR="009103CC" w:rsidRPr="00345E5B" w:rsidRDefault="009103CC" w:rsidP="002718DF">
            <w:pPr>
              <w:pStyle w:val="Tabletext"/>
            </w:pPr>
          </w:p>
        </w:tc>
        <w:tc>
          <w:tcPr>
            <w:tcW w:w="778" w:type="pct"/>
            <w:tcBorders>
              <w:top w:val="single" w:sz="2" w:space="0" w:color="020A09"/>
              <w:left w:val="nil"/>
              <w:bottom w:val="single" w:sz="2" w:space="0" w:color="020A09"/>
              <w:right w:val="nil"/>
            </w:tcBorders>
          </w:tcPr>
          <w:p w14:paraId="63D6BDB2" w14:textId="77777777" w:rsidR="009103CC" w:rsidRPr="00345E5B" w:rsidRDefault="009103CC" w:rsidP="002718DF">
            <w:pPr>
              <w:pStyle w:val="Tabletext"/>
              <w:jc w:val="right"/>
            </w:pPr>
            <w:r w:rsidRPr="00345E5B">
              <w:t>(2,606)</w:t>
            </w:r>
          </w:p>
        </w:tc>
        <w:tc>
          <w:tcPr>
            <w:tcW w:w="820" w:type="pct"/>
            <w:tcBorders>
              <w:top w:val="single" w:sz="2" w:space="0" w:color="020A09"/>
              <w:left w:val="nil"/>
              <w:bottom w:val="single" w:sz="2" w:space="0" w:color="020A09"/>
              <w:right w:val="nil"/>
            </w:tcBorders>
          </w:tcPr>
          <w:p w14:paraId="40383114" w14:textId="77777777" w:rsidR="009103CC" w:rsidRPr="00345E5B" w:rsidRDefault="009103CC" w:rsidP="002718DF">
            <w:pPr>
              <w:pStyle w:val="Tabletext"/>
              <w:jc w:val="right"/>
            </w:pPr>
            <w:r w:rsidRPr="00345E5B">
              <w:t>-</w:t>
            </w:r>
          </w:p>
        </w:tc>
      </w:tr>
      <w:tr w:rsidR="009103CC" w:rsidRPr="00345E5B" w14:paraId="2AA13F2A" w14:textId="77777777" w:rsidTr="002718DF">
        <w:trPr>
          <w:cantSplit/>
          <w:trHeight w:hRule="exact" w:val="332"/>
        </w:trPr>
        <w:tc>
          <w:tcPr>
            <w:tcW w:w="2699" w:type="pct"/>
            <w:tcBorders>
              <w:top w:val="single" w:sz="2" w:space="0" w:color="020A09"/>
              <w:left w:val="nil"/>
              <w:bottom w:val="single" w:sz="2" w:space="0" w:color="020A09"/>
              <w:right w:val="nil"/>
            </w:tcBorders>
          </w:tcPr>
          <w:p w14:paraId="3F09C5DD" w14:textId="77777777" w:rsidR="009103CC" w:rsidRPr="00345E5B" w:rsidRDefault="009103CC" w:rsidP="002718DF">
            <w:pPr>
              <w:pStyle w:val="Tabletext"/>
            </w:pPr>
            <w:r w:rsidRPr="00345E5B">
              <w:t>Fair value as at 30 June 2021</w:t>
            </w:r>
          </w:p>
        </w:tc>
        <w:tc>
          <w:tcPr>
            <w:tcW w:w="703" w:type="pct"/>
            <w:tcBorders>
              <w:top w:val="single" w:sz="2" w:space="0" w:color="020A09"/>
              <w:left w:val="nil"/>
              <w:bottom w:val="single" w:sz="2" w:space="0" w:color="020A09"/>
              <w:right w:val="nil"/>
            </w:tcBorders>
          </w:tcPr>
          <w:p w14:paraId="74F88560" w14:textId="77777777" w:rsidR="009103CC" w:rsidRPr="00345E5B" w:rsidRDefault="009103CC" w:rsidP="002718DF">
            <w:pPr>
              <w:pStyle w:val="Tabletext"/>
            </w:pPr>
          </w:p>
        </w:tc>
        <w:tc>
          <w:tcPr>
            <w:tcW w:w="778" w:type="pct"/>
            <w:tcBorders>
              <w:top w:val="single" w:sz="2" w:space="0" w:color="020A09"/>
              <w:left w:val="nil"/>
              <w:bottom w:val="single" w:sz="2" w:space="0" w:color="020A09"/>
              <w:right w:val="nil"/>
            </w:tcBorders>
          </w:tcPr>
          <w:p w14:paraId="7D21A8C2" w14:textId="77777777" w:rsidR="009103CC" w:rsidRPr="00345E5B" w:rsidRDefault="009103CC" w:rsidP="002718DF">
            <w:pPr>
              <w:pStyle w:val="Tabletext"/>
              <w:jc w:val="right"/>
            </w:pPr>
            <w:r w:rsidRPr="00345E5B">
              <w:t>372,597</w:t>
            </w:r>
          </w:p>
        </w:tc>
        <w:tc>
          <w:tcPr>
            <w:tcW w:w="820" w:type="pct"/>
            <w:tcBorders>
              <w:top w:val="single" w:sz="2" w:space="0" w:color="020A09"/>
              <w:left w:val="nil"/>
              <w:bottom w:val="single" w:sz="2" w:space="0" w:color="020A09"/>
              <w:right w:val="nil"/>
            </w:tcBorders>
          </w:tcPr>
          <w:p w14:paraId="0F542878" w14:textId="77777777" w:rsidR="009103CC" w:rsidRPr="00345E5B" w:rsidRDefault="009103CC" w:rsidP="002718DF">
            <w:pPr>
              <w:pStyle w:val="Tabletext"/>
              <w:jc w:val="right"/>
            </w:pPr>
            <w:r w:rsidRPr="00345E5B">
              <w:t>8,366</w:t>
            </w:r>
          </w:p>
        </w:tc>
      </w:tr>
    </w:tbl>
    <w:p w14:paraId="0700F13F" w14:textId="77777777" w:rsidR="009103CC" w:rsidRPr="001814D2" w:rsidRDefault="009103CC" w:rsidP="009103CC">
      <w:pPr>
        <w:pStyle w:val="Tabletext"/>
      </w:pPr>
    </w:p>
    <w:p w14:paraId="4A33C033" w14:textId="77777777" w:rsidR="009103CC" w:rsidRPr="00933FC4" w:rsidRDefault="009103CC" w:rsidP="009103CC">
      <w:pPr>
        <w:pStyle w:val="ARbody"/>
        <w:rPr>
          <w:b/>
          <w:bCs/>
        </w:rPr>
      </w:pPr>
      <w:r w:rsidRPr="00933FC4">
        <w:rPr>
          <w:b/>
          <w:bCs/>
        </w:rPr>
        <w:t>Property, plant and equipment accounting policies</w:t>
      </w:r>
    </w:p>
    <w:p w14:paraId="3E6134DA" w14:textId="77777777" w:rsidR="009103CC" w:rsidRPr="00933FC4" w:rsidRDefault="009103CC" w:rsidP="009103CC">
      <w:pPr>
        <w:pStyle w:val="ARbody"/>
      </w:pPr>
      <w:r w:rsidRPr="00933FC4">
        <w:t>Land, buildings and collection assets are measured at fair value less accumulated depreciation on buildings and less any impairment losses recognised after the date of the revaluation. Plant and equipment is measured at cost less accumulated depreciation and any accumulated impairment losses.</w:t>
      </w:r>
    </w:p>
    <w:p w14:paraId="32355E3F" w14:textId="77777777" w:rsidR="009103CC" w:rsidRPr="00933FC4" w:rsidRDefault="009103CC" w:rsidP="009103CC">
      <w:pPr>
        <w:pStyle w:val="ARbody"/>
      </w:pPr>
      <w:r w:rsidRPr="00933FC4">
        <w:t>Artworks donated to the Gallery or acquired for significantly below market value are recognised at fair value at the date the Gallery obtains control of them.</w:t>
      </w:r>
    </w:p>
    <w:p w14:paraId="446D6290" w14:textId="77777777" w:rsidR="009103CC" w:rsidRPr="00933FC4" w:rsidRDefault="009103CC" w:rsidP="009103CC">
      <w:pPr>
        <w:pStyle w:val="ARbody"/>
      </w:pPr>
      <w:r w:rsidRPr="00933FC4">
        <w:t>The fair value of land, buildings and collection assets are confirmed by independent valuations that are obtained with sufficient regularity to ensure the carrying amounts do not differ materially from the asset's fair values at reporting date. Management's valuations are used if an independent valuation does not take place during an annual reporting period.</w:t>
      </w:r>
    </w:p>
    <w:p w14:paraId="336B19B0" w14:textId="77777777" w:rsidR="009103CC" w:rsidRPr="00933FC4" w:rsidRDefault="009103CC" w:rsidP="009103CC">
      <w:pPr>
        <w:pStyle w:val="ARbody"/>
      </w:pPr>
      <w:r w:rsidRPr="00933FC4">
        <w:t>When the carrying amount of an asset is increased as a result of a revaluation, the increase is credited directly to the revaluation reserve, except where it reverses a revaluation decrement previously recognised in the statement of profit or loss and comprehensive income, in which case it is credited to that statement.</w:t>
      </w:r>
    </w:p>
    <w:p w14:paraId="2EC53394" w14:textId="77777777" w:rsidR="009103CC" w:rsidRPr="001814D2" w:rsidRDefault="009103CC" w:rsidP="009103CC">
      <w:pPr>
        <w:pStyle w:val="ARbody"/>
      </w:pPr>
      <w:r w:rsidRPr="001814D2">
        <w:t>When the carrying amount of assets is decreased as a result of a revaluation, the decrease is recognised in the statement of profit or loss and other comprehensive income, except where a credit balance exists in the revaluation reserve, in which case, it is debited to that reserve.</w:t>
      </w:r>
    </w:p>
    <w:p w14:paraId="5E5888E9" w14:textId="77777777" w:rsidR="009103CC" w:rsidRPr="00E32786" w:rsidRDefault="009103CC" w:rsidP="009103CC">
      <w:pPr>
        <w:pStyle w:val="ARbody"/>
        <w:rPr>
          <w:b/>
          <w:bCs/>
        </w:rPr>
      </w:pPr>
      <w:r w:rsidRPr="00E32786">
        <w:rPr>
          <w:b/>
          <w:bCs/>
        </w:rPr>
        <w:t>Impairment</w:t>
      </w:r>
    </w:p>
    <w:p w14:paraId="05892BD0" w14:textId="77777777" w:rsidR="009103CC" w:rsidRPr="001814D2" w:rsidRDefault="009103CC" w:rsidP="009103CC">
      <w:pPr>
        <w:pStyle w:val="ARbody"/>
      </w:pPr>
      <w:r w:rsidRPr="001814D2">
        <w:t>Impairment indicators over property, plant and equipment are considered at each reporting date. Management have considered the impact of COVID-19 in making this assessment during the current year and consider the valuations undertaken during the year to be the most reliable indicator of the fair values of the Gallery's property, plant and equipment.</w:t>
      </w:r>
    </w:p>
    <w:p w14:paraId="7A6283E1" w14:textId="77777777" w:rsidR="009103CC" w:rsidRPr="001814D2" w:rsidRDefault="009103CC" w:rsidP="009103CC">
      <w:pPr>
        <w:pStyle w:val="ARbody"/>
      </w:pPr>
      <w:r w:rsidRPr="001814D2">
        <w:t>If indicators of impairment were to exist, the recoverable amount of the relevant asset would be determined as the higher of fair value less costs of disposal and value in use.</w:t>
      </w:r>
    </w:p>
    <w:p w14:paraId="306A4D38" w14:textId="77777777" w:rsidR="009103CC" w:rsidRPr="001814D2" w:rsidRDefault="009103CC" w:rsidP="009103CC">
      <w:pPr>
        <w:pStyle w:val="ARbody"/>
      </w:pPr>
      <w:r w:rsidRPr="001814D2">
        <w:t>An impairment loss is recognised when the carrying value of an asset exceeds it's estimated recoverable amount. For plant and equipment, impairment losses are recognised in the statement of profit or loss and other comprehensive income. Impairment losses on land, buildings and collection assets are treated as a revaluation decrement.</w:t>
      </w:r>
    </w:p>
    <w:p w14:paraId="79212832" w14:textId="77777777" w:rsidR="009103CC" w:rsidRPr="00E32786" w:rsidRDefault="009103CC" w:rsidP="009103CC">
      <w:pPr>
        <w:pStyle w:val="ARbody"/>
        <w:rPr>
          <w:b/>
          <w:bCs/>
        </w:rPr>
      </w:pPr>
      <w:r w:rsidRPr="00E32786">
        <w:rPr>
          <w:b/>
          <w:bCs/>
        </w:rPr>
        <w:t>Depreciation</w:t>
      </w:r>
    </w:p>
    <w:p w14:paraId="080FF19D" w14:textId="77777777" w:rsidR="009103CC" w:rsidRPr="001814D2" w:rsidRDefault="009103CC" w:rsidP="009103CC">
      <w:pPr>
        <w:pStyle w:val="ARbody"/>
      </w:pPr>
      <w:r w:rsidRPr="001814D2">
        <w:t>Items of property, plant and equipment (other than land and collection assets) are depreciated over their useful lives to the Gallery, commencing from the time the asset is held, ready for use. Depreciation is calculated on a straight-line basis for all depreciable assets as follows:</w:t>
      </w:r>
    </w:p>
    <w:p w14:paraId="66B4D9CB" w14:textId="77777777" w:rsidR="009103CC" w:rsidRPr="001814D2" w:rsidRDefault="009103CC" w:rsidP="009103CC">
      <w:pPr>
        <w:pStyle w:val="ARlistparagraph"/>
      </w:pPr>
      <w:r w:rsidRPr="001814D2">
        <w:t xml:space="preserve">Plant and Equipment 7-20% </w:t>
      </w:r>
    </w:p>
    <w:p w14:paraId="43141EB5" w14:textId="77777777" w:rsidR="009103CC" w:rsidRPr="001814D2" w:rsidRDefault="009103CC" w:rsidP="009103CC">
      <w:pPr>
        <w:pStyle w:val="ARlistparagraph"/>
      </w:pPr>
      <w:r w:rsidRPr="001814D2">
        <w:t xml:space="preserve">Motor Vehicles 20% </w:t>
      </w:r>
    </w:p>
    <w:p w14:paraId="75EAD70C" w14:textId="77777777" w:rsidR="009103CC" w:rsidRPr="001814D2" w:rsidRDefault="009103CC" w:rsidP="009103CC">
      <w:pPr>
        <w:pStyle w:val="ARlistparagraph"/>
      </w:pPr>
      <w:r w:rsidRPr="001814D2">
        <w:t xml:space="preserve">Furniture and Fittings 10% </w:t>
      </w:r>
    </w:p>
    <w:p w14:paraId="4D48EAA2" w14:textId="77777777" w:rsidR="009103CC" w:rsidRPr="001814D2" w:rsidRDefault="009103CC" w:rsidP="009103CC">
      <w:pPr>
        <w:pStyle w:val="ARlistparagraph"/>
      </w:pPr>
      <w:r w:rsidRPr="001814D2">
        <w:t xml:space="preserve">Computer Equipment 25% </w:t>
      </w:r>
    </w:p>
    <w:p w14:paraId="015E2BB0" w14:textId="77777777" w:rsidR="009103CC" w:rsidRPr="001814D2" w:rsidRDefault="009103CC" w:rsidP="009103CC">
      <w:pPr>
        <w:pStyle w:val="ARlistparagraph"/>
      </w:pPr>
      <w:r w:rsidRPr="001814D2">
        <w:t>Building Infrastructure 1-7%</w:t>
      </w:r>
    </w:p>
    <w:p w14:paraId="14BEA275" w14:textId="77777777" w:rsidR="009103CC" w:rsidRDefault="009103CC" w:rsidP="009103CC">
      <w:pPr>
        <w:pStyle w:val="ARbody"/>
        <w:rPr>
          <w:rFonts w:cs="Preston"/>
        </w:rPr>
      </w:pPr>
      <w:r w:rsidRPr="001814D2">
        <w:rPr>
          <w:rFonts w:cs="Preston"/>
        </w:rPr>
        <w:t>These rates are reviewed annually to ensure they reflect the assets’ current useful life and residual values.</w:t>
      </w:r>
    </w:p>
    <w:p w14:paraId="706B19B9" w14:textId="77777777" w:rsidR="009103CC" w:rsidRDefault="009103CC" w:rsidP="009103CC">
      <w:pPr>
        <w:spacing w:line="240" w:lineRule="auto"/>
        <w:rPr>
          <w:rFonts w:cs="Preston"/>
          <w:color w:val="000000" w:themeColor="text1"/>
        </w:rPr>
      </w:pPr>
      <w:r>
        <w:rPr>
          <w:rFonts w:cs="Preston"/>
        </w:rPr>
        <w:br w:type="page"/>
      </w:r>
    </w:p>
    <w:tbl>
      <w:tblPr>
        <w:tblW w:w="5000" w:type="pct"/>
        <w:tblBorders>
          <w:bottom w:val="single" w:sz="4" w:space="0" w:color="auto"/>
          <w:insideH w:val="single" w:sz="4" w:space="0" w:color="auto"/>
        </w:tblBorders>
        <w:tblCellMar>
          <w:left w:w="0" w:type="dxa"/>
          <w:right w:w="0" w:type="dxa"/>
        </w:tblCellMar>
        <w:tblLook w:val="0000" w:firstRow="0" w:lastRow="0" w:firstColumn="0" w:lastColumn="0" w:noHBand="0" w:noVBand="0"/>
        <w:tblCaption w:val="10 Non-current assets - intangible assets (consolidated and parent entity)"/>
        <w:tblDescription w:val="This table provides figures for 2020 and 2021."/>
      </w:tblPr>
      <w:tblGrid>
        <w:gridCol w:w="3936"/>
        <w:gridCol w:w="2569"/>
        <w:gridCol w:w="2565"/>
      </w:tblGrid>
      <w:tr w:rsidR="009103CC" w:rsidRPr="003F5668" w14:paraId="27A96B9F" w14:textId="77777777" w:rsidTr="002718DF">
        <w:trPr>
          <w:cantSplit/>
          <w:trHeight w:hRule="exact" w:val="553"/>
          <w:tblHeader/>
        </w:trPr>
        <w:tc>
          <w:tcPr>
            <w:tcW w:w="2170" w:type="pct"/>
            <w:tcMar>
              <w:top w:w="0" w:type="dxa"/>
              <w:left w:w="0" w:type="dxa"/>
              <w:bottom w:w="0" w:type="dxa"/>
              <w:right w:w="0" w:type="dxa"/>
            </w:tcMar>
            <w:vAlign w:val="center"/>
          </w:tcPr>
          <w:p w14:paraId="57C6D4E4" w14:textId="77777777" w:rsidR="009103CC" w:rsidRPr="003F5668" w:rsidRDefault="009103CC" w:rsidP="002718DF">
            <w:pPr>
              <w:pStyle w:val="Tabletext"/>
              <w:rPr>
                <w:b/>
                <w:bCs/>
              </w:rPr>
            </w:pPr>
            <w:r w:rsidRPr="003F5668">
              <w:rPr>
                <w:b/>
                <w:bCs/>
              </w:rPr>
              <w:t xml:space="preserve">10 Non current assets – intangible assets </w:t>
            </w:r>
            <w:r w:rsidRPr="003F5668">
              <w:rPr>
                <w:b/>
                <w:bCs/>
              </w:rPr>
              <w:br/>
              <w:t>(consolidated and parent entity)</w:t>
            </w:r>
          </w:p>
        </w:tc>
        <w:tc>
          <w:tcPr>
            <w:tcW w:w="1416" w:type="pct"/>
            <w:tcMar>
              <w:top w:w="0" w:type="dxa"/>
              <w:left w:w="0" w:type="dxa"/>
              <w:bottom w:w="0" w:type="dxa"/>
              <w:right w:w="0" w:type="dxa"/>
            </w:tcMar>
            <w:vAlign w:val="center"/>
          </w:tcPr>
          <w:p w14:paraId="01E208AC" w14:textId="77777777" w:rsidR="009103CC" w:rsidRPr="003F5668" w:rsidRDefault="009103CC" w:rsidP="002718DF">
            <w:pPr>
              <w:pStyle w:val="Tabletext"/>
              <w:jc w:val="right"/>
              <w:rPr>
                <w:rFonts w:cs="Preston"/>
                <w:b/>
                <w:bCs/>
                <w:szCs w:val="18"/>
              </w:rPr>
            </w:pPr>
            <w:r w:rsidRPr="003F5668">
              <w:rPr>
                <w:rFonts w:cs="Preston"/>
                <w:b/>
                <w:bCs/>
                <w:szCs w:val="18"/>
              </w:rPr>
              <w:t>2021</w:t>
            </w:r>
          </w:p>
          <w:p w14:paraId="577359CB" w14:textId="77777777" w:rsidR="009103CC" w:rsidRPr="003F5668" w:rsidRDefault="009103CC" w:rsidP="002718DF">
            <w:pPr>
              <w:pStyle w:val="Tabletext"/>
              <w:jc w:val="right"/>
              <w:rPr>
                <w:rFonts w:cs="Preston"/>
                <w:b/>
                <w:bCs/>
                <w:szCs w:val="18"/>
              </w:rPr>
            </w:pPr>
            <w:r w:rsidRPr="003F5668">
              <w:rPr>
                <w:rFonts w:cs="Preston"/>
                <w:b/>
                <w:bCs/>
                <w:szCs w:val="18"/>
              </w:rPr>
              <w:t>$'000</w:t>
            </w:r>
          </w:p>
        </w:tc>
        <w:tc>
          <w:tcPr>
            <w:tcW w:w="1414" w:type="pct"/>
            <w:tcMar>
              <w:top w:w="0" w:type="dxa"/>
              <w:left w:w="0" w:type="dxa"/>
              <w:bottom w:w="0" w:type="dxa"/>
              <w:right w:w="0" w:type="dxa"/>
            </w:tcMar>
            <w:vAlign w:val="center"/>
          </w:tcPr>
          <w:p w14:paraId="7F489A22" w14:textId="77777777" w:rsidR="009103CC" w:rsidRPr="003F5668" w:rsidRDefault="009103CC" w:rsidP="002718DF">
            <w:pPr>
              <w:pStyle w:val="Tabletext"/>
              <w:jc w:val="right"/>
              <w:rPr>
                <w:rFonts w:cs="Preston"/>
                <w:b/>
                <w:bCs/>
                <w:szCs w:val="18"/>
              </w:rPr>
            </w:pPr>
            <w:r w:rsidRPr="003F5668">
              <w:rPr>
                <w:rFonts w:cs="Preston"/>
                <w:b/>
                <w:bCs/>
                <w:szCs w:val="18"/>
              </w:rPr>
              <w:t>2020</w:t>
            </w:r>
          </w:p>
          <w:p w14:paraId="1F4E15F2" w14:textId="77777777" w:rsidR="009103CC" w:rsidRPr="003F5668" w:rsidRDefault="009103CC" w:rsidP="002718DF">
            <w:pPr>
              <w:pStyle w:val="Tabletext"/>
              <w:jc w:val="right"/>
              <w:rPr>
                <w:rFonts w:cs="Preston"/>
                <w:b/>
                <w:bCs/>
                <w:szCs w:val="18"/>
              </w:rPr>
            </w:pPr>
            <w:r w:rsidRPr="003F5668">
              <w:rPr>
                <w:rFonts w:cs="Preston"/>
                <w:b/>
                <w:bCs/>
                <w:szCs w:val="18"/>
              </w:rPr>
              <w:t>$'000</w:t>
            </w:r>
          </w:p>
          <w:p w14:paraId="11ACA7AE" w14:textId="77777777" w:rsidR="009103CC" w:rsidRPr="003F5668" w:rsidRDefault="009103CC" w:rsidP="002718DF">
            <w:pPr>
              <w:pStyle w:val="Tabletext"/>
              <w:jc w:val="right"/>
              <w:rPr>
                <w:rFonts w:cs="Preston"/>
                <w:b/>
                <w:bCs/>
                <w:szCs w:val="18"/>
              </w:rPr>
            </w:pPr>
          </w:p>
        </w:tc>
      </w:tr>
      <w:tr w:rsidR="009103CC" w:rsidRPr="001814D2" w14:paraId="2383CA93" w14:textId="77777777" w:rsidTr="002718DF">
        <w:trPr>
          <w:cantSplit/>
          <w:trHeight w:hRule="exact" w:val="332"/>
        </w:trPr>
        <w:tc>
          <w:tcPr>
            <w:tcW w:w="2170" w:type="pct"/>
            <w:tcMar>
              <w:top w:w="0" w:type="dxa"/>
              <w:left w:w="0" w:type="dxa"/>
              <w:bottom w:w="0" w:type="dxa"/>
              <w:right w:w="0" w:type="dxa"/>
            </w:tcMar>
            <w:vAlign w:val="center"/>
          </w:tcPr>
          <w:p w14:paraId="29926916" w14:textId="77777777" w:rsidR="009103CC" w:rsidRPr="001814D2" w:rsidRDefault="009103CC" w:rsidP="002718DF">
            <w:pPr>
              <w:pStyle w:val="Tabletext"/>
            </w:pPr>
            <w:r w:rsidRPr="001814D2">
              <w:t xml:space="preserve">Software cost (gross carrying amount) </w:t>
            </w:r>
          </w:p>
        </w:tc>
        <w:tc>
          <w:tcPr>
            <w:tcW w:w="1416" w:type="pct"/>
            <w:tcMar>
              <w:top w:w="0" w:type="dxa"/>
              <w:left w:w="0" w:type="dxa"/>
              <w:bottom w:w="0" w:type="dxa"/>
              <w:right w:w="0" w:type="dxa"/>
            </w:tcMar>
            <w:vAlign w:val="center"/>
          </w:tcPr>
          <w:p w14:paraId="70D63EEA" w14:textId="77777777" w:rsidR="009103CC" w:rsidRPr="001814D2" w:rsidRDefault="009103CC" w:rsidP="002718DF">
            <w:pPr>
              <w:pStyle w:val="Tabletext"/>
              <w:jc w:val="right"/>
              <w:rPr>
                <w:rFonts w:cs="Preston"/>
                <w:szCs w:val="18"/>
              </w:rPr>
            </w:pPr>
            <w:r w:rsidRPr="001814D2">
              <w:rPr>
                <w:rFonts w:cs="Preston"/>
                <w:szCs w:val="18"/>
              </w:rPr>
              <w:t xml:space="preserve"> 4,655</w:t>
            </w:r>
          </w:p>
        </w:tc>
        <w:tc>
          <w:tcPr>
            <w:tcW w:w="1414" w:type="pct"/>
            <w:tcMar>
              <w:top w:w="0" w:type="dxa"/>
              <w:left w:w="0" w:type="dxa"/>
              <w:bottom w:w="0" w:type="dxa"/>
              <w:right w:w="0" w:type="dxa"/>
            </w:tcMar>
            <w:vAlign w:val="center"/>
          </w:tcPr>
          <w:p w14:paraId="6638939D" w14:textId="77777777" w:rsidR="009103CC" w:rsidRPr="001814D2" w:rsidRDefault="009103CC" w:rsidP="002718DF">
            <w:pPr>
              <w:pStyle w:val="Tabletext"/>
              <w:jc w:val="right"/>
              <w:rPr>
                <w:rFonts w:cs="Preston"/>
                <w:szCs w:val="18"/>
              </w:rPr>
            </w:pPr>
            <w:r w:rsidRPr="001814D2">
              <w:rPr>
                <w:rFonts w:cs="Preston"/>
                <w:szCs w:val="18"/>
              </w:rPr>
              <w:t>3,916</w:t>
            </w:r>
          </w:p>
        </w:tc>
      </w:tr>
      <w:tr w:rsidR="009103CC" w:rsidRPr="001814D2" w14:paraId="7EF3E5DA" w14:textId="77777777" w:rsidTr="002718DF">
        <w:trPr>
          <w:cantSplit/>
          <w:trHeight w:hRule="exact" w:val="332"/>
        </w:trPr>
        <w:tc>
          <w:tcPr>
            <w:tcW w:w="2170" w:type="pct"/>
            <w:tcMar>
              <w:top w:w="0" w:type="dxa"/>
              <w:left w:w="0" w:type="dxa"/>
              <w:bottom w:w="0" w:type="dxa"/>
              <w:right w:w="0" w:type="dxa"/>
            </w:tcMar>
            <w:vAlign w:val="center"/>
          </w:tcPr>
          <w:p w14:paraId="11FF2965" w14:textId="77777777" w:rsidR="009103CC" w:rsidRPr="001814D2" w:rsidRDefault="009103CC" w:rsidP="002718DF">
            <w:pPr>
              <w:pStyle w:val="Tabletext"/>
            </w:pPr>
            <w:r w:rsidRPr="001814D2">
              <w:t xml:space="preserve">Less: accumulated amortisation </w:t>
            </w:r>
          </w:p>
        </w:tc>
        <w:tc>
          <w:tcPr>
            <w:tcW w:w="1416" w:type="pct"/>
            <w:tcMar>
              <w:top w:w="0" w:type="dxa"/>
              <w:left w:w="0" w:type="dxa"/>
              <w:bottom w:w="0" w:type="dxa"/>
              <w:right w:w="0" w:type="dxa"/>
            </w:tcMar>
            <w:vAlign w:val="center"/>
          </w:tcPr>
          <w:p w14:paraId="04E3BFD1" w14:textId="77777777" w:rsidR="009103CC" w:rsidRPr="001814D2" w:rsidRDefault="009103CC" w:rsidP="002718DF">
            <w:pPr>
              <w:pStyle w:val="Tabletext"/>
              <w:jc w:val="right"/>
              <w:rPr>
                <w:rFonts w:cs="Preston"/>
                <w:szCs w:val="18"/>
              </w:rPr>
            </w:pPr>
            <w:r w:rsidRPr="001814D2">
              <w:rPr>
                <w:rFonts w:cs="Preston"/>
                <w:szCs w:val="18"/>
              </w:rPr>
              <w:t xml:space="preserve"> (1,508)</w:t>
            </w:r>
          </w:p>
        </w:tc>
        <w:tc>
          <w:tcPr>
            <w:tcW w:w="1414" w:type="pct"/>
            <w:tcMar>
              <w:top w:w="0" w:type="dxa"/>
              <w:left w:w="0" w:type="dxa"/>
              <w:bottom w:w="0" w:type="dxa"/>
              <w:right w:w="0" w:type="dxa"/>
            </w:tcMar>
            <w:vAlign w:val="center"/>
          </w:tcPr>
          <w:p w14:paraId="30426A47" w14:textId="77777777" w:rsidR="009103CC" w:rsidRPr="001814D2" w:rsidRDefault="009103CC" w:rsidP="002718DF">
            <w:pPr>
              <w:pStyle w:val="Tabletext"/>
              <w:jc w:val="right"/>
              <w:rPr>
                <w:rFonts w:cs="Preston"/>
                <w:szCs w:val="18"/>
              </w:rPr>
            </w:pPr>
            <w:r w:rsidRPr="001814D2">
              <w:rPr>
                <w:rFonts w:cs="Preston"/>
                <w:szCs w:val="18"/>
              </w:rPr>
              <w:t>(1,157)</w:t>
            </w:r>
          </w:p>
        </w:tc>
      </w:tr>
      <w:tr w:rsidR="009103CC" w:rsidRPr="001814D2" w14:paraId="5B107CAC" w14:textId="77777777" w:rsidTr="002718DF">
        <w:trPr>
          <w:cantSplit/>
          <w:trHeight w:hRule="exact" w:val="332"/>
        </w:trPr>
        <w:tc>
          <w:tcPr>
            <w:tcW w:w="2170" w:type="pct"/>
            <w:tcMar>
              <w:top w:w="0" w:type="dxa"/>
              <w:left w:w="0" w:type="dxa"/>
              <w:bottom w:w="0" w:type="dxa"/>
              <w:right w:w="0" w:type="dxa"/>
            </w:tcMar>
            <w:vAlign w:val="center"/>
          </w:tcPr>
          <w:p w14:paraId="6DC5E802" w14:textId="77777777" w:rsidR="009103CC" w:rsidRPr="001814D2" w:rsidRDefault="009103CC" w:rsidP="002718DF">
            <w:pPr>
              <w:pStyle w:val="Tabletext"/>
            </w:pPr>
            <w:r w:rsidRPr="001814D2">
              <w:t>Net carrying amount</w:t>
            </w:r>
          </w:p>
        </w:tc>
        <w:tc>
          <w:tcPr>
            <w:tcW w:w="1416" w:type="pct"/>
            <w:tcMar>
              <w:top w:w="0" w:type="dxa"/>
              <w:left w:w="0" w:type="dxa"/>
              <w:bottom w:w="0" w:type="dxa"/>
              <w:right w:w="0" w:type="dxa"/>
            </w:tcMar>
            <w:vAlign w:val="center"/>
          </w:tcPr>
          <w:p w14:paraId="5C6292D4" w14:textId="77777777" w:rsidR="009103CC" w:rsidRPr="001814D2" w:rsidRDefault="009103CC" w:rsidP="002718DF">
            <w:pPr>
              <w:pStyle w:val="Tabletext"/>
              <w:jc w:val="right"/>
              <w:rPr>
                <w:rFonts w:cs="Preston"/>
                <w:szCs w:val="18"/>
              </w:rPr>
            </w:pPr>
            <w:r w:rsidRPr="001814D2">
              <w:rPr>
                <w:rFonts w:cs="Preston"/>
                <w:szCs w:val="18"/>
              </w:rPr>
              <w:t xml:space="preserve"> 3,147</w:t>
            </w:r>
          </w:p>
        </w:tc>
        <w:tc>
          <w:tcPr>
            <w:tcW w:w="1414" w:type="pct"/>
            <w:tcMar>
              <w:top w:w="0" w:type="dxa"/>
              <w:left w:w="0" w:type="dxa"/>
              <w:bottom w:w="0" w:type="dxa"/>
              <w:right w:w="0" w:type="dxa"/>
            </w:tcMar>
            <w:vAlign w:val="center"/>
          </w:tcPr>
          <w:p w14:paraId="4CA7C3D4" w14:textId="77777777" w:rsidR="009103CC" w:rsidRPr="001814D2" w:rsidRDefault="009103CC" w:rsidP="002718DF">
            <w:pPr>
              <w:pStyle w:val="Tabletext"/>
              <w:jc w:val="right"/>
              <w:rPr>
                <w:rFonts w:cs="Preston"/>
                <w:szCs w:val="18"/>
              </w:rPr>
            </w:pPr>
            <w:r w:rsidRPr="001814D2">
              <w:rPr>
                <w:rFonts w:cs="Preston"/>
                <w:szCs w:val="18"/>
              </w:rPr>
              <w:t>2,759</w:t>
            </w:r>
          </w:p>
        </w:tc>
      </w:tr>
      <w:tr w:rsidR="009103CC" w:rsidRPr="001814D2" w14:paraId="243C3212" w14:textId="77777777" w:rsidTr="002718DF">
        <w:trPr>
          <w:cantSplit/>
          <w:trHeight w:hRule="exact" w:val="332"/>
        </w:trPr>
        <w:tc>
          <w:tcPr>
            <w:tcW w:w="2170" w:type="pct"/>
            <w:tcMar>
              <w:top w:w="0" w:type="dxa"/>
              <w:left w:w="0" w:type="dxa"/>
              <w:bottom w:w="0" w:type="dxa"/>
              <w:right w:w="0" w:type="dxa"/>
            </w:tcMar>
            <w:vAlign w:val="center"/>
          </w:tcPr>
          <w:p w14:paraId="228BB877" w14:textId="77777777" w:rsidR="009103CC" w:rsidRPr="001814D2" w:rsidRDefault="009103CC" w:rsidP="002718DF">
            <w:pPr>
              <w:pStyle w:val="Tabletext"/>
              <w:rPr>
                <w:rFonts w:cstheme="minorBidi"/>
                <w:sz w:val="24"/>
                <w:szCs w:val="24"/>
              </w:rPr>
            </w:pPr>
          </w:p>
        </w:tc>
        <w:tc>
          <w:tcPr>
            <w:tcW w:w="1416" w:type="pct"/>
            <w:tcMar>
              <w:top w:w="0" w:type="dxa"/>
              <w:left w:w="0" w:type="dxa"/>
              <w:bottom w:w="0" w:type="dxa"/>
              <w:right w:w="0" w:type="dxa"/>
            </w:tcMar>
            <w:vAlign w:val="center"/>
          </w:tcPr>
          <w:p w14:paraId="653068DF" w14:textId="77777777" w:rsidR="009103CC" w:rsidRPr="001814D2" w:rsidRDefault="009103CC" w:rsidP="002718DF">
            <w:pPr>
              <w:pStyle w:val="Tabletext"/>
              <w:jc w:val="right"/>
              <w:rPr>
                <w:rFonts w:cstheme="minorBidi"/>
                <w:sz w:val="24"/>
                <w:szCs w:val="24"/>
              </w:rPr>
            </w:pPr>
          </w:p>
        </w:tc>
        <w:tc>
          <w:tcPr>
            <w:tcW w:w="1414" w:type="pct"/>
            <w:tcMar>
              <w:top w:w="0" w:type="dxa"/>
              <w:left w:w="0" w:type="dxa"/>
              <w:bottom w:w="0" w:type="dxa"/>
              <w:right w:w="0" w:type="dxa"/>
            </w:tcMar>
            <w:vAlign w:val="center"/>
          </w:tcPr>
          <w:p w14:paraId="0D342355" w14:textId="77777777" w:rsidR="009103CC" w:rsidRPr="001814D2" w:rsidRDefault="009103CC" w:rsidP="002718DF">
            <w:pPr>
              <w:pStyle w:val="Tabletext"/>
              <w:jc w:val="right"/>
              <w:rPr>
                <w:rFonts w:cstheme="minorBidi"/>
                <w:sz w:val="24"/>
                <w:szCs w:val="24"/>
              </w:rPr>
            </w:pPr>
          </w:p>
        </w:tc>
      </w:tr>
      <w:tr w:rsidR="009103CC" w:rsidRPr="001814D2" w14:paraId="3DFE5AD5" w14:textId="77777777" w:rsidTr="002718DF">
        <w:trPr>
          <w:cantSplit/>
          <w:trHeight w:hRule="exact" w:val="332"/>
        </w:trPr>
        <w:tc>
          <w:tcPr>
            <w:tcW w:w="2170" w:type="pct"/>
            <w:tcMar>
              <w:top w:w="0" w:type="dxa"/>
              <w:left w:w="0" w:type="dxa"/>
              <w:bottom w:w="0" w:type="dxa"/>
              <w:right w:w="0" w:type="dxa"/>
            </w:tcMar>
            <w:vAlign w:val="center"/>
          </w:tcPr>
          <w:p w14:paraId="3459AD3D" w14:textId="77777777" w:rsidR="009103CC" w:rsidRPr="001814D2" w:rsidRDefault="009103CC" w:rsidP="002718DF">
            <w:pPr>
              <w:pStyle w:val="Tabletext"/>
            </w:pPr>
            <w:r w:rsidRPr="001814D2">
              <w:t>Movements during the year</w:t>
            </w:r>
          </w:p>
        </w:tc>
        <w:tc>
          <w:tcPr>
            <w:tcW w:w="1416" w:type="pct"/>
            <w:tcMar>
              <w:top w:w="0" w:type="dxa"/>
              <w:left w:w="0" w:type="dxa"/>
              <w:bottom w:w="0" w:type="dxa"/>
              <w:right w:w="0" w:type="dxa"/>
            </w:tcMar>
            <w:vAlign w:val="center"/>
          </w:tcPr>
          <w:p w14:paraId="6F57C8AF" w14:textId="77777777" w:rsidR="009103CC" w:rsidRPr="001814D2" w:rsidRDefault="009103CC" w:rsidP="002718DF">
            <w:pPr>
              <w:pStyle w:val="Tabletext"/>
              <w:jc w:val="right"/>
              <w:rPr>
                <w:rFonts w:cstheme="minorBidi"/>
                <w:sz w:val="24"/>
                <w:szCs w:val="24"/>
              </w:rPr>
            </w:pPr>
          </w:p>
        </w:tc>
        <w:tc>
          <w:tcPr>
            <w:tcW w:w="1414" w:type="pct"/>
            <w:tcMar>
              <w:top w:w="0" w:type="dxa"/>
              <w:left w:w="0" w:type="dxa"/>
              <w:bottom w:w="0" w:type="dxa"/>
              <w:right w:w="0" w:type="dxa"/>
            </w:tcMar>
            <w:vAlign w:val="center"/>
          </w:tcPr>
          <w:p w14:paraId="15BAE560" w14:textId="77777777" w:rsidR="009103CC" w:rsidRPr="001814D2" w:rsidRDefault="009103CC" w:rsidP="002718DF">
            <w:pPr>
              <w:pStyle w:val="Tabletext"/>
              <w:jc w:val="right"/>
              <w:rPr>
                <w:rFonts w:cstheme="minorBidi"/>
                <w:sz w:val="24"/>
                <w:szCs w:val="24"/>
              </w:rPr>
            </w:pPr>
          </w:p>
        </w:tc>
      </w:tr>
      <w:tr w:rsidR="009103CC" w:rsidRPr="001814D2" w14:paraId="4F3C811D" w14:textId="77777777" w:rsidTr="002718DF">
        <w:trPr>
          <w:cantSplit/>
          <w:trHeight w:hRule="exact" w:val="332"/>
        </w:trPr>
        <w:tc>
          <w:tcPr>
            <w:tcW w:w="2170" w:type="pct"/>
            <w:tcMar>
              <w:top w:w="0" w:type="dxa"/>
              <w:left w:w="0" w:type="dxa"/>
              <w:bottom w:w="0" w:type="dxa"/>
              <w:right w:w="0" w:type="dxa"/>
            </w:tcMar>
            <w:vAlign w:val="center"/>
          </w:tcPr>
          <w:p w14:paraId="61EF77BE" w14:textId="77777777" w:rsidR="009103CC" w:rsidRPr="001814D2" w:rsidRDefault="009103CC" w:rsidP="002718DF">
            <w:pPr>
              <w:pStyle w:val="Tabletext"/>
            </w:pPr>
            <w:r w:rsidRPr="001814D2">
              <w:t>Net carrying amount at start of year</w:t>
            </w:r>
          </w:p>
        </w:tc>
        <w:tc>
          <w:tcPr>
            <w:tcW w:w="1416" w:type="pct"/>
            <w:tcMar>
              <w:top w:w="0" w:type="dxa"/>
              <w:left w:w="0" w:type="dxa"/>
              <w:bottom w:w="0" w:type="dxa"/>
              <w:right w:w="0" w:type="dxa"/>
            </w:tcMar>
            <w:vAlign w:val="center"/>
          </w:tcPr>
          <w:p w14:paraId="3AD1901C" w14:textId="77777777" w:rsidR="009103CC" w:rsidRPr="001814D2" w:rsidRDefault="009103CC" w:rsidP="002718DF">
            <w:pPr>
              <w:pStyle w:val="Tabletext"/>
              <w:jc w:val="right"/>
              <w:rPr>
                <w:rFonts w:cs="Preston"/>
                <w:szCs w:val="18"/>
              </w:rPr>
            </w:pPr>
            <w:r w:rsidRPr="001814D2">
              <w:rPr>
                <w:rFonts w:cs="Preston"/>
                <w:szCs w:val="18"/>
              </w:rPr>
              <w:t xml:space="preserve"> 2,759</w:t>
            </w:r>
          </w:p>
        </w:tc>
        <w:tc>
          <w:tcPr>
            <w:tcW w:w="1414" w:type="pct"/>
            <w:tcMar>
              <w:top w:w="0" w:type="dxa"/>
              <w:left w:w="0" w:type="dxa"/>
              <w:bottom w:w="0" w:type="dxa"/>
              <w:right w:w="0" w:type="dxa"/>
            </w:tcMar>
            <w:vAlign w:val="center"/>
          </w:tcPr>
          <w:p w14:paraId="14926515" w14:textId="77777777" w:rsidR="009103CC" w:rsidRPr="001814D2" w:rsidRDefault="009103CC" w:rsidP="002718DF">
            <w:pPr>
              <w:pStyle w:val="Tabletext"/>
              <w:jc w:val="right"/>
              <w:rPr>
                <w:rFonts w:cs="Preston"/>
                <w:szCs w:val="18"/>
              </w:rPr>
            </w:pPr>
            <w:r w:rsidRPr="001814D2">
              <w:rPr>
                <w:rFonts w:cs="Preston"/>
                <w:szCs w:val="18"/>
              </w:rPr>
              <w:t>2,259</w:t>
            </w:r>
          </w:p>
        </w:tc>
      </w:tr>
      <w:tr w:rsidR="009103CC" w:rsidRPr="001814D2" w14:paraId="69CCF776" w14:textId="77777777" w:rsidTr="002718DF">
        <w:trPr>
          <w:cantSplit/>
          <w:trHeight w:hRule="exact" w:val="332"/>
        </w:trPr>
        <w:tc>
          <w:tcPr>
            <w:tcW w:w="2170" w:type="pct"/>
            <w:tcMar>
              <w:top w:w="0" w:type="dxa"/>
              <w:left w:w="0" w:type="dxa"/>
              <w:bottom w:w="0" w:type="dxa"/>
              <w:right w:w="0" w:type="dxa"/>
            </w:tcMar>
            <w:vAlign w:val="center"/>
          </w:tcPr>
          <w:p w14:paraId="5F320EFF" w14:textId="77777777" w:rsidR="009103CC" w:rsidRPr="001814D2" w:rsidRDefault="009103CC" w:rsidP="002718DF">
            <w:pPr>
              <w:pStyle w:val="Tabletext"/>
            </w:pPr>
            <w:r w:rsidRPr="001814D2">
              <w:t>Additions</w:t>
            </w:r>
          </w:p>
        </w:tc>
        <w:tc>
          <w:tcPr>
            <w:tcW w:w="1416" w:type="pct"/>
            <w:tcMar>
              <w:top w:w="0" w:type="dxa"/>
              <w:left w:w="0" w:type="dxa"/>
              <w:bottom w:w="0" w:type="dxa"/>
              <w:right w:w="0" w:type="dxa"/>
            </w:tcMar>
            <w:vAlign w:val="center"/>
          </w:tcPr>
          <w:p w14:paraId="1E764832" w14:textId="77777777" w:rsidR="009103CC" w:rsidRPr="001814D2" w:rsidRDefault="009103CC" w:rsidP="002718DF">
            <w:pPr>
              <w:pStyle w:val="Tabletext"/>
              <w:jc w:val="right"/>
              <w:rPr>
                <w:rFonts w:cs="Preston"/>
                <w:szCs w:val="18"/>
              </w:rPr>
            </w:pPr>
            <w:r w:rsidRPr="001814D2">
              <w:rPr>
                <w:rFonts w:cs="Preston"/>
                <w:szCs w:val="18"/>
              </w:rPr>
              <w:t>739</w:t>
            </w:r>
          </w:p>
        </w:tc>
        <w:tc>
          <w:tcPr>
            <w:tcW w:w="1414" w:type="pct"/>
            <w:tcMar>
              <w:top w:w="0" w:type="dxa"/>
              <w:left w:w="0" w:type="dxa"/>
              <w:bottom w:w="0" w:type="dxa"/>
              <w:right w:w="0" w:type="dxa"/>
            </w:tcMar>
            <w:vAlign w:val="center"/>
          </w:tcPr>
          <w:p w14:paraId="3ABC6DCC" w14:textId="77777777" w:rsidR="009103CC" w:rsidRPr="001814D2" w:rsidRDefault="009103CC" w:rsidP="002718DF">
            <w:pPr>
              <w:pStyle w:val="Tabletext"/>
              <w:jc w:val="right"/>
              <w:rPr>
                <w:rFonts w:cs="Preston"/>
                <w:szCs w:val="18"/>
              </w:rPr>
            </w:pPr>
            <w:r w:rsidRPr="001814D2">
              <w:rPr>
                <w:rFonts w:cs="Preston"/>
                <w:szCs w:val="18"/>
              </w:rPr>
              <w:t>821</w:t>
            </w:r>
          </w:p>
        </w:tc>
      </w:tr>
      <w:tr w:rsidR="009103CC" w:rsidRPr="001814D2" w14:paraId="347E8F89" w14:textId="77777777" w:rsidTr="002718DF">
        <w:trPr>
          <w:cantSplit/>
          <w:trHeight w:hRule="exact" w:val="332"/>
        </w:trPr>
        <w:tc>
          <w:tcPr>
            <w:tcW w:w="2170" w:type="pct"/>
            <w:tcMar>
              <w:top w:w="0" w:type="dxa"/>
              <w:left w:w="0" w:type="dxa"/>
              <w:bottom w:w="0" w:type="dxa"/>
              <w:right w:w="0" w:type="dxa"/>
            </w:tcMar>
            <w:vAlign w:val="center"/>
          </w:tcPr>
          <w:p w14:paraId="773E473A" w14:textId="77777777" w:rsidR="009103CC" w:rsidRPr="001814D2" w:rsidRDefault="009103CC" w:rsidP="002718DF">
            <w:pPr>
              <w:pStyle w:val="Tabletext"/>
            </w:pPr>
            <w:r w:rsidRPr="001814D2">
              <w:t>Amortisation</w:t>
            </w:r>
          </w:p>
        </w:tc>
        <w:tc>
          <w:tcPr>
            <w:tcW w:w="1416" w:type="pct"/>
            <w:tcMar>
              <w:top w:w="0" w:type="dxa"/>
              <w:left w:w="0" w:type="dxa"/>
              <w:bottom w:w="0" w:type="dxa"/>
              <w:right w:w="0" w:type="dxa"/>
            </w:tcMar>
            <w:vAlign w:val="center"/>
          </w:tcPr>
          <w:p w14:paraId="2B3F6259" w14:textId="77777777" w:rsidR="009103CC" w:rsidRPr="001814D2" w:rsidRDefault="009103CC" w:rsidP="002718DF">
            <w:pPr>
              <w:pStyle w:val="Tabletext"/>
              <w:jc w:val="right"/>
              <w:rPr>
                <w:rFonts w:cs="Preston"/>
                <w:szCs w:val="18"/>
              </w:rPr>
            </w:pPr>
            <w:r w:rsidRPr="001814D2">
              <w:rPr>
                <w:rFonts w:cs="Preston"/>
                <w:szCs w:val="18"/>
              </w:rPr>
              <w:t xml:space="preserve"> (351)</w:t>
            </w:r>
          </w:p>
        </w:tc>
        <w:tc>
          <w:tcPr>
            <w:tcW w:w="1414" w:type="pct"/>
            <w:tcMar>
              <w:top w:w="0" w:type="dxa"/>
              <w:left w:w="0" w:type="dxa"/>
              <w:bottom w:w="0" w:type="dxa"/>
              <w:right w:w="0" w:type="dxa"/>
            </w:tcMar>
            <w:vAlign w:val="center"/>
          </w:tcPr>
          <w:p w14:paraId="39ACC7ED" w14:textId="77777777" w:rsidR="009103CC" w:rsidRPr="001814D2" w:rsidRDefault="009103CC" w:rsidP="002718DF">
            <w:pPr>
              <w:pStyle w:val="Tabletext"/>
              <w:jc w:val="right"/>
              <w:rPr>
                <w:rFonts w:cs="Preston"/>
                <w:szCs w:val="18"/>
              </w:rPr>
            </w:pPr>
            <w:r w:rsidRPr="001814D2">
              <w:rPr>
                <w:rFonts w:cs="Preston"/>
                <w:szCs w:val="18"/>
              </w:rPr>
              <w:t>(321)</w:t>
            </w:r>
          </w:p>
        </w:tc>
      </w:tr>
      <w:tr w:rsidR="009103CC" w:rsidRPr="001814D2" w14:paraId="40BD584A" w14:textId="77777777" w:rsidTr="002718DF">
        <w:trPr>
          <w:cantSplit/>
          <w:trHeight w:hRule="exact" w:val="332"/>
        </w:trPr>
        <w:tc>
          <w:tcPr>
            <w:tcW w:w="2170" w:type="pct"/>
            <w:tcMar>
              <w:top w:w="0" w:type="dxa"/>
              <w:left w:w="0" w:type="dxa"/>
              <w:bottom w:w="0" w:type="dxa"/>
              <w:right w:w="0" w:type="dxa"/>
            </w:tcMar>
            <w:vAlign w:val="center"/>
          </w:tcPr>
          <w:p w14:paraId="76555CB3" w14:textId="77777777" w:rsidR="009103CC" w:rsidRPr="001814D2" w:rsidRDefault="009103CC" w:rsidP="002718DF">
            <w:pPr>
              <w:pStyle w:val="Tabletext"/>
            </w:pPr>
            <w:r w:rsidRPr="001814D2">
              <w:t xml:space="preserve">Net carrying amount at end of year </w:t>
            </w:r>
          </w:p>
        </w:tc>
        <w:tc>
          <w:tcPr>
            <w:tcW w:w="1416" w:type="pct"/>
            <w:tcMar>
              <w:top w:w="0" w:type="dxa"/>
              <w:left w:w="0" w:type="dxa"/>
              <w:bottom w:w="0" w:type="dxa"/>
              <w:right w:w="0" w:type="dxa"/>
            </w:tcMar>
            <w:vAlign w:val="center"/>
          </w:tcPr>
          <w:p w14:paraId="43D22860" w14:textId="77777777" w:rsidR="009103CC" w:rsidRPr="001814D2" w:rsidRDefault="009103CC" w:rsidP="002718DF">
            <w:pPr>
              <w:pStyle w:val="Tabletext"/>
              <w:jc w:val="right"/>
              <w:rPr>
                <w:rFonts w:cs="Preston"/>
                <w:szCs w:val="18"/>
              </w:rPr>
            </w:pPr>
            <w:r w:rsidRPr="001814D2">
              <w:rPr>
                <w:rFonts w:cs="Preston"/>
                <w:szCs w:val="18"/>
              </w:rPr>
              <w:t xml:space="preserve"> 3,147</w:t>
            </w:r>
          </w:p>
        </w:tc>
        <w:tc>
          <w:tcPr>
            <w:tcW w:w="1414" w:type="pct"/>
            <w:tcMar>
              <w:top w:w="0" w:type="dxa"/>
              <w:left w:w="0" w:type="dxa"/>
              <w:bottom w:w="0" w:type="dxa"/>
              <w:right w:w="0" w:type="dxa"/>
            </w:tcMar>
            <w:vAlign w:val="center"/>
          </w:tcPr>
          <w:p w14:paraId="7063D3B2" w14:textId="77777777" w:rsidR="009103CC" w:rsidRPr="001814D2" w:rsidRDefault="009103CC" w:rsidP="002718DF">
            <w:pPr>
              <w:pStyle w:val="Tabletext"/>
              <w:jc w:val="right"/>
              <w:rPr>
                <w:rFonts w:cs="Preston"/>
                <w:szCs w:val="18"/>
              </w:rPr>
            </w:pPr>
            <w:r w:rsidRPr="001814D2">
              <w:rPr>
                <w:rFonts w:cs="Preston"/>
                <w:szCs w:val="18"/>
              </w:rPr>
              <w:t>2,759</w:t>
            </w:r>
          </w:p>
        </w:tc>
      </w:tr>
    </w:tbl>
    <w:p w14:paraId="3AF0D5D7" w14:textId="77777777" w:rsidR="009103CC" w:rsidRPr="001814D2" w:rsidRDefault="009103CC" w:rsidP="009103CC">
      <w:pPr>
        <w:pStyle w:val="Tabletext"/>
      </w:pPr>
    </w:p>
    <w:p w14:paraId="44487378" w14:textId="77777777" w:rsidR="009103CC" w:rsidRPr="001814D2" w:rsidRDefault="009103CC" w:rsidP="009103CC">
      <w:pPr>
        <w:pStyle w:val="ARbody"/>
      </w:pPr>
      <w:r w:rsidRPr="001814D2">
        <w:t>The intangible assets held by the Gallery comprise the Gallery's website and software for it's own, internal use. As there is no active market for these assets they are carried at cost less any accumulated amortisation and impairment losses. The Gallery’s intangible assets are amortised on a straight line basis over 7-10 years.</w:t>
      </w:r>
    </w:p>
    <w:tbl>
      <w:tblPr>
        <w:tblW w:w="5000" w:type="pct"/>
        <w:tblBorders>
          <w:insideH w:val="single" w:sz="4" w:space="0" w:color="auto"/>
        </w:tblBorders>
        <w:tblCellMar>
          <w:left w:w="0" w:type="dxa"/>
          <w:right w:w="0" w:type="dxa"/>
        </w:tblCellMar>
        <w:tblLook w:val="0000" w:firstRow="0" w:lastRow="0" w:firstColumn="0" w:lastColumn="0" w:noHBand="0" w:noVBand="0"/>
        <w:tblCaption w:val="11 Current and non-current liabilities - payable"/>
        <w:tblDescription w:val="This table provides figures for 2020 and 2021 for both the consolidated entity and parent entity."/>
      </w:tblPr>
      <w:tblGrid>
        <w:gridCol w:w="3937"/>
        <w:gridCol w:w="1284"/>
        <w:gridCol w:w="1284"/>
        <w:gridCol w:w="1284"/>
        <w:gridCol w:w="1281"/>
      </w:tblGrid>
      <w:tr w:rsidR="009103CC" w:rsidRPr="001814D2" w14:paraId="3B5F67ED" w14:textId="77777777" w:rsidTr="002718DF">
        <w:trPr>
          <w:cantSplit/>
          <w:trHeight w:hRule="exact" w:val="332"/>
          <w:tblHeader/>
        </w:trPr>
        <w:tc>
          <w:tcPr>
            <w:tcW w:w="2170" w:type="pct"/>
            <w:tcMar>
              <w:top w:w="0" w:type="dxa"/>
              <w:left w:w="0" w:type="dxa"/>
              <w:bottom w:w="0" w:type="dxa"/>
              <w:right w:w="0" w:type="dxa"/>
            </w:tcMar>
            <w:vAlign w:val="center"/>
          </w:tcPr>
          <w:p w14:paraId="2A829EAF" w14:textId="77777777" w:rsidR="009103CC" w:rsidRPr="001814D2" w:rsidRDefault="009103CC" w:rsidP="002718DF">
            <w:pPr>
              <w:pStyle w:val="Tabletext"/>
              <w:jc w:val="center"/>
            </w:pPr>
          </w:p>
        </w:tc>
        <w:tc>
          <w:tcPr>
            <w:tcW w:w="1416" w:type="pct"/>
            <w:gridSpan w:val="2"/>
            <w:tcMar>
              <w:top w:w="0" w:type="dxa"/>
              <w:left w:w="0" w:type="dxa"/>
              <w:bottom w:w="0" w:type="dxa"/>
              <w:right w:w="0" w:type="dxa"/>
            </w:tcMar>
            <w:vAlign w:val="center"/>
          </w:tcPr>
          <w:p w14:paraId="700E5C1D" w14:textId="77777777" w:rsidR="009103CC" w:rsidRPr="001814D2" w:rsidRDefault="009103CC" w:rsidP="002718DF">
            <w:pPr>
              <w:pStyle w:val="Tabletext"/>
              <w:jc w:val="center"/>
              <w:rPr>
                <w:rFonts w:cs="Preston"/>
                <w:b/>
                <w:bCs/>
                <w:szCs w:val="18"/>
              </w:rPr>
            </w:pPr>
            <w:r w:rsidRPr="001814D2">
              <w:rPr>
                <w:rFonts w:cs="Preston"/>
                <w:b/>
                <w:bCs/>
                <w:szCs w:val="18"/>
              </w:rPr>
              <w:t>Consolidated entity</w:t>
            </w:r>
          </w:p>
        </w:tc>
        <w:tc>
          <w:tcPr>
            <w:tcW w:w="1414" w:type="pct"/>
            <w:gridSpan w:val="2"/>
            <w:tcMar>
              <w:top w:w="0" w:type="dxa"/>
              <w:left w:w="0" w:type="dxa"/>
              <w:bottom w:w="0" w:type="dxa"/>
              <w:right w:w="0" w:type="dxa"/>
            </w:tcMar>
            <w:vAlign w:val="center"/>
          </w:tcPr>
          <w:p w14:paraId="71F0BBBE" w14:textId="77777777" w:rsidR="009103CC" w:rsidRPr="001814D2" w:rsidRDefault="009103CC" w:rsidP="002718DF">
            <w:pPr>
              <w:pStyle w:val="Tabletext"/>
              <w:jc w:val="center"/>
              <w:rPr>
                <w:rFonts w:cs="Preston"/>
                <w:b/>
                <w:bCs/>
                <w:szCs w:val="18"/>
              </w:rPr>
            </w:pPr>
            <w:r w:rsidRPr="001814D2">
              <w:rPr>
                <w:rFonts w:cs="Preston"/>
                <w:b/>
                <w:bCs/>
                <w:szCs w:val="18"/>
              </w:rPr>
              <w:t>Parent entity</w:t>
            </w:r>
          </w:p>
        </w:tc>
      </w:tr>
      <w:tr w:rsidR="009103CC" w:rsidRPr="00036E42" w14:paraId="69BEBA28" w14:textId="77777777" w:rsidTr="002718DF">
        <w:trPr>
          <w:cantSplit/>
          <w:trHeight w:hRule="exact" w:val="553"/>
          <w:tblHeader/>
        </w:trPr>
        <w:tc>
          <w:tcPr>
            <w:tcW w:w="2170" w:type="pct"/>
            <w:tcMar>
              <w:top w:w="0" w:type="dxa"/>
              <w:left w:w="0" w:type="dxa"/>
              <w:bottom w:w="0" w:type="dxa"/>
              <w:right w:w="0" w:type="dxa"/>
            </w:tcMar>
            <w:vAlign w:val="center"/>
          </w:tcPr>
          <w:p w14:paraId="5622CB55" w14:textId="77777777" w:rsidR="009103CC" w:rsidRPr="00036E42" w:rsidRDefault="009103CC" w:rsidP="002718DF">
            <w:pPr>
              <w:pStyle w:val="Tabletext"/>
              <w:rPr>
                <w:rFonts w:cs="Preston"/>
                <w:b/>
                <w:bCs/>
                <w:szCs w:val="18"/>
              </w:rPr>
            </w:pPr>
            <w:r w:rsidRPr="00036E42">
              <w:rPr>
                <w:rFonts w:cs="Preston"/>
                <w:b/>
                <w:bCs/>
                <w:szCs w:val="18"/>
              </w:rPr>
              <w:t>11 Current / non current liabilities – payables</w:t>
            </w:r>
          </w:p>
          <w:p w14:paraId="0FDF6CB9" w14:textId="77777777" w:rsidR="009103CC" w:rsidRPr="00036E42" w:rsidRDefault="009103CC" w:rsidP="002718DF">
            <w:pPr>
              <w:pStyle w:val="Tabletext"/>
              <w:rPr>
                <w:rFonts w:cs="Preston"/>
                <w:b/>
                <w:bCs/>
                <w:szCs w:val="18"/>
              </w:rPr>
            </w:pPr>
          </w:p>
        </w:tc>
        <w:tc>
          <w:tcPr>
            <w:tcW w:w="708" w:type="pct"/>
            <w:tcMar>
              <w:top w:w="0" w:type="dxa"/>
              <w:left w:w="0" w:type="dxa"/>
              <w:bottom w:w="0" w:type="dxa"/>
              <w:right w:w="0" w:type="dxa"/>
            </w:tcMar>
            <w:vAlign w:val="center"/>
          </w:tcPr>
          <w:p w14:paraId="095ABDD1" w14:textId="77777777" w:rsidR="009103CC" w:rsidRPr="00036E42" w:rsidRDefault="009103CC" w:rsidP="002718DF">
            <w:pPr>
              <w:pStyle w:val="Tabletext"/>
              <w:jc w:val="right"/>
              <w:rPr>
                <w:rFonts w:cs="Preston"/>
                <w:b/>
                <w:bCs/>
                <w:szCs w:val="18"/>
              </w:rPr>
            </w:pPr>
            <w:r w:rsidRPr="00036E42">
              <w:rPr>
                <w:rFonts w:cs="Preston"/>
                <w:b/>
                <w:bCs/>
                <w:szCs w:val="18"/>
              </w:rPr>
              <w:t>2021</w:t>
            </w:r>
          </w:p>
          <w:p w14:paraId="7930AEC6" w14:textId="77777777" w:rsidR="009103CC" w:rsidRPr="00036E42" w:rsidRDefault="009103CC" w:rsidP="002718DF">
            <w:pPr>
              <w:pStyle w:val="Tabletext"/>
              <w:jc w:val="right"/>
              <w:rPr>
                <w:rFonts w:cs="Preston"/>
                <w:b/>
                <w:bCs/>
                <w:szCs w:val="18"/>
              </w:rPr>
            </w:pPr>
            <w:r w:rsidRPr="00036E42">
              <w:rPr>
                <w:rFonts w:cs="Preston"/>
                <w:b/>
                <w:bCs/>
                <w:szCs w:val="18"/>
              </w:rPr>
              <w:t>$'000</w:t>
            </w:r>
          </w:p>
        </w:tc>
        <w:tc>
          <w:tcPr>
            <w:tcW w:w="708" w:type="pct"/>
            <w:tcMar>
              <w:top w:w="0" w:type="dxa"/>
              <w:left w:w="0" w:type="dxa"/>
              <w:bottom w:w="0" w:type="dxa"/>
              <w:right w:w="0" w:type="dxa"/>
            </w:tcMar>
            <w:vAlign w:val="center"/>
          </w:tcPr>
          <w:p w14:paraId="5BADD671" w14:textId="77777777" w:rsidR="009103CC" w:rsidRPr="00036E42" w:rsidRDefault="009103CC" w:rsidP="002718DF">
            <w:pPr>
              <w:pStyle w:val="Tabletext"/>
              <w:jc w:val="right"/>
              <w:rPr>
                <w:rFonts w:cs="Preston"/>
                <w:b/>
                <w:bCs/>
                <w:szCs w:val="18"/>
              </w:rPr>
            </w:pPr>
            <w:r w:rsidRPr="00036E42">
              <w:rPr>
                <w:rFonts w:cs="Preston"/>
                <w:b/>
                <w:bCs/>
                <w:szCs w:val="18"/>
              </w:rPr>
              <w:t>2020</w:t>
            </w:r>
          </w:p>
          <w:p w14:paraId="37089846" w14:textId="77777777" w:rsidR="009103CC" w:rsidRPr="00036E42" w:rsidRDefault="009103CC" w:rsidP="002718DF">
            <w:pPr>
              <w:pStyle w:val="Tabletext"/>
              <w:jc w:val="right"/>
              <w:rPr>
                <w:rFonts w:cs="Preston"/>
                <w:b/>
                <w:bCs/>
                <w:szCs w:val="18"/>
              </w:rPr>
            </w:pPr>
            <w:r w:rsidRPr="00036E42">
              <w:rPr>
                <w:rFonts w:cs="Preston"/>
                <w:b/>
                <w:bCs/>
                <w:szCs w:val="18"/>
              </w:rPr>
              <w:t>$'000</w:t>
            </w:r>
          </w:p>
        </w:tc>
        <w:tc>
          <w:tcPr>
            <w:tcW w:w="708" w:type="pct"/>
            <w:tcMar>
              <w:top w:w="0" w:type="dxa"/>
              <w:left w:w="0" w:type="dxa"/>
              <w:bottom w:w="0" w:type="dxa"/>
              <w:right w:w="0" w:type="dxa"/>
            </w:tcMar>
            <w:vAlign w:val="center"/>
          </w:tcPr>
          <w:p w14:paraId="5FC68C7F" w14:textId="77777777" w:rsidR="009103CC" w:rsidRPr="00036E42" w:rsidRDefault="009103CC" w:rsidP="002718DF">
            <w:pPr>
              <w:pStyle w:val="Tabletext"/>
              <w:jc w:val="right"/>
              <w:rPr>
                <w:rFonts w:cs="Preston"/>
                <w:b/>
                <w:bCs/>
                <w:szCs w:val="18"/>
              </w:rPr>
            </w:pPr>
            <w:r w:rsidRPr="00036E42">
              <w:rPr>
                <w:rFonts w:cs="Preston"/>
                <w:b/>
                <w:bCs/>
                <w:szCs w:val="18"/>
              </w:rPr>
              <w:t>2021</w:t>
            </w:r>
          </w:p>
          <w:p w14:paraId="5F08C086" w14:textId="77777777" w:rsidR="009103CC" w:rsidRPr="00036E42" w:rsidRDefault="009103CC" w:rsidP="002718DF">
            <w:pPr>
              <w:pStyle w:val="Tabletext"/>
              <w:jc w:val="right"/>
              <w:rPr>
                <w:rFonts w:cs="Preston"/>
                <w:b/>
                <w:bCs/>
                <w:szCs w:val="18"/>
              </w:rPr>
            </w:pPr>
            <w:r w:rsidRPr="00036E42">
              <w:rPr>
                <w:rFonts w:cs="Preston"/>
                <w:b/>
                <w:bCs/>
                <w:szCs w:val="18"/>
              </w:rPr>
              <w:t>$'000</w:t>
            </w:r>
          </w:p>
          <w:p w14:paraId="6DCEAD18" w14:textId="77777777" w:rsidR="009103CC" w:rsidRPr="00036E42" w:rsidRDefault="009103CC" w:rsidP="002718DF">
            <w:pPr>
              <w:pStyle w:val="Tabletext"/>
              <w:jc w:val="right"/>
              <w:rPr>
                <w:rFonts w:cs="Preston"/>
                <w:b/>
                <w:bCs/>
                <w:szCs w:val="18"/>
              </w:rPr>
            </w:pPr>
          </w:p>
        </w:tc>
        <w:tc>
          <w:tcPr>
            <w:tcW w:w="706" w:type="pct"/>
            <w:tcMar>
              <w:top w:w="0" w:type="dxa"/>
              <w:left w:w="0" w:type="dxa"/>
              <w:bottom w:w="0" w:type="dxa"/>
              <w:right w:w="0" w:type="dxa"/>
            </w:tcMar>
            <w:vAlign w:val="center"/>
          </w:tcPr>
          <w:p w14:paraId="2CD35872" w14:textId="77777777" w:rsidR="009103CC" w:rsidRPr="00036E42" w:rsidRDefault="009103CC" w:rsidP="002718DF">
            <w:pPr>
              <w:pStyle w:val="Tabletext"/>
              <w:jc w:val="right"/>
              <w:rPr>
                <w:rFonts w:cs="Preston"/>
                <w:b/>
                <w:bCs/>
                <w:szCs w:val="18"/>
              </w:rPr>
            </w:pPr>
            <w:r w:rsidRPr="00036E42">
              <w:rPr>
                <w:rFonts w:cs="Preston"/>
                <w:b/>
                <w:bCs/>
                <w:szCs w:val="18"/>
              </w:rPr>
              <w:t>2020</w:t>
            </w:r>
          </w:p>
          <w:p w14:paraId="42F4E874" w14:textId="77777777" w:rsidR="009103CC" w:rsidRPr="00036E42" w:rsidRDefault="009103CC" w:rsidP="002718DF">
            <w:pPr>
              <w:pStyle w:val="Tabletext"/>
              <w:jc w:val="right"/>
              <w:rPr>
                <w:rFonts w:cs="Preston"/>
                <w:b/>
                <w:bCs/>
                <w:szCs w:val="18"/>
              </w:rPr>
            </w:pPr>
            <w:r w:rsidRPr="00036E42">
              <w:rPr>
                <w:rFonts w:cs="Preston"/>
                <w:b/>
                <w:bCs/>
                <w:szCs w:val="18"/>
              </w:rPr>
              <w:t>$'000</w:t>
            </w:r>
          </w:p>
          <w:p w14:paraId="48867837" w14:textId="77777777" w:rsidR="009103CC" w:rsidRPr="00036E42" w:rsidRDefault="009103CC" w:rsidP="002718DF">
            <w:pPr>
              <w:pStyle w:val="Tabletext"/>
              <w:jc w:val="right"/>
              <w:rPr>
                <w:rFonts w:cs="Preston"/>
                <w:b/>
                <w:bCs/>
                <w:szCs w:val="18"/>
              </w:rPr>
            </w:pPr>
          </w:p>
        </w:tc>
      </w:tr>
      <w:tr w:rsidR="009103CC" w:rsidRPr="001814D2" w14:paraId="77966911" w14:textId="77777777" w:rsidTr="002718DF">
        <w:trPr>
          <w:cantSplit/>
          <w:trHeight w:hRule="exact" w:val="332"/>
        </w:trPr>
        <w:tc>
          <w:tcPr>
            <w:tcW w:w="2170" w:type="pct"/>
            <w:tcMar>
              <w:top w:w="0" w:type="dxa"/>
              <w:left w:w="0" w:type="dxa"/>
              <w:bottom w:w="0" w:type="dxa"/>
              <w:right w:w="0" w:type="dxa"/>
            </w:tcMar>
            <w:vAlign w:val="center"/>
          </w:tcPr>
          <w:p w14:paraId="54F88B1D" w14:textId="77777777" w:rsidR="009103CC" w:rsidRPr="001814D2" w:rsidRDefault="009103CC" w:rsidP="002718DF">
            <w:pPr>
              <w:pStyle w:val="Tabletext"/>
              <w:rPr>
                <w:rFonts w:cs="Preston"/>
                <w:szCs w:val="18"/>
              </w:rPr>
            </w:pPr>
            <w:r w:rsidRPr="001814D2">
              <w:rPr>
                <w:rFonts w:cs="Preston"/>
                <w:szCs w:val="18"/>
              </w:rPr>
              <w:t>Trade creditors</w:t>
            </w:r>
          </w:p>
        </w:tc>
        <w:tc>
          <w:tcPr>
            <w:tcW w:w="708" w:type="pct"/>
            <w:tcMar>
              <w:top w:w="0" w:type="dxa"/>
              <w:left w:w="0" w:type="dxa"/>
              <w:bottom w:w="0" w:type="dxa"/>
              <w:right w:w="0" w:type="dxa"/>
            </w:tcMar>
            <w:vAlign w:val="center"/>
          </w:tcPr>
          <w:p w14:paraId="5DFDB7AB" w14:textId="77777777" w:rsidR="009103CC" w:rsidRPr="001814D2" w:rsidRDefault="009103CC" w:rsidP="002718DF">
            <w:pPr>
              <w:pStyle w:val="Tabletext"/>
              <w:jc w:val="right"/>
              <w:rPr>
                <w:rFonts w:cs="Preston"/>
                <w:szCs w:val="18"/>
              </w:rPr>
            </w:pPr>
            <w:r w:rsidRPr="001814D2">
              <w:rPr>
                <w:rFonts w:cs="Preston"/>
                <w:szCs w:val="18"/>
              </w:rPr>
              <w:t>2,806</w:t>
            </w:r>
          </w:p>
        </w:tc>
        <w:tc>
          <w:tcPr>
            <w:tcW w:w="708" w:type="pct"/>
            <w:tcMar>
              <w:top w:w="0" w:type="dxa"/>
              <w:left w:w="0" w:type="dxa"/>
              <w:bottom w:w="0" w:type="dxa"/>
              <w:right w:w="0" w:type="dxa"/>
            </w:tcMar>
            <w:vAlign w:val="center"/>
          </w:tcPr>
          <w:p w14:paraId="697BF6AE" w14:textId="77777777" w:rsidR="009103CC" w:rsidRPr="001814D2" w:rsidRDefault="009103CC" w:rsidP="002718DF">
            <w:pPr>
              <w:pStyle w:val="Tabletext"/>
              <w:jc w:val="right"/>
              <w:rPr>
                <w:rFonts w:cs="Preston"/>
                <w:szCs w:val="18"/>
              </w:rPr>
            </w:pPr>
            <w:r w:rsidRPr="001814D2">
              <w:rPr>
                <w:rFonts w:cs="Preston"/>
                <w:szCs w:val="18"/>
              </w:rPr>
              <w:t>2,583</w:t>
            </w:r>
          </w:p>
        </w:tc>
        <w:tc>
          <w:tcPr>
            <w:tcW w:w="708" w:type="pct"/>
            <w:tcMar>
              <w:top w:w="0" w:type="dxa"/>
              <w:left w:w="0" w:type="dxa"/>
              <w:bottom w:w="0" w:type="dxa"/>
              <w:right w:w="0" w:type="dxa"/>
            </w:tcMar>
            <w:vAlign w:val="center"/>
          </w:tcPr>
          <w:p w14:paraId="53B37010" w14:textId="77777777" w:rsidR="009103CC" w:rsidRPr="001814D2" w:rsidRDefault="009103CC" w:rsidP="002718DF">
            <w:pPr>
              <w:pStyle w:val="Tabletext"/>
              <w:jc w:val="right"/>
              <w:rPr>
                <w:rFonts w:cs="Preston"/>
                <w:szCs w:val="18"/>
              </w:rPr>
            </w:pPr>
            <w:r w:rsidRPr="001814D2">
              <w:rPr>
                <w:rFonts w:cs="Preston"/>
                <w:szCs w:val="18"/>
              </w:rPr>
              <w:t>2,627</w:t>
            </w:r>
          </w:p>
        </w:tc>
        <w:tc>
          <w:tcPr>
            <w:tcW w:w="706" w:type="pct"/>
            <w:tcMar>
              <w:top w:w="0" w:type="dxa"/>
              <w:left w:w="0" w:type="dxa"/>
              <w:bottom w:w="0" w:type="dxa"/>
              <w:right w:w="0" w:type="dxa"/>
            </w:tcMar>
            <w:vAlign w:val="center"/>
          </w:tcPr>
          <w:p w14:paraId="25DF0382" w14:textId="77777777" w:rsidR="009103CC" w:rsidRPr="001814D2" w:rsidRDefault="009103CC" w:rsidP="002718DF">
            <w:pPr>
              <w:pStyle w:val="Tabletext"/>
              <w:jc w:val="right"/>
              <w:rPr>
                <w:rFonts w:cs="Preston"/>
                <w:szCs w:val="18"/>
              </w:rPr>
            </w:pPr>
            <w:r w:rsidRPr="001814D2">
              <w:rPr>
                <w:rFonts w:cs="Preston"/>
                <w:szCs w:val="18"/>
              </w:rPr>
              <w:t>2,484</w:t>
            </w:r>
          </w:p>
        </w:tc>
      </w:tr>
      <w:tr w:rsidR="009103CC" w:rsidRPr="001814D2" w14:paraId="142A0E78" w14:textId="77777777" w:rsidTr="002718DF">
        <w:trPr>
          <w:cantSplit/>
          <w:trHeight w:hRule="exact" w:val="332"/>
        </w:trPr>
        <w:tc>
          <w:tcPr>
            <w:tcW w:w="2170" w:type="pct"/>
            <w:tcMar>
              <w:top w:w="0" w:type="dxa"/>
              <w:left w:w="0" w:type="dxa"/>
              <w:bottom w:w="0" w:type="dxa"/>
              <w:right w:w="0" w:type="dxa"/>
            </w:tcMar>
            <w:vAlign w:val="center"/>
          </w:tcPr>
          <w:p w14:paraId="60499F05" w14:textId="77777777" w:rsidR="009103CC" w:rsidRPr="001814D2" w:rsidRDefault="009103CC" w:rsidP="002718DF">
            <w:pPr>
              <w:pStyle w:val="Tabletext"/>
              <w:rPr>
                <w:rFonts w:cs="Preston"/>
                <w:szCs w:val="18"/>
              </w:rPr>
            </w:pPr>
            <w:r w:rsidRPr="001814D2">
              <w:rPr>
                <w:rFonts w:cs="Preston"/>
                <w:szCs w:val="18"/>
              </w:rPr>
              <w:t>Accruals</w:t>
            </w:r>
          </w:p>
        </w:tc>
        <w:tc>
          <w:tcPr>
            <w:tcW w:w="708" w:type="pct"/>
            <w:tcMar>
              <w:top w:w="0" w:type="dxa"/>
              <w:left w:w="0" w:type="dxa"/>
              <w:bottom w:w="0" w:type="dxa"/>
              <w:right w:w="0" w:type="dxa"/>
            </w:tcMar>
            <w:vAlign w:val="center"/>
          </w:tcPr>
          <w:p w14:paraId="036667C0" w14:textId="77777777" w:rsidR="009103CC" w:rsidRPr="001814D2" w:rsidRDefault="009103CC" w:rsidP="002718DF">
            <w:pPr>
              <w:pStyle w:val="Tabletext"/>
              <w:jc w:val="right"/>
              <w:rPr>
                <w:rFonts w:cs="Preston"/>
                <w:szCs w:val="18"/>
              </w:rPr>
            </w:pPr>
            <w:r w:rsidRPr="001814D2">
              <w:rPr>
                <w:rFonts w:cs="Preston"/>
                <w:szCs w:val="18"/>
              </w:rPr>
              <w:t>19,217</w:t>
            </w:r>
          </w:p>
        </w:tc>
        <w:tc>
          <w:tcPr>
            <w:tcW w:w="708" w:type="pct"/>
            <w:tcMar>
              <w:top w:w="0" w:type="dxa"/>
              <w:left w:w="0" w:type="dxa"/>
              <w:bottom w:w="0" w:type="dxa"/>
              <w:right w:w="0" w:type="dxa"/>
            </w:tcMar>
            <w:vAlign w:val="center"/>
          </w:tcPr>
          <w:p w14:paraId="0AA6D791" w14:textId="77777777" w:rsidR="009103CC" w:rsidRPr="001814D2" w:rsidRDefault="009103CC" w:rsidP="002718DF">
            <w:pPr>
              <w:pStyle w:val="Tabletext"/>
              <w:jc w:val="right"/>
              <w:rPr>
                <w:rFonts w:cs="Preston"/>
                <w:szCs w:val="18"/>
              </w:rPr>
            </w:pPr>
            <w:r w:rsidRPr="001814D2">
              <w:rPr>
                <w:rFonts w:cs="Preston"/>
                <w:szCs w:val="18"/>
              </w:rPr>
              <w:t>7,063</w:t>
            </w:r>
          </w:p>
        </w:tc>
        <w:tc>
          <w:tcPr>
            <w:tcW w:w="708" w:type="pct"/>
            <w:tcMar>
              <w:top w:w="0" w:type="dxa"/>
              <w:left w:w="0" w:type="dxa"/>
              <w:bottom w:w="0" w:type="dxa"/>
              <w:right w:w="0" w:type="dxa"/>
            </w:tcMar>
            <w:vAlign w:val="center"/>
          </w:tcPr>
          <w:p w14:paraId="3DA88C99" w14:textId="77777777" w:rsidR="009103CC" w:rsidRPr="001814D2" w:rsidRDefault="009103CC" w:rsidP="002718DF">
            <w:pPr>
              <w:pStyle w:val="Tabletext"/>
              <w:jc w:val="right"/>
              <w:rPr>
                <w:rFonts w:cs="Preston"/>
                <w:szCs w:val="18"/>
              </w:rPr>
            </w:pPr>
            <w:r w:rsidRPr="001814D2">
              <w:rPr>
                <w:rFonts w:cs="Preston"/>
                <w:szCs w:val="18"/>
              </w:rPr>
              <w:t>19,217</w:t>
            </w:r>
          </w:p>
        </w:tc>
        <w:tc>
          <w:tcPr>
            <w:tcW w:w="706" w:type="pct"/>
            <w:tcMar>
              <w:top w:w="0" w:type="dxa"/>
              <w:left w:w="0" w:type="dxa"/>
              <w:bottom w:w="0" w:type="dxa"/>
              <w:right w:w="0" w:type="dxa"/>
            </w:tcMar>
            <w:vAlign w:val="center"/>
          </w:tcPr>
          <w:p w14:paraId="0626A8E5" w14:textId="77777777" w:rsidR="009103CC" w:rsidRPr="001814D2" w:rsidRDefault="009103CC" w:rsidP="002718DF">
            <w:pPr>
              <w:pStyle w:val="Tabletext"/>
              <w:jc w:val="right"/>
              <w:rPr>
                <w:rFonts w:cs="Preston"/>
                <w:szCs w:val="18"/>
              </w:rPr>
            </w:pPr>
            <w:r w:rsidRPr="001814D2">
              <w:rPr>
                <w:rFonts w:cs="Preston"/>
                <w:szCs w:val="18"/>
              </w:rPr>
              <w:t>7,063</w:t>
            </w:r>
          </w:p>
        </w:tc>
      </w:tr>
      <w:tr w:rsidR="009103CC" w:rsidRPr="001814D2" w14:paraId="310238A7" w14:textId="77777777" w:rsidTr="002718DF">
        <w:trPr>
          <w:cantSplit/>
          <w:trHeight w:hRule="exact" w:val="332"/>
        </w:trPr>
        <w:tc>
          <w:tcPr>
            <w:tcW w:w="2170" w:type="pct"/>
            <w:tcMar>
              <w:top w:w="0" w:type="dxa"/>
              <w:left w:w="0" w:type="dxa"/>
              <w:bottom w:w="0" w:type="dxa"/>
              <w:right w:w="0" w:type="dxa"/>
            </w:tcMar>
            <w:vAlign w:val="center"/>
          </w:tcPr>
          <w:p w14:paraId="2C79CAB1" w14:textId="77777777" w:rsidR="009103CC" w:rsidRPr="001814D2" w:rsidRDefault="009103CC" w:rsidP="002718DF">
            <w:pPr>
              <w:pStyle w:val="Tabletext"/>
              <w:rPr>
                <w:rFonts w:cs="Preston"/>
                <w:szCs w:val="18"/>
              </w:rPr>
            </w:pPr>
            <w:r w:rsidRPr="001814D2">
              <w:rPr>
                <w:rFonts w:cs="Preston"/>
                <w:szCs w:val="18"/>
              </w:rPr>
              <w:t>Grant revenue received in advance</w:t>
            </w:r>
          </w:p>
        </w:tc>
        <w:tc>
          <w:tcPr>
            <w:tcW w:w="708" w:type="pct"/>
            <w:tcMar>
              <w:top w:w="0" w:type="dxa"/>
              <w:left w:w="0" w:type="dxa"/>
              <w:bottom w:w="0" w:type="dxa"/>
              <w:right w:w="0" w:type="dxa"/>
            </w:tcMar>
            <w:vAlign w:val="center"/>
          </w:tcPr>
          <w:p w14:paraId="5761AB83" w14:textId="77777777" w:rsidR="009103CC" w:rsidRPr="001814D2" w:rsidRDefault="009103CC" w:rsidP="002718DF">
            <w:pPr>
              <w:pStyle w:val="Tabletext"/>
              <w:jc w:val="right"/>
              <w:rPr>
                <w:rFonts w:cs="Preston"/>
                <w:szCs w:val="18"/>
              </w:rPr>
            </w:pPr>
            <w:r w:rsidRPr="001814D2">
              <w:rPr>
                <w:rFonts w:cs="Preston"/>
                <w:szCs w:val="18"/>
              </w:rPr>
              <w:t>2,567</w:t>
            </w:r>
          </w:p>
        </w:tc>
        <w:tc>
          <w:tcPr>
            <w:tcW w:w="708" w:type="pct"/>
            <w:tcMar>
              <w:top w:w="0" w:type="dxa"/>
              <w:left w:w="0" w:type="dxa"/>
              <w:bottom w:w="0" w:type="dxa"/>
              <w:right w:w="0" w:type="dxa"/>
            </w:tcMar>
            <w:vAlign w:val="center"/>
          </w:tcPr>
          <w:p w14:paraId="58FD97CE" w14:textId="77777777" w:rsidR="009103CC" w:rsidRPr="001814D2" w:rsidRDefault="009103CC" w:rsidP="002718DF">
            <w:pPr>
              <w:pStyle w:val="Tabletext"/>
              <w:jc w:val="right"/>
              <w:rPr>
                <w:rFonts w:cs="Preston"/>
                <w:szCs w:val="18"/>
              </w:rPr>
            </w:pPr>
            <w:r w:rsidRPr="001814D2">
              <w:rPr>
                <w:rFonts w:cs="Preston"/>
                <w:szCs w:val="18"/>
              </w:rPr>
              <w:t>957</w:t>
            </w:r>
          </w:p>
        </w:tc>
        <w:tc>
          <w:tcPr>
            <w:tcW w:w="708" w:type="pct"/>
            <w:tcMar>
              <w:top w:w="0" w:type="dxa"/>
              <w:left w:w="0" w:type="dxa"/>
              <w:bottom w:w="0" w:type="dxa"/>
              <w:right w:w="0" w:type="dxa"/>
            </w:tcMar>
            <w:vAlign w:val="center"/>
          </w:tcPr>
          <w:p w14:paraId="13B5A42A" w14:textId="77777777" w:rsidR="009103CC" w:rsidRPr="001814D2" w:rsidRDefault="009103CC" w:rsidP="002718DF">
            <w:pPr>
              <w:pStyle w:val="Tabletext"/>
              <w:jc w:val="right"/>
              <w:rPr>
                <w:rFonts w:cs="Preston"/>
                <w:szCs w:val="18"/>
              </w:rPr>
            </w:pPr>
            <w:r w:rsidRPr="001814D2">
              <w:rPr>
                <w:rFonts w:cs="Preston"/>
                <w:szCs w:val="18"/>
              </w:rPr>
              <w:t>2,567</w:t>
            </w:r>
          </w:p>
        </w:tc>
        <w:tc>
          <w:tcPr>
            <w:tcW w:w="706" w:type="pct"/>
            <w:tcMar>
              <w:top w:w="0" w:type="dxa"/>
              <w:left w:w="0" w:type="dxa"/>
              <w:bottom w:w="0" w:type="dxa"/>
              <w:right w:w="0" w:type="dxa"/>
            </w:tcMar>
            <w:vAlign w:val="center"/>
          </w:tcPr>
          <w:p w14:paraId="3A678912" w14:textId="77777777" w:rsidR="009103CC" w:rsidRPr="001814D2" w:rsidRDefault="009103CC" w:rsidP="002718DF">
            <w:pPr>
              <w:pStyle w:val="Tabletext"/>
              <w:jc w:val="right"/>
              <w:rPr>
                <w:rFonts w:cs="Preston"/>
                <w:szCs w:val="18"/>
              </w:rPr>
            </w:pPr>
            <w:r w:rsidRPr="001814D2">
              <w:rPr>
                <w:rFonts w:cs="Preston"/>
                <w:szCs w:val="18"/>
              </w:rPr>
              <w:t>957</w:t>
            </w:r>
          </w:p>
        </w:tc>
      </w:tr>
      <w:tr w:rsidR="009103CC" w:rsidRPr="001814D2" w14:paraId="1E60CB7A" w14:textId="77777777" w:rsidTr="002718DF">
        <w:trPr>
          <w:cantSplit/>
          <w:trHeight w:hRule="exact" w:val="332"/>
        </w:trPr>
        <w:tc>
          <w:tcPr>
            <w:tcW w:w="2170" w:type="pct"/>
            <w:tcMar>
              <w:top w:w="0" w:type="dxa"/>
              <w:left w:w="0" w:type="dxa"/>
              <w:bottom w:w="0" w:type="dxa"/>
              <w:right w:w="0" w:type="dxa"/>
            </w:tcMar>
            <w:vAlign w:val="center"/>
          </w:tcPr>
          <w:p w14:paraId="3D443297" w14:textId="77777777" w:rsidR="009103CC" w:rsidRPr="001814D2" w:rsidRDefault="009103CC" w:rsidP="002718DF">
            <w:pPr>
              <w:pStyle w:val="Tabletext"/>
              <w:rPr>
                <w:rFonts w:cs="Preston"/>
                <w:szCs w:val="18"/>
              </w:rPr>
            </w:pPr>
            <w:r w:rsidRPr="001814D2">
              <w:rPr>
                <w:rFonts w:cs="Preston"/>
                <w:szCs w:val="18"/>
              </w:rPr>
              <w:t>Contract liabilities</w:t>
            </w:r>
          </w:p>
        </w:tc>
        <w:tc>
          <w:tcPr>
            <w:tcW w:w="708" w:type="pct"/>
            <w:tcMar>
              <w:top w:w="0" w:type="dxa"/>
              <w:left w:w="0" w:type="dxa"/>
              <w:bottom w:w="0" w:type="dxa"/>
              <w:right w:w="0" w:type="dxa"/>
            </w:tcMar>
            <w:vAlign w:val="center"/>
          </w:tcPr>
          <w:p w14:paraId="7C558F1D" w14:textId="77777777" w:rsidR="009103CC" w:rsidRPr="001814D2" w:rsidRDefault="009103CC" w:rsidP="002718DF">
            <w:pPr>
              <w:pStyle w:val="Tabletext"/>
              <w:jc w:val="right"/>
              <w:rPr>
                <w:rFonts w:cs="Preston"/>
                <w:szCs w:val="18"/>
              </w:rPr>
            </w:pPr>
            <w:r w:rsidRPr="001814D2">
              <w:rPr>
                <w:rFonts w:cs="Preston"/>
                <w:szCs w:val="18"/>
              </w:rPr>
              <w:t>944</w:t>
            </w:r>
          </w:p>
        </w:tc>
        <w:tc>
          <w:tcPr>
            <w:tcW w:w="708" w:type="pct"/>
            <w:tcMar>
              <w:top w:w="0" w:type="dxa"/>
              <w:left w:w="0" w:type="dxa"/>
              <w:bottom w:w="0" w:type="dxa"/>
              <w:right w:w="0" w:type="dxa"/>
            </w:tcMar>
            <w:vAlign w:val="center"/>
          </w:tcPr>
          <w:p w14:paraId="79603794"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Mar>
              <w:top w:w="0" w:type="dxa"/>
              <w:left w:w="0" w:type="dxa"/>
              <w:bottom w:w="0" w:type="dxa"/>
              <w:right w:w="0" w:type="dxa"/>
            </w:tcMar>
            <w:vAlign w:val="center"/>
          </w:tcPr>
          <w:p w14:paraId="7B412644" w14:textId="77777777" w:rsidR="009103CC" w:rsidRPr="001814D2" w:rsidRDefault="009103CC" w:rsidP="002718DF">
            <w:pPr>
              <w:pStyle w:val="Tabletext"/>
              <w:jc w:val="right"/>
              <w:rPr>
                <w:rFonts w:cs="Preston"/>
                <w:szCs w:val="18"/>
              </w:rPr>
            </w:pPr>
            <w:r w:rsidRPr="001814D2">
              <w:rPr>
                <w:rFonts w:cs="Preston"/>
                <w:szCs w:val="18"/>
              </w:rPr>
              <w:t>944</w:t>
            </w:r>
          </w:p>
        </w:tc>
        <w:tc>
          <w:tcPr>
            <w:tcW w:w="706" w:type="pct"/>
            <w:tcMar>
              <w:top w:w="0" w:type="dxa"/>
              <w:left w:w="0" w:type="dxa"/>
              <w:bottom w:w="0" w:type="dxa"/>
              <w:right w:w="0" w:type="dxa"/>
            </w:tcMar>
            <w:vAlign w:val="center"/>
          </w:tcPr>
          <w:p w14:paraId="0D660880"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4A59A0EC" w14:textId="77777777" w:rsidTr="002718DF">
        <w:trPr>
          <w:cantSplit/>
          <w:trHeight w:hRule="exact" w:val="332"/>
        </w:trPr>
        <w:tc>
          <w:tcPr>
            <w:tcW w:w="2170" w:type="pct"/>
            <w:tcMar>
              <w:top w:w="0" w:type="dxa"/>
              <w:left w:w="0" w:type="dxa"/>
              <w:bottom w:w="0" w:type="dxa"/>
              <w:right w:w="0" w:type="dxa"/>
            </w:tcMar>
            <w:vAlign w:val="center"/>
          </w:tcPr>
          <w:p w14:paraId="026ACAE9" w14:textId="77777777" w:rsidR="009103CC" w:rsidRPr="001814D2" w:rsidRDefault="009103CC" w:rsidP="002718DF">
            <w:pPr>
              <w:pStyle w:val="Tabletext"/>
            </w:pPr>
          </w:p>
        </w:tc>
        <w:tc>
          <w:tcPr>
            <w:tcW w:w="708" w:type="pct"/>
            <w:tcMar>
              <w:top w:w="0" w:type="dxa"/>
              <w:left w:w="0" w:type="dxa"/>
              <w:bottom w:w="0" w:type="dxa"/>
              <w:right w:w="0" w:type="dxa"/>
            </w:tcMar>
            <w:vAlign w:val="center"/>
          </w:tcPr>
          <w:p w14:paraId="55F6F9FA" w14:textId="77777777" w:rsidR="009103CC" w:rsidRPr="001814D2" w:rsidRDefault="009103CC" w:rsidP="002718DF">
            <w:pPr>
              <w:pStyle w:val="Tabletext"/>
              <w:jc w:val="right"/>
              <w:rPr>
                <w:rFonts w:cs="Preston"/>
                <w:szCs w:val="18"/>
              </w:rPr>
            </w:pPr>
            <w:r w:rsidRPr="001814D2">
              <w:rPr>
                <w:rFonts w:cs="Preston"/>
                <w:szCs w:val="18"/>
              </w:rPr>
              <w:t>25,534</w:t>
            </w:r>
          </w:p>
        </w:tc>
        <w:tc>
          <w:tcPr>
            <w:tcW w:w="708" w:type="pct"/>
            <w:tcMar>
              <w:top w:w="0" w:type="dxa"/>
              <w:left w:w="0" w:type="dxa"/>
              <w:bottom w:w="0" w:type="dxa"/>
              <w:right w:w="0" w:type="dxa"/>
            </w:tcMar>
            <w:vAlign w:val="center"/>
          </w:tcPr>
          <w:p w14:paraId="7EE0C189" w14:textId="77777777" w:rsidR="009103CC" w:rsidRPr="001814D2" w:rsidRDefault="009103CC" w:rsidP="002718DF">
            <w:pPr>
              <w:pStyle w:val="Tabletext"/>
              <w:jc w:val="right"/>
              <w:rPr>
                <w:rFonts w:cs="Preston"/>
                <w:szCs w:val="18"/>
              </w:rPr>
            </w:pPr>
            <w:r w:rsidRPr="001814D2">
              <w:rPr>
                <w:rFonts w:cs="Preston"/>
                <w:szCs w:val="18"/>
              </w:rPr>
              <w:t>10,603</w:t>
            </w:r>
          </w:p>
        </w:tc>
        <w:tc>
          <w:tcPr>
            <w:tcW w:w="708" w:type="pct"/>
            <w:tcMar>
              <w:top w:w="0" w:type="dxa"/>
              <w:left w:w="0" w:type="dxa"/>
              <w:bottom w:w="0" w:type="dxa"/>
              <w:right w:w="0" w:type="dxa"/>
            </w:tcMar>
            <w:vAlign w:val="center"/>
          </w:tcPr>
          <w:p w14:paraId="0F6DB430" w14:textId="77777777" w:rsidR="009103CC" w:rsidRPr="001814D2" w:rsidRDefault="009103CC" w:rsidP="002718DF">
            <w:pPr>
              <w:pStyle w:val="Tabletext"/>
              <w:jc w:val="right"/>
              <w:rPr>
                <w:rFonts w:cs="Preston"/>
                <w:szCs w:val="18"/>
              </w:rPr>
            </w:pPr>
            <w:r w:rsidRPr="001814D2">
              <w:rPr>
                <w:rFonts w:cs="Preston"/>
                <w:szCs w:val="18"/>
              </w:rPr>
              <w:t>25,355</w:t>
            </w:r>
          </w:p>
        </w:tc>
        <w:tc>
          <w:tcPr>
            <w:tcW w:w="706" w:type="pct"/>
            <w:tcMar>
              <w:top w:w="0" w:type="dxa"/>
              <w:left w:w="0" w:type="dxa"/>
              <w:bottom w:w="0" w:type="dxa"/>
              <w:right w:w="0" w:type="dxa"/>
            </w:tcMar>
            <w:vAlign w:val="center"/>
          </w:tcPr>
          <w:p w14:paraId="7EA63C06" w14:textId="77777777" w:rsidR="009103CC" w:rsidRPr="001814D2" w:rsidRDefault="009103CC" w:rsidP="002718DF">
            <w:pPr>
              <w:pStyle w:val="Tabletext"/>
              <w:jc w:val="right"/>
              <w:rPr>
                <w:rFonts w:cs="Preston"/>
                <w:szCs w:val="18"/>
              </w:rPr>
            </w:pPr>
            <w:r w:rsidRPr="001814D2">
              <w:rPr>
                <w:rFonts w:cs="Preston"/>
                <w:szCs w:val="18"/>
              </w:rPr>
              <w:t>10,504</w:t>
            </w:r>
          </w:p>
        </w:tc>
      </w:tr>
      <w:tr w:rsidR="009103CC" w:rsidRPr="001814D2" w14:paraId="25F1560C" w14:textId="77777777" w:rsidTr="002718DF">
        <w:trPr>
          <w:cantSplit/>
          <w:trHeight w:hRule="exact" w:val="332"/>
        </w:trPr>
        <w:tc>
          <w:tcPr>
            <w:tcW w:w="2170" w:type="pct"/>
            <w:tcMar>
              <w:top w:w="0" w:type="dxa"/>
              <w:left w:w="0" w:type="dxa"/>
              <w:bottom w:w="0" w:type="dxa"/>
              <w:right w:w="0" w:type="dxa"/>
            </w:tcMar>
            <w:vAlign w:val="center"/>
          </w:tcPr>
          <w:p w14:paraId="6B7F698E" w14:textId="77777777" w:rsidR="009103CC" w:rsidRPr="001814D2" w:rsidRDefault="009103CC" w:rsidP="002718DF">
            <w:pPr>
              <w:pStyle w:val="Tabletext"/>
              <w:rPr>
                <w:rFonts w:cs="Preston"/>
                <w:szCs w:val="18"/>
              </w:rPr>
            </w:pPr>
            <w:r w:rsidRPr="001814D2">
              <w:rPr>
                <w:rFonts w:cs="Preston"/>
                <w:szCs w:val="18"/>
              </w:rPr>
              <w:t>Current liabilities</w:t>
            </w:r>
          </w:p>
        </w:tc>
        <w:tc>
          <w:tcPr>
            <w:tcW w:w="708" w:type="pct"/>
            <w:tcMar>
              <w:top w:w="0" w:type="dxa"/>
              <w:left w:w="0" w:type="dxa"/>
              <w:bottom w:w="0" w:type="dxa"/>
              <w:right w:w="0" w:type="dxa"/>
            </w:tcMar>
            <w:vAlign w:val="center"/>
          </w:tcPr>
          <w:p w14:paraId="1201550A" w14:textId="77777777" w:rsidR="009103CC" w:rsidRPr="001814D2" w:rsidRDefault="009103CC" w:rsidP="002718DF">
            <w:pPr>
              <w:pStyle w:val="Tabletext"/>
              <w:jc w:val="right"/>
              <w:rPr>
                <w:rFonts w:cs="Preston"/>
                <w:szCs w:val="18"/>
              </w:rPr>
            </w:pPr>
            <w:r w:rsidRPr="001814D2">
              <w:rPr>
                <w:rFonts w:cs="Preston"/>
                <w:szCs w:val="18"/>
              </w:rPr>
              <w:t>24,590</w:t>
            </w:r>
          </w:p>
        </w:tc>
        <w:tc>
          <w:tcPr>
            <w:tcW w:w="708" w:type="pct"/>
            <w:tcMar>
              <w:top w:w="0" w:type="dxa"/>
              <w:left w:w="0" w:type="dxa"/>
              <w:bottom w:w="0" w:type="dxa"/>
              <w:right w:w="0" w:type="dxa"/>
            </w:tcMar>
            <w:vAlign w:val="center"/>
          </w:tcPr>
          <w:p w14:paraId="58281C33" w14:textId="77777777" w:rsidR="009103CC" w:rsidRPr="001814D2" w:rsidRDefault="009103CC" w:rsidP="002718DF">
            <w:pPr>
              <w:pStyle w:val="Tabletext"/>
              <w:jc w:val="right"/>
              <w:rPr>
                <w:rFonts w:cs="Preston"/>
                <w:szCs w:val="18"/>
              </w:rPr>
            </w:pPr>
            <w:r w:rsidRPr="001814D2">
              <w:rPr>
                <w:rFonts w:cs="Preston"/>
                <w:szCs w:val="18"/>
              </w:rPr>
              <w:t>10,603</w:t>
            </w:r>
          </w:p>
        </w:tc>
        <w:tc>
          <w:tcPr>
            <w:tcW w:w="708" w:type="pct"/>
            <w:tcMar>
              <w:top w:w="0" w:type="dxa"/>
              <w:left w:w="0" w:type="dxa"/>
              <w:bottom w:w="0" w:type="dxa"/>
              <w:right w:w="0" w:type="dxa"/>
            </w:tcMar>
            <w:vAlign w:val="center"/>
          </w:tcPr>
          <w:p w14:paraId="15CEB9E1" w14:textId="77777777" w:rsidR="009103CC" w:rsidRPr="001814D2" w:rsidRDefault="009103CC" w:rsidP="002718DF">
            <w:pPr>
              <w:pStyle w:val="Tabletext"/>
              <w:jc w:val="right"/>
              <w:rPr>
                <w:rFonts w:cs="Preston"/>
                <w:szCs w:val="18"/>
              </w:rPr>
            </w:pPr>
            <w:r w:rsidRPr="001814D2">
              <w:rPr>
                <w:rFonts w:cs="Preston"/>
                <w:szCs w:val="18"/>
              </w:rPr>
              <w:t>24,411</w:t>
            </w:r>
          </w:p>
        </w:tc>
        <w:tc>
          <w:tcPr>
            <w:tcW w:w="706" w:type="pct"/>
            <w:tcMar>
              <w:top w:w="0" w:type="dxa"/>
              <w:left w:w="0" w:type="dxa"/>
              <w:bottom w:w="0" w:type="dxa"/>
              <w:right w:w="0" w:type="dxa"/>
            </w:tcMar>
            <w:vAlign w:val="center"/>
          </w:tcPr>
          <w:p w14:paraId="36BDAF0D" w14:textId="77777777" w:rsidR="009103CC" w:rsidRPr="001814D2" w:rsidRDefault="009103CC" w:rsidP="002718DF">
            <w:pPr>
              <w:pStyle w:val="Tabletext"/>
              <w:jc w:val="right"/>
              <w:rPr>
                <w:rFonts w:cs="Preston"/>
                <w:szCs w:val="18"/>
              </w:rPr>
            </w:pPr>
            <w:r w:rsidRPr="001814D2">
              <w:rPr>
                <w:rFonts w:cs="Preston"/>
                <w:szCs w:val="18"/>
              </w:rPr>
              <w:t>10,504</w:t>
            </w:r>
          </w:p>
        </w:tc>
      </w:tr>
      <w:tr w:rsidR="009103CC" w:rsidRPr="001814D2" w14:paraId="548F09B1" w14:textId="77777777" w:rsidTr="002718DF">
        <w:trPr>
          <w:cantSplit/>
          <w:trHeight w:hRule="exact" w:val="332"/>
        </w:trPr>
        <w:tc>
          <w:tcPr>
            <w:tcW w:w="2170" w:type="pct"/>
            <w:tcBorders>
              <w:bottom w:val="single" w:sz="4" w:space="0" w:color="auto"/>
            </w:tcBorders>
            <w:tcMar>
              <w:top w:w="0" w:type="dxa"/>
              <w:left w:w="0" w:type="dxa"/>
              <w:bottom w:w="0" w:type="dxa"/>
              <w:right w:w="0" w:type="dxa"/>
            </w:tcMar>
            <w:vAlign w:val="center"/>
          </w:tcPr>
          <w:p w14:paraId="367ED969" w14:textId="77777777" w:rsidR="009103CC" w:rsidRPr="001814D2" w:rsidRDefault="009103CC" w:rsidP="002718DF">
            <w:pPr>
              <w:pStyle w:val="Tabletext"/>
              <w:rPr>
                <w:rFonts w:cs="Preston"/>
                <w:szCs w:val="18"/>
              </w:rPr>
            </w:pPr>
            <w:r w:rsidRPr="001814D2">
              <w:rPr>
                <w:rFonts w:cs="Preston"/>
                <w:szCs w:val="18"/>
              </w:rPr>
              <w:t>Non current liabilities</w:t>
            </w:r>
          </w:p>
        </w:tc>
        <w:tc>
          <w:tcPr>
            <w:tcW w:w="708" w:type="pct"/>
            <w:tcBorders>
              <w:bottom w:val="single" w:sz="4" w:space="0" w:color="auto"/>
            </w:tcBorders>
            <w:tcMar>
              <w:top w:w="0" w:type="dxa"/>
              <w:left w:w="0" w:type="dxa"/>
              <w:bottom w:w="0" w:type="dxa"/>
              <w:right w:w="0" w:type="dxa"/>
            </w:tcMar>
            <w:vAlign w:val="center"/>
          </w:tcPr>
          <w:p w14:paraId="3B675CD3" w14:textId="77777777" w:rsidR="009103CC" w:rsidRPr="001814D2" w:rsidRDefault="009103CC" w:rsidP="002718DF">
            <w:pPr>
              <w:pStyle w:val="Tabletext"/>
              <w:jc w:val="right"/>
              <w:rPr>
                <w:rFonts w:cs="Preston"/>
                <w:szCs w:val="18"/>
              </w:rPr>
            </w:pPr>
            <w:r w:rsidRPr="001814D2">
              <w:rPr>
                <w:rFonts w:cs="Preston"/>
                <w:szCs w:val="18"/>
              </w:rPr>
              <w:t>944</w:t>
            </w:r>
          </w:p>
        </w:tc>
        <w:tc>
          <w:tcPr>
            <w:tcW w:w="708" w:type="pct"/>
            <w:tcBorders>
              <w:bottom w:val="single" w:sz="4" w:space="0" w:color="auto"/>
            </w:tcBorders>
            <w:tcMar>
              <w:top w:w="0" w:type="dxa"/>
              <w:left w:w="0" w:type="dxa"/>
              <w:bottom w:w="0" w:type="dxa"/>
              <w:right w:w="0" w:type="dxa"/>
            </w:tcMar>
            <w:vAlign w:val="center"/>
          </w:tcPr>
          <w:p w14:paraId="0760CFAA"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bottom w:val="single" w:sz="4" w:space="0" w:color="auto"/>
            </w:tcBorders>
            <w:tcMar>
              <w:top w:w="0" w:type="dxa"/>
              <w:left w:w="0" w:type="dxa"/>
              <w:bottom w:w="0" w:type="dxa"/>
              <w:right w:w="0" w:type="dxa"/>
            </w:tcMar>
            <w:vAlign w:val="center"/>
          </w:tcPr>
          <w:p w14:paraId="280B6B66" w14:textId="77777777" w:rsidR="009103CC" w:rsidRPr="001814D2" w:rsidRDefault="009103CC" w:rsidP="002718DF">
            <w:pPr>
              <w:pStyle w:val="Tabletext"/>
              <w:jc w:val="right"/>
              <w:rPr>
                <w:rFonts w:cs="Preston"/>
                <w:szCs w:val="18"/>
              </w:rPr>
            </w:pPr>
            <w:r w:rsidRPr="001814D2">
              <w:rPr>
                <w:rFonts w:cs="Preston"/>
                <w:szCs w:val="18"/>
              </w:rPr>
              <w:t>944</w:t>
            </w:r>
          </w:p>
        </w:tc>
        <w:tc>
          <w:tcPr>
            <w:tcW w:w="706" w:type="pct"/>
            <w:tcBorders>
              <w:bottom w:val="single" w:sz="4" w:space="0" w:color="auto"/>
            </w:tcBorders>
            <w:tcMar>
              <w:top w:w="0" w:type="dxa"/>
              <w:left w:w="0" w:type="dxa"/>
              <w:bottom w:w="0" w:type="dxa"/>
              <w:right w:w="0" w:type="dxa"/>
            </w:tcMar>
            <w:vAlign w:val="center"/>
          </w:tcPr>
          <w:p w14:paraId="5923FC33"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1D52AA0A"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0E73AAFD" w14:textId="77777777" w:rsidR="009103CC" w:rsidRPr="001814D2" w:rsidRDefault="009103CC" w:rsidP="002718DF">
            <w:pPr>
              <w:pStyle w:val="Tabletext"/>
            </w:pPr>
          </w:p>
        </w:tc>
        <w:tc>
          <w:tcPr>
            <w:tcW w:w="708" w:type="pct"/>
            <w:tcBorders>
              <w:top w:val="single" w:sz="4" w:space="0" w:color="auto"/>
              <w:bottom w:val="single" w:sz="4" w:space="0" w:color="auto"/>
            </w:tcBorders>
            <w:tcMar>
              <w:top w:w="0" w:type="dxa"/>
              <w:left w:w="0" w:type="dxa"/>
              <w:bottom w:w="0" w:type="dxa"/>
              <w:right w:w="0" w:type="dxa"/>
            </w:tcMar>
            <w:vAlign w:val="center"/>
          </w:tcPr>
          <w:p w14:paraId="06735DAB" w14:textId="77777777" w:rsidR="009103CC" w:rsidRPr="001814D2" w:rsidRDefault="009103CC" w:rsidP="002718DF">
            <w:pPr>
              <w:pStyle w:val="Tabletext"/>
              <w:jc w:val="right"/>
              <w:rPr>
                <w:rFonts w:cs="Preston"/>
                <w:szCs w:val="18"/>
              </w:rPr>
            </w:pPr>
            <w:r w:rsidRPr="001814D2">
              <w:rPr>
                <w:rFonts w:cs="Preston"/>
                <w:szCs w:val="18"/>
              </w:rPr>
              <w:t>25,534</w:t>
            </w:r>
          </w:p>
        </w:tc>
        <w:tc>
          <w:tcPr>
            <w:tcW w:w="708" w:type="pct"/>
            <w:tcBorders>
              <w:top w:val="single" w:sz="4" w:space="0" w:color="auto"/>
              <w:bottom w:val="single" w:sz="4" w:space="0" w:color="auto"/>
            </w:tcBorders>
            <w:tcMar>
              <w:top w:w="0" w:type="dxa"/>
              <w:left w:w="0" w:type="dxa"/>
              <w:bottom w:w="0" w:type="dxa"/>
              <w:right w:w="0" w:type="dxa"/>
            </w:tcMar>
            <w:vAlign w:val="center"/>
          </w:tcPr>
          <w:p w14:paraId="12DD0D9D" w14:textId="77777777" w:rsidR="009103CC" w:rsidRPr="001814D2" w:rsidRDefault="009103CC" w:rsidP="002718DF">
            <w:pPr>
              <w:pStyle w:val="Tabletext"/>
              <w:jc w:val="right"/>
              <w:rPr>
                <w:rFonts w:cs="Preston"/>
                <w:szCs w:val="18"/>
              </w:rPr>
            </w:pPr>
            <w:r w:rsidRPr="001814D2">
              <w:rPr>
                <w:rFonts w:cs="Preston"/>
                <w:szCs w:val="18"/>
              </w:rPr>
              <w:t>10,603</w:t>
            </w:r>
          </w:p>
        </w:tc>
        <w:tc>
          <w:tcPr>
            <w:tcW w:w="708" w:type="pct"/>
            <w:tcBorders>
              <w:top w:val="single" w:sz="4" w:space="0" w:color="auto"/>
              <w:bottom w:val="single" w:sz="4" w:space="0" w:color="auto"/>
            </w:tcBorders>
            <w:tcMar>
              <w:top w:w="0" w:type="dxa"/>
              <w:left w:w="0" w:type="dxa"/>
              <w:bottom w:w="0" w:type="dxa"/>
              <w:right w:w="0" w:type="dxa"/>
            </w:tcMar>
            <w:vAlign w:val="center"/>
          </w:tcPr>
          <w:p w14:paraId="4560051E" w14:textId="77777777" w:rsidR="009103CC" w:rsidRPr="001814D2" w:rsidRDefault="009103CC" w:rsidP="002718DF">
            <w:pPr>
              <w:pStyle w:val="Tabletext"/>
              <w:jc w:val="right"/>
              <w:rPr>
                <w:rFonts w:cs="Preston"/>
                <w:szCs w:val="18"/>
              </w:rPr>
            </w:pPr>
            <w:r w:rsidRPr="001814D2">
              <w:rPr>
                <w:rFonts w:cs="Preston"/>
                <w:szCs w:val="18"/>
              </w:rPr>
              <w:t>25,355</w:t>
            </w:r>
          </w:p>
        </w:tc>
        <w:tc>
          <w:tcPr>
            <w:tcW w:w="706" w:type="pct"/>
            <w:tcBorders>
              <w:top w:val="single" w:sz="4" w:space="0" w:color="auto"/>
              <w:bottom w:val="single" w:sz="4" w:space="0" w:color="auto"/>
            </w:tcBorders>
            <w:tcMar>
              <w:top w:w="0" w:type="dxa"/>
              <w:left w:w="0" w:type="dxa"/>
              <w:bottom w:w="0" w:type="dxa"/>
              <w:right w:w="0" w:type="dxa"/>
            </w:tcMar>
            <w:vAlign w:val="center"/>
          </w:tcPr>
          <w:p w14:paraId="0FB13BE0" w14:textId="77777777" w:rsidR="009103CC" w:rsidRPr="001814D2" w:rsidRDefault="009103CC" w:rsidP="002718DF">
            <w:pPr>
              <w:pStyle w:val="Tabletext"/>
              <w:jc w:val="right"/>
              <w:rPr>
                <w:rFonts w:cs="Preston"/>
                <w:szCs w:val="18"/>
              </w:rPr>
            </w:pPr>
            <w:r w:rsidRPr="001814D2">
              <w:rPr>
                <w:rFonts w:cs="Preston"/>
                <w:szCs w:val="18"/>
              </w:rPr>
              <w:t>10,504</w:t>
            </w:r>
          </w:p>
        </w:tc>
      </w:tr>
    </w:tbl>
    <w:p w14:paraId="0751F4D0" w14:textId="77777777" w:rsidR="009103CC" w:rsidRPr="001814D2" w:rsidRDefault="009103CC" w:rsidP="009103CC">
      <w:pPr>
        <w:pStyle w:val="Tabletext"/>
      </w:pPr>
    </w:p>
    <w:p w14:paraId="6E29855C" w14:textId="77777777" w:rsidR="009103CC" w:rsidRPr="001814D2" w:rsidRDefault="009103CC" w:rsidP="009103CC">
      <w:pPr>
        <w:pStyle w:val="ARbody"/>
      </w:pPr>
      <w:r w:rsidRPr="001814D2">
        <w:t>Trade creditors represent liabilities for goods and services provided to the Gallery from suppliers. These amounts are usually settled within 30 days. Accruals represents amounts owing to (but not invoiced) by various suppliers, largely in relation to the construction of the Sydney Modern Project.</w:t>
      </w:r>
    </w:p>
    <w:p w14:paraId="49EE044C" w14:textId="77777777" w:rsidR="009103CC" w:rsidRPr="001814D2" w:rsidRDefault="009103CC" w:rsidP="009103CC">
      <w:pPr>
        <w:pStyle w:val="ARbody"/>
      </w:pPr>
      <w:r w:rsidRPr="001814D2">
        <w:t>Contract liabilities are performance obligations not yet transferred to the customer. These amounts will be released to revenue once those perfomance obligations have been met.</w:t>
      </w:r>
    </w:p>
    <w:p w14:paraId="4B27A469" w14:textId="77777777" w:rsidR="009103CC" w:rsidRPr="001814D2" w:rsidRDefault="009103CC" w:rsidP="009103CC">
      <w:pPr>
        <w:pStyle w:val="ARbody"/>
      </w:pPr>
      <w:r w:rsidRPr="001814D2">
        <w:t>The total transaction price remaining where performance obligations are yet to be satisfied is $8,500,000. As at June 2021 the amount recognised in contract liabilities is $944,000 (2020: Nil). No amounts from the previous year's contract liability balance has been recognised as revenue in the current year. The unsatisfied performance obligations are expected to be satisfied over a period of 20 years, commencing on the opening of the Sydney Modern Project.</w:t>
      </w:r>
    </w:p>
    <w:tbl>
      <w:tblPr>
        <w:tblW w:w="5000" w:type="pct"/>
        <w:tblBorders>
          <w:insideH w:val="single" w:sz="4" w:space="0" w:color="auto"/>
        </w:tblBorders>
        <w:tblCellMar>
          <w:left w:w="0" w:type="dxa"/>
          <w:right w:w="0" w:type="dxa"/>
        </w:tblCellMar>
        <w:tblLook w:val="0000" w:firstRow="0" w:lastRow="0" w:firstColumn="0" w:lastColumn="0" w:noHBand="0" w:noVBand="0"/>
        <w:tblCaption w:val="12 Current and non-current provision for employment benefits"/>
        <w:tblDescription w:val="This table provides figures for 2020 and 2021 for both the consolidated entity and parent entity."/>
      </w:tblPr>
      <w:tblGrid>
        <w:gridCol w:w="3937"/>
        <w:gridCol w:w="1284"/>
        <w:gridCol w:w="1284"/>
        <w:gridCol w:w="1284"/>
        <w:gridCol w:w="1281"/>
      </w:tblGrid>
      <w:tr w:rsidR="009103CC" w:rsidRPr="001814D2" w14:paraId="22AF1062" w14:textId="77777777" w:rsidTr="002718DF">
        <w:trPr>
          <w:cantSplit/>
          <w:trHeight w:hRule="exact" w:val="332"/>
          <w:tblHeader/>
        </w:trPr>
        <w:tc>
          <w:tcPr>
            <w:tcW w:w="2170" w:type="pct"/>
            <w:tcMar>
              <w:top w:w="0" w:type="dxa"/>
              <w:left w:w="0" w:type="dxa"/>
              <w:bottom w:w="0" w:type="dxa"/>
              <w:right w:w="0" w:type="dxa"/>
            </w:tcMar>
            <w:vAlign w:val="center"/>
          </w:tcPr>
          <w:p w14:paraId="4ADB30F4" w14:textId="77777777" w:rsidR="009103CC" w:rsidRPr="001814D2" w:rsidRDefault="009103CC" w:rsidP="002718DF">
            <w:pPr>
              <w:pStyle w:val="Tabletext"/>
              <w:jc w:val="center"/>
            </w:pPr>
          </w:p>
        </w:tc>
        <w:tc>
          <w:tcPr>
            <w:tcW w:w="1416" w:type="pct"/>
            <w:gridSpan w:val="2"/>
            <w:tcMar>
              <w:top w:w="0" w:type="dxa"/>
              <w:left w:w="0" w:type="dxa"/>
              <w:bottom w:w="0" w:type="dxa"/>
              <w:right w:w="0" w:type="dxa"/>
            </w:tcMar>
            <w:vAlign w:val="center"/>
          </w:tcPr>
          <w:p w14:paraId="55F1CE31" w14:textId="77777777" w:rsidR="009103CC" w:rsidRPr="001814D2" w:rsidRDefault="009103CC" w:rsidP="002718DF">
            <w:pPr>
              <w:pStyle w:val="Tabletext"/>
              <w:jc w:val="center"/>
              <w:rPr>
                <w:rFonts w:cs="Preston"/>
                <w:b/>
                <w:bCs/>
                <w:szCs w:val="18"/>
              </w:rPr>
            </w:pPr>
            <w:r w:rsidRPr="001814D2">
              <w:rPr>
                <w:rFonts w:cs="Preston"/>
                <w:b/>
                <w:bCs/>
                <w:szCs w:val="18"/>
              </w:rPr>
              <w:t>Consolidated entity</w:t>
            </w:r>
          </w:p>
        </w:tc>
        <w:tc>
          <w:tcPr>
            <w:tcW w:w="1414" w:type="pct"/>
            <w:gridSpan w:val="2"/>
            <w:tcMar>
              <w:top w:w="0" w:type="dxa"/>
              <w:left w:w="0" w:type="dxa"/>
              <w:bottom w:w="0" w:type="dxa"/>
              <w:right w:w="0" w:type="dxa"/>
            </w:tcMar>
            <w:vAlign w:val="center"/>
          </w:tcPr>
          <w:p w14:paraId="38800791" w14:textId="77777777" w:rsidR="009103CC" w:rsidRPr="001814D2" w:rsidRDefault="009103CC" w:rsidP="002718DF">
            <w:pPr>
              <w:pStyle w:val="Tabletext"/>
              <w:jc w:val="center"/>
              <w:rPr>
                <w:rFonts w:cs="Preston"/>
                <w:b/>
                <w:bCs/>
                <w:szCs w:val="18"/>
              </w:rPr>
            </w:pPr>
            <w:r w:rsidRPr="001814D2">
              <w:rPr>
                <w:rFonts w:cs="Preston"/>
                <w:b/>
                <w:bCs/>
                <w:szCs w:val="18"/>
              </w:rPr>
              <w:t>Parent entity</w:t>
            </w:r>
          </w:p>
        </w:tc>
      </w:tr>
      <w:tr w:rsidR="009103CC" w:rsidRPr="00036E42" w14:paraId="6E53FC9A" w14:textId="77777777" w:rsidTr="002718DF">
        <w:trPr>
          <w:cantSplit/>
          <w:trHeight w:hRule="exact" w:val="553"/>
          <w:tblHeader/>
        </w:trPr>
        <w:tc>
          <w:tcPr>
            <w:tcW w:w="2170" w:type="pct"/>
            <w:tcMar>
              <w:top w:w="0" w:type="dxa"/>
              <w:left w:w="0" w:type="dxa"/>
              <w:bottom w:w="0" w:type="dxa"/>
              <w:right w:w="0" w:type="dxa"/>
            </w:tcMar>
            <w:vAlign w:val="center"/>
          </w:tcPr>
          <w:p w14:paraId="311436C0" w14:textId="77777777" w:rsidR="009103CC" w:rsidRPr="002D7006" w:rsidRDefault="009103CC" w:rsidP="002718DF">
            <w:pPr>
              <w:pStyle w:val="Tabletext"/>
              <w:rPr>
                <w:b/>
                <w:bCs/>
              </w:rPr>
            </w:pPr>
            <w:r w:rsidRPr="002D7006">
              <w:rPr>
                <w:b/>
                <w:bCs/>
              </w:rPr>
              <w:t>12 Current / non-current provision for employment benefits</w:t>
            </w:r>
          </w:p>
          <w:p w14:paraId="6F853199" w14:textId="77777777" w:rsidR="009103CC" w:rsidRPr="00036E42" w:rsidRDefault="009103CC" w:rsidP="002718DF">
            <w:pPr>
              <w:pStyle w:val="Tabletext"/>
              <w:rPr>
                <w:rFonts w:cs="Preston"/>
                <w:b/>
                <w:bCs/>
                <w:szCs w:val="18"/>
              </w:rPr>
            </w:pPr>
          </w:p>
        </w:tc>
        <w:tc>
          <w:tcPr>
            <w:tcW w:w="708" w:type="pct"/>
            <w:tcMar>
              <w:top w:w="0" w:type="dxa"/>
              <w:left w:w="0" w:type="dxa"/>
              <w:bottom w:w="0" w:type="dxa"/>
              <w:right w:w="0" w:type="dxa"/>
            </w:tcMar>
            <w:vAlign w:val="center"/>
          </w:tcPr>
          <w:p w14:paraId="63CCB038" w14:textId="77777777" w:rsidR="009103CC" w:rsidRPr="00036E42" w:rsidRDefault="009103CC" w:rsidP="002718DF">
            <w:pPr>
              <w:pStyle w:val="Tabletext"/>
              <w:jc w:val="right"/>
              <w:rPr>
                <w:rFonts w:cs="Preston"/>
                <w:b/>
                <w:bCs/>
                <w:szCs w:val="18"/>
              </w:rPr>
            </w:pPr>
            <w:r w:rsidRPr="00036E42">
              <w:rPr>
                <w:rFonts w:cs="Preston"/>
                <w:b/>
                <w:bCs/>
                <w:szCs w:val="18"/>
              </w:rPr>
              <w:t>2021</w:t>
            </w:r>
          </w:p>
          <w:p w14:paraId="3E913514" w14:textId="77777777" w:rsidR="009103CC" w:rsidRPr="00036E42" w:rsidRDefault="009103CC" w:rsidP="002718DF">
            <w:pPr>
              <w:pStyle w:val="Tabletext"/>
              <w:jc w:val="right"/>
              <w:rPr>
                <w:rFonts w:cs="Preston"/>
                <w:b/>
                <w:bCs/>
                <w:szCs w:val="18"/>
              </w:rPr>
            </w:pPr>
            <w:r w:rsidRPr="00036E42">
              <w:rPr>
                <w:rFonts w:cs="Preston"/>
                <w:b/>
                <w:bCs/>
                <w:szCs w:val="18"/>
              </w:rPr>
              <w:t>$'000</w:t>
            </w:r>
          </w:p>
        </w:tc>
        <w:tc>
          <w:tcPr>
            <w:tcW w:w="708" w:type="pct"/>
            <w:tcMar>
              <w:top w:w="0" w:type="dxa"/>
              <w:left w:w="0" w:type="dxa"/>
              <w:bottom w:w="0" w:type="dxa"/>
              <w:right w:w="0" w:type="dxa"/>
            </w:tcMar>
            <w:vAlign w:val="center"/>
          </w:tcPr>
          <w:p w14:paraId="63AE06D9" w14:textId="77777777" w:rsidR="009103CC" w:rsidRPr="00036E42" w:rsidRDefault="009103CC" w:rsidP="002718DF">
            <w:pPr>
              <w:pStyle w:val="Tabletext"/>
              <w:jc w:val="right"/>
              <w:rPr>
                <w:rFonts w:cs="Preston"/>
                <w:b/>
                <w:bCs/>
                <w:szCs w:val="18"/>
              </w:rPr>
            </w:pPr>
            <w:r w:rsidRPr="00036E42">
              <w:rPr>
                <w:rFonts w:cs="Preston"/>
                <w:b/>
                <w:bCs/>
                <w:szCs w:val="18"/>
              </w:rPr>
              <w:t>2020</w:t>
            </w:r>
          </w:p>
          <w:p w14:paraId="264990B8" w14:textId="77777777" w:rsidR="009103CC" w:rsidRPr="00036E42" w:rsidRDefault="009103CC" w:rsidP="002718DF">
            <w:pPr>
              <w:pStyle w:val="Tabletext"/>
              <w:jc w:val="right"/>
              <w:rPr>
                <w:rFonts w:cs="Preston"/>
                <w:b/>
                <w:bCs/>
                <w:szCs w:val="18"/>
              </w:rPr>
            </w:pPr>
            <w:r w:rsidRPr="00036E42">
              <w:rPr>
                <w:rFonts w:cs="Preston"/>
                <w:b/>
                <w:bCs/>
                <w:szCs w:val="18"/>
              </w:rPr>
              <w:t>$'000</w:t>
            </w:r>
          </w:p>
        </w:tc>
        <w:tc>
          <w:tcPr>
            <w:tcW w:w="708" w:type="pct"/>
            <w:tcMar>
              <w:top w:w="0" w:type="dxa"/>
              <w:left w:w="0" w:type="dxa"/>
              <w:bottom w:w="0" w:type="dxa"/>
              <w:right w:w="0" w:type="dxa"/>
            </w:tcMar>
            <w:vAlign w:val="center"/>
          </w:tcPr>
          <w:p w14:paraId="6F41AD2C" w14:textId="77777777" w:rsidR="009103CC" w:rsidRPr="00036E42" w:rsidRDefault="009103CC" w:rsidP="002718DF">
            <w:pPr>
              <w:pStyle w:val="Tabletext"/>
              <w:jc w:val="right"/>
              <w:rPr>
                <w:rFonts w:cs="Preston"/>
                <w:b/>
                <w:bCs/>
                <w:szCs w:val="18"/>
              </w:rPr>
            </w:pPr>
            <w:r w:rsidRPr="00036E42">
              <w:rPr>
                <w:rFonts w:cs="Preston"/>
                <w:b/>
                <w:bCs/>
                <w:szCs w:val="18"/>
              </w:rPr>
              <w:t>2021</w:t>
            </w:r>
          </w:p>
          <w:p w14:paraId="459D5204" w14:textId="77777777" w:rsidR="009103CC" w:rsidRPr="00036E42" w:rsidRDefault="009103CC" w:rsidP="002718DF">
            <w:pPr>
              <w:pStyle w:val="Tabletext"/>
              <w:jc w:val="right"/>
              <w:rPr>
                <w:rFonts w:cs="Preston"/>
                <w:b/>
                <w:bCs/>
                <w:szCs w:val="18"/>
              </w:rPr>
            </w:pPr>
            <w:r w:rsidRPr="00036E42">
              <w:rPr>
                <w:rFonts w:cs="Preston"/>
                <w:b/>
                <w:bCs/>
                <w:szCs w:val="18"/>
              </w:rPr>
              <w:t>$'000</w:t>
            </w:r>
          </w:p>
          <w:p w14:paraId="3F6045FC" w14:textId="77777777" w:rsidR="009103CC" w:rsidRPr="00036E42" w:rsidRDefault="009103CC" w:rsidP="002718DF">
            <w:pPr>
              <w:pStyle w:val="Tabletext"/>
              <w:jc w:val="right"/>
              <w:rPr>
                <w:rFonts w:cs="Preston"/>
                <w:b/>
                <w:bCs/>
                <w:szCs w:val="18"/>
              </w:rPr>
            </w:pPr>
          </w:p>
        </w:tc>
        <w:tc>
          <w:tcPr>
            <w:tcW w:w="706" w:type="pct"/>
            <w:tcMar>
              <w:top w:w="0" w:type="dxa"/>
              <w:left w:w="0" w:type="dxa"/>
              <w:bottom w:w="0" w:type="dxa"/>
              <w:right w:w="0" w:type="dxa"/>
            </w:tcMar>
            <w:vAlign w:val="center"/>
          </w:tcPr>
          <w:p w14:paraId="6B69A8EA" w14:textId="77777777" w:rsidR="009103CC" w:rsidRPr="00036E42" w:rsidRDefault="009103CC" w:rsidP="002718DF">
            <w:pPr>
              <w:pStyle w:val="Tabletext"/>
              <w:jc w:val="right"/>
              <w:rPr>
                <w:rFonts w:cs="Preston"/>
                <w:b/>
                <w:bCs/>
                <w:szCs w:val="18"/>
              </w:rPr>
            </w:pPr>
            <w:r w:rsidRPr="00036E42">
              <w:rPr>
                <w:rFonts w:cs="Preston"/>
                <w:b/>
                <w:bCs/>
                <w:szCs w:val="18"/>
              </w:rPr>
              <w:t>2020</w:t>
            </w:r>
          </w:p>
          <w:p w14:paraId="4F820714" w14:textId="77777777" w:rsidR="009103CC" w:rsidRPr="00036E42" w:rsidRDefault="009103CC" w:rsidP="002718DF">
            <w:pPr>
              <w:pStyle w:val="Tabletext"/>
              <w:jc w:val="right"/>
              <w:rPr>
                <w:rFonts w:cs="Preston"/>
                <w:b/>
                <w:bCs/>
                <w:szCs w:val="18"/>
              </w:rPr>
            </w:pPr>
            <w:r w:rsidRPr="00036E42">
              <w:rPr>
                <w:rFonts w:cs="Preston"/>
                <w:b/>
                <w:bCs/>
                <w:szCs w:val="18"/>
              </w:rPr>
              <w:t>$'000</w:t>
            </w:r>
          </w:p>
          <w:p w14:paraId="4A565DA9" w14:textId="77777777" w:rsidR="009103CC" w:rsidRPr="00036E42" w:rsidRDefault="009103CC" w:rsidP="002718DF">
            <w:pPr>
              <w:pStyle w:val="Tabletext"/>
              <w:jc w:val="right"/>
              <w:rPr>
                <w:rFonts w:cs="Preston"/>
                <w:b/>
                <w:bCs/>
                <w:szCs w:val="18"/>
              </w:rPr>
            </w:pPr>
          </w:p>
        </w:tc>
      </w:tr>
      <w:tr w:rsidR="009103CC" w:rsidRPr="00531FE4" w14:paraId="28572C42" w14:textId="77777777" w:rsidTr="002718DF">
        <w:tblPrEx>
          <w:tblBorders>
            <w:bottom w:val="single" w:sz="4" w:space="0" w:color="auto"/>
          </w:tblBorders>
        </w:tblPrEx>
        <w:trPr>
          <w:cantSplit/>
          <w:trHeight w:hRule="exact" w:val="332"/>
          <w:tblHeader/>
        </w:trPr>
        <w:tc>
          <w:tcPr>
            <w:tcW w:w="2170" w:type="pct"/>
            <w:tcMar>
              <w:top w:w="0" w:type="dxa"/>
              <w:left w:w="0" w:type="dxa"/>
              <w:bottom w:w="0" w:type="dxa"/>
              <w:right w:w="0" w:type="dxa"/>
            </w:tcMar>
            <w:vAlign w:val="center"/>
          </w:tcPr>
          <w:p w14:paraId="270E827A" w14:textId="77777777" w:rsidR="009103CC" w:rsidRPr="00531FE4" w:rsidRDefault="009103CC" w:rsidP="002718DF">
            <w:pPr>
              <w:pStyle w:val="Tabletext"/>
              <w:rPr>
                <w:b/>
                <w:bCs/>
              </w:rPr>
            </w:pPr>
            <w:r w:rsidRPr="00531FE4">
              <w:rPr>
                <w:b/>
                <w:bCs/>
              </w:rPr>
              <w:t>Creditors personnel services</w:t>
            </w:r>
          </w:p>
        </w:tc>
        <w:tc>
          <w:tcPr>
            <w:tcW w:w="708" w:type="pct"/>
            <w:tcMar>
              <w:top w:w="0" w:type="dxa"/>
              <w:left w:w="0" w:type="dxa"/>
              <w:bottom w:w="0" w:type="dxa"/>
              <w:right w:w="0" w:type="dxa"/>
            </w:tcMar>
            <w:vAlign w:val="center"/>
          </w:tcPr>
          <w:p w14:paraId="72B056C3" w14:textId="77777777" w:rsidR="009103CC" w:rsidRPr="00531FE4" w:rsidRDefault="009103CC" w:rsidP="002718DF">
            <w:pPr>
              <w:pStyle w:val="Tabletext"/>
              <w:rPr>
                <w:rFonts w:cstheme="minorBidi"/>
                <w:b/>
                <w:bCs/>
                <w:sz w:val="24"/>
                <w:szCs w:val="24"/>
              </w:rPr>
            </w:pPr>
          </w:p>
        </w:tc>
        <w:tc>
          <w:tcPr>
            <w:tcW w:w="708" w:type="pct"/>
            <w:tcMar>
              <w:top w:w="0" w:type="dxa"/>
              <w:left w:w="0" w:type="dxa"/>
              <w:bottom w:w="0" w:type="dxa"/>
              <w:right w:w="0" w:type="dxa"/>
            </w:tcMar>
            <w:vAlign w:val="center"/>
          </w:tcPr>
          <w:p w14:paraId="71FD6BE0" w14:textId="77777777" w:rsidR="009103CC" w:rsidRPr="00531FE4" w:rsidRDefault="009103CC" w:rsidP="002718DF">
            <w:pPr>
              <w:pStyle w:val="Tabletext"/>
              <w:rPr>
                <w:rFonts w:cstheme="minorBidi"/>
                <w:b/>
                <w:bCs/>
                <w:sz w:val="24"/>
                <w:szCs w:val="24"/>
              </w:rPr>
            </w:pPr>
          </w:p>
        </w:tc>
        <w:tc>
          <w:tcPr>
            <w:tcW w:w="708" w:type="pct"/>
            <w:tcMar>
              <w:top w:w="0" w:type="dxa"/>
              <w:left w:w="0" w:type="dxa"/>
              <w:bottom w:w="0" w:type="dxa"/>
              <w:right w:w="0" w:type="dxa"/>
            </w:tcMar>
            <w:vAlign w:val="center"/>
          </w:tcPr>
          <w:p w14:paraId="22206617" w14:textId="77777777" w:rsidR="009103CC" w:rsidRPr="00531FE4" w:rsidRDefault="009103CC" w:rsidP="002718DF">
            <w:pPr>
              <w:pStyle w:val="Tabletext"/>
              <w:rPr>
                <w:rFonts w:cstheme="minorBidi"/>
                <w:b/>
                <w:bCs/>
                <w:sz w:val="24"/>
                <w:szCs w:val="24"/>
              </w:rPr>
            </w:pPr>
          </w:p>
        </w:tc>
        <w:tc>
          <w:tcPr>
            <w:tcW w:w="706" w:type="pct"/>
            <w:tcMar>
              <w:top w:w="0" w:type="dxa"/>
              <w:left w:w="0" w:type="dxa"/>
              <w:bottom w:w="0" w:type="dxa"/>
              <w:right w:w="0" w:type="dxa"/>
            </w:tcMar>
            <w:vAlign w:val="center"/>
          </w:tcPr>
          <w:p w14:paraId="4FF9419E" w14:textId="77777777" w:rsidR="009103CC" w:rsidRPr="00531FE4" w:rsidRDefault="009103CC" w:rsidP="002718DF">
            <w:pPr>
              <w:pStyle w:val="Tabletext"/>
              <w:rPr>
                <w:rFonts w:cstheme="minorBidi"/>
                <w:b/>
                <w:bCs/>
                <w:sz w:val="24"/>
                <w:szCs w:val="24"/>
              </w:rPr>
            </w:pPr>
          </w:p>
        </w:tc>
      </w:tr>
      <w:tr w:rsidR="009103CC" w:rsidRPr="001814D2" w14:paraId="4B2472BB" w14:textId="77777777" w:rsidTr="002718DF">
        <w:tblPrEx>
          <w:tblBorders>
            <w:bottom w:val="single" w:sz="4" w:space="0" w:color="auto"/>
          </w:tblBorders>
        </w:tblPrEx>
        <w:trPr>
          <w:cantSplit/>
          <w:trHeight w:hRule="exact" w:val="332"/>
        </w:trPr>
        <w:tc>
          <w:tcPr>
            <w:tcW w:w="2170" w:type="pct"/>
            <w:tcMar>
              <w:top w:w="0" w:type="dxa"/>
              <w:left w:w="0" w:type="dxa"/>
              <w:bottom w:w="0" w:type="dxa"/>
              <w:right w:w="0" w:type="dxa"/>
            </w:tcMar>
            <w:vAlign w:val="center"/>
          </w:tcPr>
          <w:p w14:paraId="33499BFF" w14:textId="77777777" w:rsidR="009103CC" w:rsidRPr="001814D2" w:rsidRDefault="009103CC" w:rsidP="002718DF">
            <w:pPr>
              <w:pStyle w:val="Tabletext"/>
            </w:pPr>
            <w:r w:rsidRPr="001814D2">
              <w:t xml:space="preserve">Accrued salaries, wages and on-costs </w:t>
            </w:r>
          </w:p>
        </w:tc>
        <w:tc>
          <w:tcPr>
            <w:tcW w:w="708" w:type="pct"/>
            <w:tcMar>
              <w:top w:w="0" w:type="dxa"/>
              <w:left w:w="0" w:type="dxa"/>
              <w:bottom w:w="0" w:type="dxa"/>
              <w:right w:w="0" w:type="dxa"/>
            </w:tcMar>
            <w:vAlign w:val="center"/>
          </w:tcPr>
          <w:p w14:paraId="29F24C12" w14:textId="77777777" w:rsidR="009103CC" w:rsidRPr="001814D2" w:rsidRDefault="009103CC" w:rsidP="002718DF">
            <w:pPr>
              <w:pStyle w:val="Tabletext"/>
              <w:jc w:val="right"/>
            </w:pPr>
            <w:r w:rsidRPr="001814D2">
              <w:t>785</w:t>
            </w:r>
          </w:p>
        </w:tc>
        <w:tc>
          <w:tcPr>
            <w:tcW w:w="708" w:type="pct"/>
            <w:tcMar>
              <w:top w:w="0" w:type="dxa"/>
              <w:left w:w="0" w:type="dxa"/>
              <w:bottom w:w="0" w:type="dxa"/>
              <w:right w:w="0" w:type="dxa"/>
            </w:tcMar>
            <w:vAlign w:val="center"/>
          </w:tcPr>
          <w:p w14:paraId="4F5D1E7D" w14:textId="77777777" w:rsidR="009103CC" w:rsidRPr="001814D2" w:rsidRDefault="009103CC" w:rsidP="002718DF">
            <w:pPr>
              <w:pStyle w:val="Tabletext"/>
              <w:jc w:val="right"/>
            </w:pPr>
            <w:r w:rsidRPr="001814D2">
              <w:t>594</w:t>
            </w:r>
          </w:p>
        </w:tc>
        <w:tc>
          <w:tcPr>
            <w:tcW w:w="708" w:type="pct"/>
            <w:tcMar>
              <w:top w:w="0" w:type="dxa"/>
              <w:left w:w="0" w:type="dxa"/>
              <w:bottom w:w="0" w:type="dxa"/>
              <w:right w:w="0" w:type="dxa"/>
            </w:tcMar>
            <w:vAlign w:val="center"/>
          </w:tcPr>
          <w:p w14:paraId="426773FB" w14:textId="77777777" w:rsidR="009103CC" w:rsidRPr="001814D2" w:rsidRDefault="009103CC" w:rsidP="002718DF">
            <w:pPr>
              <w:pStyle w:val="Tabletext"/>
              <w:jc w:val="right"/>
            </w:pPr>
            <w:r w:rsidRPr="001814D2">
              <w:t>5,229</w:t>
            </w:r>
          </w:p>
        </w:tc>
        <w:tc>
          <w:tcPr>
            <w:tcW w:w="706" w:type="pct"/>
            <w:tcMar>
              <w:top w:w="0" w:type="dxa"/>
              <w:left w:w="0" w:type="dxa"/>
              <w:bottom w:w="0" w:type="dxa"/>
              <w:right w:w="0" w:type="dxa"/>
            </w:tcMar>
            <w:vAlign w:val="center"/>
          </w:tcPr>
          <w:p w14:paraId="15D94478" w14:textId="77777777" w:rsidR="009103CC" w:rsidRPr="001814D2" w:rsidRDefault="009103CC" w:rsidP="002718DF">
            <w:pPr>
              <w:pStyle w:val="Tabletext"/>
              <w:jc w:val="right"/>
            </w:pPr>
            <w:r w:rsidRPr="001814D2">
              <w:t>5,099</w:t>
            </w:r>
          </w:p>
        </w:tc>
      </w:tr>
      <w:tr w:rsidR="009103CC" w:rsidRPr="001814D2" w14:paraId="4D737F0C" w14:textId="77777777" w:rsidTr="002718DF">
        <w:tblPrEx>
          <w:tblBorders>
            <w:bottom w:val="single" w:sz="4" w:space="0" w:color="auto"/>
          </w:tblBorders>
        </w:tblPrEx>
        <w:trPr>
          <w:cantSplit/>
          <w:trHeight w:hRule="exact" w:val="332"/>
        </w:trPr>
        <w:tc>
          <w:tcPr>
            <w:tcW w:w="2170" w:type="pct"/>
            <w:tcMar>
              <w:top w:w="0" w:type="dxa"/>
              <w:left w:w="0" w:type="dxa"/>
              <w:bottom w:w="0" w:type="dxa"/>
              <w:right w:w="0" w:type="dxa"/>
            </w:tcMar>
            <w:vAlign w:val="center"/>
          </w:tcPr>
          <w:p w14:paraId="5052402E" w14:textId="77777777" w:rsidR="009103CC" w:rsidRPr="001814D2" w:rsidRDefault="009103CC" w:rsidP="002718DF">
            <w:pPr>
              <w:pStyle w:val="Tabletext"/>
            </w:pPr>
            <w:r w:rsidRPr="001814D2">
              <w:t>Recreation leave</w:t>
            </w:r>
          </w:p>
        </w:tc>
        <w:tc>
          <w:tcPr>
            <w:tcW w:w="708" w:type="pct"/>
            <w:tcMar>
              <w:top w:w="0" w:type="dxa"/>
              <w:left w:w="0" w:type="dxa"/>
              <w:bottom w:w="0" w:type="dxa"/>
              <w:right w:w="0" w:type="dxa"/>
            </w:tcMar>
            <w:vAlign w:val="center"/>
          </w:tcPr>
          <w:p w14:paraId="7E751327" w14:textId="77777777" w:rsidR="009103CC" w:rsidRPr="001814D2" w:rsidRDefault="009103CC" w:rsidP="002718DF">
            <w:pPr>
              <w:pStyle w:val="Tabletext"/>
              <w:jc w:val="right"/>
            </w:pPr>
            <w:r w:rsidRPr="001814D2">
              <w:t>3,323</w:t>
            </w:r>
          </w:p>
        </w:tc>
        <w:tc>
          <w:tcPr>
            <w:tcW w:w="708" w:type="pct"/>
            <w:tcMar>
              <w:top w:w="0" w:type="dxa"/>
              <w:left w:w="0" w:type="dxa"/>
              <w:bottom w:w="0" w:type="dxa"/>
              <w:right w:w="0" w:type="dxa"/>
            </w:tcMar>
            <w:vAlign w:val="center"/>
          </w:tcPr>
          <w:p w14:paraId="6C6CB554" w14:textId="77777777" w:rsidR="009103CC" w:rsidRPr="001814D2" w:rsidRDefault="009103CC" w:rsidP="002718DF">
            <w:pPr>
              <w:pStyle w:val="Tabletext"/>
              <w:jc w:val="right"/>
            </w:pPr>
            <w:r w:rsidRPr="001814D2">
              <w:t>2,923</w:t>
            </w:r>
          </w:p>
        </w:tc>
        <w:tc>
          <w:tcPr>
            <w:tcW w:w="708" w:type="pct"/>
            <w:tcMar>
              <w:top w:w="0" w:type="dxa"/>
              <w:left w:w="0" w:type="dxa"/>
              <w:bottom w:w="0" w:type="dxa"/>
              <w:right w:w="0" w:type="dxa"/>
            </w:tcMar>
            <w:vAlign w:val="center"/>
          </w:tcPr>
          <w:p w14:paraId="21754297" w14:textId="77777777" w:rsidR="009103CC" w:rsidRPr="001814D2" w:rsidRDefault="009103CC" w:rsidP="002718DF">
            <w:pPr>
              <w:pStyle w:val="Tabletext"/>
              <w:jc w:val="right"/>
            </w:pPr>
            <w:r w:rsidRPr="001814D2">
              <w:t>-</w:t>
            </w:r>
          </w:p>
        </w:tc>
        <w:tc>
          <w:tcPr>
            <w:tcW w:w="706" w:type="pct"/>
            <w:tcMar>
              <w:top w:w="0" w:type="dxa"/>
              <w:left w:w="0" w:type="dxa"/>
              <w:bottom w:w="0" w:type="dxa"/>
              <w:right w:w="0" w:type="dxa"/>
            </w:tcMar>
            <w:vAlign w:val="center"/>
          </w:tcPr>
          <w:p w14:paraId="2A886410" w14:textId="77777777" w:rsidR="009103CC" w:rsidRPr="001814D2" w:rsidRDefault="009103CC" w:rsidP="002718DF">
            <w:pPr>
              <w:pStyle w:val="Tabletext"/>
              <w:jc w:val="right"/>
            </w:pPr>
            <w:r w:rsidRPr="001814D2">
              <w:t>-</w:t>
            </w:r>
          </w:p>
        </w:tc>
      </w:tr>
      <w:tr w:rsidR="009103CC" w:rsidRPr="001814D2" w14:paraId="24D322F9" w14:textId="77777777" w:rsidTr="002718DF">
        <w:tblPrEx>
          <w:tblBorders>
            <w:bottom w:val="single" w:sz="4" w:space="0" w:color="auto"/>
          </w:tblBorders>
        </w:tblPrEx>
        <w:trPr>
          <w:cantSplit/>
          <w:trHeight w:hRule="exact" w:val="332"/>
        </w:trPr>
        <w:tc>
          <w:tcPr>
            <w:tcW w:w="2170" w:type="pct"/>
            <w:tcMar>
              <w:top w:w="0" w:type="dxa"/>
              <w:left w:w="0" w:type="dxa"/>
              <w:bottom w:w="0" w:type="dxa"/>
              <w:right w:w="0" w:type="dxa"/>
            </w:tcMar>
            <w:vAlign w:val="center"/>
          </w:tcPr>
          <w:p w14:paraId="62DDC2E7" w14:textId="77777777" w:rsidR="009103CC" w:rsidRPr="001814D2" w:rsidRDefault="009103CC" w:rsidP="002718DF">
            <w:pPr>
              <w:pStyle w:val="Tabletext"/>
            </w:pPr>
            <w:r w:rsidRPr="001814D2">
              <w:t>Long service leave on-costs</w:t>
            </w:r>
          </w:p>
        </w:tc>
        <w:tc>
          <w:tcPr>
            <w:tcW w:w="708" w:type="pct"/>
            <w:tcMar>
              <w:top w:w="0" w:type="dxa"/>
              <w:left w:w="0" w:type="dxa"/>
              <w:bottom w:w="0" w:type="dxa"/>
              <w:right w:w="0" w:type="dxa"/>
            </w:tcMar>
            <w:vAlign w:val="center"/>
          </w:tcPr>
          <w:p w14:paraId="708B060F" w14:textId="77777777" w:rsidR="009103CC" w:rsidRPr="001814D2" w:rsidRDefault="009103CC" w:rsidP="002718DF">
            <w:pPr>
              <w:pStyle w:val="Tabletext"/>
              <w:jc w:val="right"/>
            </w:pPr>
            <w:r w:rsidRPr="001814D2">
              <w:t>1,121</w:t>
            </w:r>
          </w:p>
        </w:tc>
        <w:tc>
          <w:tcPr>
            <w:tcW w:w="708" w:type="pct"/>
            <w:tcMar>
              <w:top w:w="0" w:type="dxa"/>
              <w:left w:w="0" w:type="dxa"/>
              <w:bottom w:w="0" w:type="dxa"/>
              <w:right w:w="0" w:type="dxa"/>
            </w:tcMar>
            <w:vAlign w:val="center"/>
          </w:tcPr>
          <w:p w14:paraId="20746E1A" w14:textId="77777777" w:rsidR="009103CC" w:rsidRPr="001814D2" w:rsidRDefault="009103CC" w:rsidP="002718DF">
            <w:pPr>
              <w:pStyle w:val="Tabletext"/>
              <w:jc w:val="right"/>
            </w:pPr>
            <w:r w:rsidRPr="001814D2">
              <w:t>1,582</w:t>
            </w:r>
          </w:p>
        </w:tc>
        <w:tc>
          <w:tcPr>
            <w:tcW w:w="708" w:type="pct"/>
            <w:tcMar>
              <w:top w:w="0" w:type="dxa"/>
              <w:left w:w="0" w:type="dxa"/>
              <w:bottom w:w="0" w:type="dxa"/>
              <w:right w:w="0" w:type="dxa"/>
            </w:tcMar>
            <w:vAlign w:val="center"/>
          </w:tcPr>
          <w:p w14:paraId="2DB0B0A4" w14:textId="77777777" w:rsidR="009103CC" w:rsidRPr="001814D2" w:rsidRDefault="009103CC" w:rsidP="002718DF">
            <w:pPr>
              <w:pStyle w:val="Tabletext"/>
              <w:jc w:val="right"/>
            </w:pPr>
            <w:r w:rsidRPr="001814D2">
              <w:t>-</w:t>
            </w:r>
          </w:p>
        </w:tc>
        <w:tc>
          <w:tcPr>
            <w:tcW w:w="706" w:type="pct"/>
            <w:tcMar>
              <w:top w:w="0" w:type="dxa"/>
              <w:left w:w="0" w:type="dxa"/>
              <w:bottom w:w="0" w:type="dxa"/>
              <w:right w:w="0" w:type="dxa"/>
            </w:tcMar>
            <w:vAlign w:val="center"/>
          </w:tcPr>
          <w:p w14:paraId="6E754B35" w14:textId="77777777" w:rsidR="009103CC" w:rsidRPr="001814D2" w:rsidRDefault="009103CC" w:rsidP="002718DF">
            <w:pPr>
              <w:pStyle w:val="Tabletext"/>
              <w:jc w:val="right"/>
            </w:pPr>
            <w:r w:rsidRPr="001814D2">
              <w:t>-</w:t>
            </w:r>
          </w:p>
        </w:tc>
      </w:tr>
      <w:tr w:rsidR="009103CC" w:rsidRPr="001814D2" w14:paraId="0269FAC8" w14:textId="77777777" w:rsidTr="002718DF">
        <w:tblPrEx>
          <w:tblBorders>
            <w:bottom w:val="single" w:sz="4" w:space="0" w:color="auto"/>
          </w:tblBorders>
        </w:tblPrEx>
        <w:trPr>
          <w:cantSplit/>
          <w:trHeight w:hRule="exact" w:val="332"/>
        </w:trPr>
        <w:tc>
          <w:tcPr>
            <w:tcW w:w="2170" w:type="pct"/>
            <w:tcMar>
              <w:top w:w="0" w:type="dxa"/>
              <w:left w:w="0" w:type="dxa"/>
              <w:bottom w:w="0" w:type="dxa"/>
              <w:right w:w="0" w:type="dxa"/>
            </w:tcMar>
            <w:vAlign w:val="center"/>
          </w:tcPr>
          <w:p w14:paraId="52F16187" w14:textId="77777777" w:rsidR="009103CC" w:rsidRPr="001814D2" w:rsidRDefault="009103CC" w:rsidP="002718DF">
            <w:pPr>
              <w:pStyle w:val="Tabletext"/>
              <w:rPr>
                <w:rFonts w:cstheme="minorBidi"/>
                <w:sz w:val="24"/>
                <w:szCs w:val="24"/>
              </w:rPr>
            </w:pPr>
          </w:p>
        </w:tc>
        <w:tc>
          <w:tcPr>
            <w:tcW w:w="708" w:type="pct"/>
            <w:tcMar>
              <w:top w:w="0" w:type="dxa"/>
              <w:left w:w="0" w:type="dxa"/>
              <w:bottom w:w="0" w:type="dxa"/>
              <w:right w:w="0" w:type="dxa"/>
            </w:tcMar>
            <w:vAlign w:val="center"/>
          </w:tcPr>
          <w:p w14:paraId="1137654B" w14:textId="77777777" w:rsidR="009103CC" w:rsidRPr="001814D2" w:rsidRDefault="009103CC" w:rsidP="002718DF">
            <w:pPr>
              <w:pStyle w:val="Tabletext"/>
              <w:jc w:val="right"/>
            </w:pPr>
            <w:r w:rsidRPr="001814D2">
              <w:t>5,229</w:t>
            </w:r>
          </w:p>
        </w:tc>
        <w:tc>
          <w:tcPr>
            <w:tcW w:w="708" w:type="pct"/>
            <w:tcMar>
              <w:top w:w="0" w:type="dxa"/>
              <w:left w:w="0" w:type="dxa"/>
              <w:bottom w:w="0" w:type="dxa"/>
              <w:right w:w="0" w:type="dxa"/>
            </w:tcMar>
            <w:vAlign w:val="center"/>
          </w:tcPr>
          <w:p w14:paraId="15359B48" w14:textId="77777777" w:rsidR="009103CC" w:rsidRPr="001814D2" w:rsidRDefault="009103CC" w:rsidP="002718DF">
            <w:pPr>
              <w:pStyle w:val="Tabletext"/>
              <w:jc w:val="right"/>
            </w:pPr>
            <w:r w:rsidRPr="001814D2">
              <w:t>5,099</w:t>
            </w:r>
          </w:p>
        </w:tc>
        <w:tc>
          <w:tcPr>
            <w:tcW w:w="708" w:type="pct"/>
            <w:tcMar>
              <w:top w:w="0" w:type="dxa"/>
              <w:left w:w="0" w:type="dxa"/>
              <w:bottom w:w="0" w:type="dxa"/>
              <w:right w:w="0" w:type="dxa"/>
            </w:tcMar>
            <w:vAlign w:val="center"/>
          </w:tcPr>
          <w:p w14:paraId="4492D300" w14:textId="77777777" w:rsidR="009103CC" w:rsidRPr="001814D2" w:rsidRDefault="009103CC" w:rsidP="002718DF">
            <w:pPr>
              <w:pStyle w:val="Tabletext"/>
              <w:jc w:val="right"/>
            </w:pPr>
            <w:r w:rsidRPr="001814D2">
              <w:t>5,229</w:t>
            </w:r>
          </w:p>
        </w:tc>
        <w:tc>
          <w:tcPr>
            <w:tcW w:w="706" w:type="pct"/>
            <w:tcMar>
              <w:top w:w="0" w:type="dxa"/>
              <w:left w:w="0" w:type="dxa"/>
              <w:bottom w:w="0" w:type="dxa"/>
              <w:right w:w="0" w:type="dxa"/>
            </w:tcMar>
            <w:vAlign w:val="center"/>
          </w:tcPr>
          <w:p w14:paraId="4FB58988" w14:textId="77777777" w:rsidR="009103CC" w:rsidRPr="001814D2" w:rsidRDefault="009103CC" w:rsidP="002718DF">
            <w:pPr>
              <w:pStyle w:val="Tabletext"/>
              <w:jc w:val="right"/>
            </w:pPr>
            <w:r w:rsidRPr="001814D2">
              <w:t>5,099</w:t>
            </w:r>
          </w:p>
        </w:tc>
      </w:tr>
      <w:tr w:rsidR="009103CC" w:rsidRPr="001814D2" w14:paraId="1541754E" w14:textId="77777777" w:rsidTr="002718DF">
        <w:tblPrEx>
          <w:tblBorders>
            <w:bottom w:val="single" w:sz="4" w:space="0" w:color="auto"/>
          </w:tblBorders>
        </w:tblPrEx>
        <w:trPr>
          <w:cantSplit/>
          <w:trHeight w:hRule="exact" w:val="332"/>
        </w:trPr>
        <w:tc>
          <w:tcPr>
            <w:tcW w:w="2170" w:type="pct"/>
            <w:tcMar>
              <w:top w:w="0" w:type="dxa"/>
              <w:left w:w="0" w:type="dxa"/>
              <w:bottom w:w="0" w:type="dxa"/>
              <w:right w:w="0" w:type="dxa"/>
            </w:tcMar>
            <w:vAlign w:val="center"/>
          </w:tcPr>
          <w:p w14:paraId="36C66C00" w14:textId="77777777" w:rsidR="009103CC" w:rsidRPr="001814D2" w:rsidRDefault="009103CC" w:rsidP="002718DF">
            <w:pPr>
              <w:pStyle w:val="Tabletext"/>
            </w:pPr>
            <w:r w:rsidRPr="001814D2">
              <w:t>Current</w:t>
            </w:r>
          </w:p>
        </w:tc>
        <w:tc>
          <w:tcPr>
            <w:tcW w:w="708" w:type="pct"/>
            <w:tcMar>
              <w:top w:w="0" w:type="dxa"/>
              <w:left w:w="0" w:type="dxa"/>
              <w:bottom w:w="0" w:type="dxa"/>
              <w:right w:w="0" w:type="dxa"/>
            </w:tcMar>
            <w:vAlign w:val="center"/>
          </w:tcPr>
          <w:p w14:paraId="752A0F52" w14:textId="77777777" w:rsidR="009103CC" w:rsidRPr="001814D2" w:rsidRDefault="009103CC" w:rsidP="002718DF">
            <w:pPr>
              <w:pStyle w:val="Tabletext"/>
              <w:jc w:val="right"/>
            </w:pPr>
            <w:r w:rsidRPr="001814D2">
              <w:t>5,103</w:t>
            </w:r>
          </w:p>
        </w:tc>
        <w:tc>
          <w:tcPr>
            <w:tcW w:w="708" w:type="pct"/>
            <w:tcMar>
              <w:top w:w="0" w:type="dxa"/>
              <w:left w:w="0" w:type="dxa"/>
              <w:bottom w:w="0" w:type="dxa"/>
              <w:right w:w="0" w:type="dxa"/>
            </w:tcMar>
            <w:vAlign w:val="center"/>
          </w:tcPr>
          <w:p w14:paraId="699AAD08" w14:textId="77777777" w:rsidR="009103CC" w:rsidRPr="001814D2" w:rsidRDefault="009103CC" w:rsidP="002718DF">
            <w:pPr>
              <w:pStyle w:val="Tabletext"/>
              <w:jc w:val="right"/>
            </w:pPr>
            <w:r w:rsidRPr="001814D2">
              <w:t>4,973</w:t>
            </w:r>
          </w:p>
        </w:tc>
        <w:tc>
          <w:tcPr>
            <w:tcW w:w="708" w:type="pct"/>
            <w:tcMar>
              <w:top w:w="0" w:type="dxa"/>
              <w:left w:w="0" w:type="dxa"/>
              <w:bottom w:w="0" w:type="dxa"/>
              <w:right w:w="0" w:type="dxa"/>
            </w:tcMar>
            <w:vAlign w:val="center"/>
          </w:tcPr>
          <w:p w14:paraId="6DECE9A4" w14:textId="77777777" w:rsidR="009103CC" w:rsidRPr="001814D2" w:rsidRDefault="009103CC" w:rsidP="002718DF">
            <w:pPr>
              <w:pStyle w:val="Tabletext"/>
              <w:jc w:val="right"/>
            </w:pPr>
            <w:r w:rsidRPr="001814D2">
              <w:t>5,103</w:t>
            </w:r>
          </w:p>
        </w:tc>
        <w:tc>
          <w:tcPr>
            <w:tcW w:w="706" w:type="pct"/>
            <w:tcMar>
              <w:top w:w="0" w:type="dxa"/>
              <w:left w:w="0" w:type="dxa"/>
              <w:bottom w:w="0" w:type="dxa"/>
              <w:right w:w="0" w:type="dxa"/>
            </w:tcMar>
            <w:vAlign w:val="center"/>
          </w:tcPr>
          <w:p w14:paraId="34CC1B56" w14:textId="77777777" w:rsidR="009103CC" w:rsidRPr="001814D2" w:rsidRDefault="009103CC" w:rsidP="002718DF">
            <w:pPr>
              <w:pStyle w:val="Tabletext"/>
              <w:jc w:val="right"/>
            </w:pPr>
            <w:r w:rsidRPr="001814D2">
              <w:t>4,973</w:t>
            </w:r>
          </w:p>
        </w:tc>
      </w:tr>
      <w:tr w:rsidR="009103CC" w:rsidRPr="001814D2" w14:paraId="5B527736" w14:textId="77777777" w:rsidTr="002718DF">
        <w:tblPrEx>
          <w:tblBorders>
            <w:bottom w:val="single" w:sz="4" w:space="0" w:color="auto"/>
          </w:tblBorders>
        </w:tblPrEx>
        <w:trPr>
          <w:cantSplit/>
          <w:trHeight w:hRule="exact" w:val="332"/>
        </w:trPr>
        <w:tc>
          <w:tcPr>
            <w:tcW w:w="2170" w:type="pct"/>
            <w:tcMar>
              <w:top w:w="0" w:type="dxa"/>
              <w:left w:w="0" w:type="dxa"/>
              <w:bottom w:w="0" w:type="dxa"/>
              <w:right w:w="0" w:type="dxa"/>
            </w:tcMar>
            <w:vAlign w:val="center"/>
          </w:tcPr>
          <w:p w14:paraId="0B3DFA9F" w14:textId="77777777" w:rsidR="009103CC" w:rsidRPr="001814D2" w:rsidRDefault="009103CC" w:rsidP="002718DF">
            <w:pPr>
              <w:pStyle w:val="Tabletext"/>
            </w:pPr>
            <w:r w:rsidRPr="001814D2">
              <w:t>Non-current</w:t>
            </w:r>
          </w:p>
        </w:tc>
        <w:tc>
          <w:tcPr>
            <w:tcW w:w="708" w:type="pct"/>
            <w:tcMar>
              <w:top w:w="0" w:type="dxa"/>
              <w:left w:w="0" w:type="dxa"/>
              <w:bottom w:w="0" w:type="dxa"/>
              <w:right w:w="0" w:type="dxa"/>
            </w:tcMar>
            <w:vAlign w:val="center"/>
          </w:tcPr>
          <w:p w14:paraId="63C44B99" w14:textId="77777777" w:rsidR="009103CC" w:rsidRPr="001814D2" w:rsidRDefault="009103CC" w:rsidP="002718DF">
            <w:pPr>
              <w:pStyle w:val="Tabletext"/>
              <w:jc w:val="right"/>
            </w:pPr>
            <w:r w:rsidRPr="001814D2">
              <w:t>126</w:t>
            </w:r>
          </w:p>
        </w:tc>
        <w:tc>
          <w:tcPr>
            <w:tcW w:w="708" w:type="pct"/>
            <w:tcMar>
              <w:top w:w="0" w:type="dxa"/>
              <w:left w:w="0" w:type="dxa"/>
              <w:bottom w:w="0" w:type="dxa"/>
              <w:right w:w="0" w:type="dxa"/>
            </w:tcMar>
            <w:vAlign w:val="center"/>
          </w:tcPr>
          <w:p w14:paraId="7C95225E" w14:textId="77777777" w:rsidR="009103CC" w:rsidRPr="001814D2" w:rsidRDefault="009103CC" w:rsidP="002718DF">
            <w:pPr>
              <w:pStyle w:val="Tabletext"/>
              <w:jc w:val="right"/>
            </w:pPr>
            <w:r w:rsidRPr="001814D2">
              <w:t>126</w:t>
            </w:r>
          </w:p>
        </w:tc>
        <w:tc>
          <w:tcPr>
            <w:tcW w:w="708" w:type="pct"/>
            <w:tcMar>
              <w:top w:w="0" w:type="dxa"/>
              <w:left w:w="0" w:type="dxa"/>
              <w:bottom w:w="0" w:type="dxa"/>
              <w:right w:w="0" w:type="dxa"/>
            </w:tcMar>
            <w:vAlign w:val="center"/>
          </w:tcPr>
          <w:p w14:paraId="00545EAC" w14:textId="77777777" w:rsidR="009103CC" w:rsidRPr="001814D2" w:rsidRDefault="009103CC" w:rsidP="002718DF">
            <w:pPr>
              <w:pStyle w:val="Tabletext"/>
              <w:jc w:val="right"/>
            </w:pPr>
            <w:r w:rsidRPr="001814D2">
              <w:t>126</w:t>
            </w:r>
          </w:p>
        </w:tc>
        <w:tc>
          <w:tcPr>
            <w:tcW w:w="706" w:type="pct"/>
            <w:tcMar>
              <w:top w:w="0" w:type="dxa"/>
              <w:left w:w="0" w:type="dxa"/>
              <w:bottom w:w="0" w:type="dxa"/>
              <w:right w:w="0" w:type="dxa"/>
            </w:tcMar>
            <w:vAlign w:val="center"/>
          </w:tcPr>
          <w:p w14:paraId="3FC09CF7" w14:textId="77777777" w:rsidR="009103CC" w:rsidRPr="001814D2" w:rsidRDefault="009103CC" w:rsidP="002718DF">
            <w:pPr>
              <w:pStyle w:val="Tabletext"/>
              <w:jc w:val="right"/>
            </w:pPr>
            <w:r w:rsidRPr="001814D2">
              <w:t>126</w:t>
            </w:r>
          </w:p>
        </w:tc>
      </w:tr>
      <w:tr w:rsidR="009103CC" w:rsidRPr="001814D2" w14:paraId="679FC996" w14:textId="77777777" w:rsidTr="002718DF">
        <w:tblPrEx>
          <w:tblBorders>
            <w:bottom w:val="single" w:sz="4" w:space="0" w:color="auto"/>
          </w:tblBorders>
        </w:tblPrEx>
        <w:trPr>
          <w:cantSplit/>
          <w:trHeight w:hRule="exact" w:val="332"/>
        </w:trPr>
        <w:tc>
          <w:tcPr>
            <w:tcW w:w="2170" w:type="pct"/>
            <w:tcMar>
              <w:top w:w="0" w:type="dxa"/>
              <w:left w:w="0" w:type="dxa"/>
              <w:bottom w:w="0" w:type="dxa"/>
              <w:right w:w="0" w:type="dxa"/>
            </w:tcMar>
            <w:vAlign w:val="center"/>
          </w:tcPr>
          <w:p w14:paraId="05B445C9" w14:textId="77777777" w:rsidR="009103CC" w:rsidRPr="001814D2" w:rsidRDefault="009103CC" w:rsidP="002718DF">
            <w:pPr>
              <w:pStyle w:val="Tabletext"/>
              <w:rPr>
                <w:rFonts w:cstheme="minorBidi"/>
                <w:sz w:val="24"/>
                <w:szCs w:val="24"/>
              </w:rPr>
            </w:pPr>
          </w:p>
        </w:tc>
        <w:tc>
          <w:tcPr>
            <w:tcW w:w="708" w:type="pct"/>
            <w:tcMar>
              <w:top w:w="0" w:type="dxa"/>
              <w:left w:w="0" w:type="dxa"/>
              <w:bottom w:w="0" w:type="dxa"/>
              <w:right w:w="0" w:type="dxa"/>
            </w:tcMar>
            <w:vAlign w:val="center"/>
          </w:tcPr>
          <w:p w14:paraId="6FE5EA76" w14:textId="77777777" w:rsidR="009103CC" w:rsidRPr="001814D2" w:rsidRDefault="009103CC" w:rsidP="002718DF">
            <w:pPr>
              <w:pStyle w:val="Tabletext"/>
              <w:jc w:val="right"/>
            </w:pPr>
            <w:r w:rsidRPr="001814D2">
              <w:t>5,229</w:t>
            </w:r>
          </w:p>
        </w:tc>
        <w:tc>
          <w:tcPr>
            <w:tcW w:w="708" w:type="pct"/>
            <w:tcMar>
              <w:top w:w="0" w:type="dxa"/>
              <w:left w:w="0" w:type="dxa"/>
              <w:bottom w:w="0" w:type="dxa"/>
              <w:right w:w="0" w:type="dxa"/>
            </w:tcMar>
            <w:vAlign w:val="center"/>
          </w:tcPr>
          <w:p w14:paraId="6260A4C8" w14:textId="77777777" w:rsidR="009103CC" w:rsidRPr="001814D2" w:rsidRDefault="009103CC" w:rsidP="002718DF">
            <w:pPr>
              <w:pStyle w:val="Tabletext"/>
              <w:jc w:val="right"/>
            </w:pPr>
            <w:r w:rsidRPr="001814D2">
              <w:t>5,099</w:t>
            </w:r>
          </w:p>
        </w:tc>
        <w:tc>
          <w:tcPr>
            <w:tcW w:w="708" w:type="pct"/>
            <w:tcMar>
              <w:top w:w="0" w:type="dxa"/>
              <w:left w:w="0" w:type="dxa"/>
              <w:bottom w:w="0" w:type="dxa"/>
              <w:right w:w="0" w:type="dxa"/>
            </w:tcMar>
            <w:vAlign w:val="center"/>
          </w:tcPr>
          <w:p w14:paraId="309E667F" w14:textId="77777777" w:rsidR="009103CC" w:rsidRPr="001814D2" w:rsidRDefault="009103CC" w:rsidP="002718DF">
            <w:pPr>
              <w:pStyle w:val="Tabletext"/>
              <w:jc w:val="right"/>
            </w:pPr>
            <w:r w:rsidRPr="001814D2">
              <w:t>5,229</w:t>
            </w:r>
          </w:p>
        </w:tc>
        <w:tc>
          <w:tcPr>
            <w:tcW w:w="706" w:type="pct"/>
            <w:tcMar>
              <w:top w:w="0" w:type="dxa"/>
              <w:left w:w="0" w:type="dxa"/>
              <w:bottom w:w="0" w:type="dxa"/>
              <w:right w:w="0" w:type="dxa"/>
            </w:tcMar>
            <w:vAlign w:val="center"/>
          </w:tcPr>
          <w:p w14:paraId="47CEE7CF" w14:textId="77777777" w:rsidR="009103CC" w:rsidRPr="001814D2" w:rsidRDefault="009103CC" w:rsidP="002718DF">
            <w:pPr>
              <w:pStyle w:val="Tabletext"/>
              <w:jc w:val="right"/>
            </w:pPr>
            <w:r w:rsidRPr="001814D2">
              <w:t>5,099</w:t>
            </w:r>
          </w:p>
        </w:tc>
      </w:tr>
    </w:tbl>
    <w:p w14:paraId="78057414" w14:textId="77777777" w:rsidR="009103CC" w:rsidRPr="001814D2" w:rsidRDefault="009103CC" w:rsidP="009103CC">
      <w:pPr>
        <w:pStyle w:val="Tabletext"/>
      </w:pPr>
    </w:p>
    <w:tbl>
      <w:tblPr>
        <w:tblW w:w="5000" w:type="pct"/>
        <w:tblCellMar>
          <w:left w:w="0" w:type="dxa"/>
          <w:right w:w="0" w:type="dxa"/>
        </w:tblCellMar>
        <w:tblLook w:val="0000" w:firstRow="0" w:lastRow="0" w:firstColumn="0" w:lastColumn="0" w:noHBand="0" w:noVBand="0"/>
        <w:tblCaption w:val="13 Reconciliation of cash flows from operating activities to net result"/>
        <w:tblDescription w:val="This table provides figures for 2020 and 2021 for both the consolidated entity and parent entity."/>
      </w:tblPr>
      <w:tblGrid>
        <w:gridCol w:w="3937"/>
        <w:gridCol w:w="1284"/>
        <w:gridCol w:w="1284"/>
        <w:gridCol w:w="1284"/>
        <w:gridCol w:w="1281"/>
      </w:tblGrid>
      <w:tr w:rsidR="009103CC" w:rsidRPr="001814D2" w14:paraId="3D5630B7" w14:textId="77777777" w:rsidTr="002718DF">
        <w:trPr>
          <w:cantSplit/>
          <w:trHeight w:hRule="exact" w:val="332"/>
          <w:tblHeader/>
        </w:trPr>
        <w:tc>
          <w:tcPr>
            <w:tcW w:w="2170" w:type="pct"/>
            <w:tcBorders>
              <w:bottom w:val="single" w:sz="4" w:space="0" w:color="auto"/>
            </w:tcBorders>
            <w:tcMar>
              <w:top w:w="0" w:type="dxa"/>
              <w:left w:w="0" w:type="dxa"/>
              <w:bottom w:w="0" w:type="dxa"/>
              <w:right w:w="0" w:type="dxa"/>
            </w:tcMar>
            <w:vAlign w:val="center"/>
          </w:tcPr>
          <w:p w14:paraId="04431563" w14:textId="77777777" w:rsidR="009103CC" w:rsidRPr="001814D2" w:rsidRDefault="009103CC" w:rsidP="002718DF">
            <w:pPr>
              <w:pStyle w:val="Tabletext"/>
              <w:jc w:val="center"/>
            </w:pPr>
          </w:p>
        </w:tc>
        <w:tc>
          <w:tcPr>
            <w:tcW w:w="1416" w:type="pct"/>
            <w:gridSpan w:val="2"/>
            <w:tcBorders>
              <w:bottom w:val="single" w:sz="4" w:space="0" w:color="auto"/>
            </w:tcBorders>
            <w:tcMar>
              <w:top w:w="0" w:type="dxa"/>
              <w:left w:w="0" w:type="dxa"/>
              <w:bottom w:w="0" w:type="dxa"/>
              <w:right w:w="0" w:type="dxa"/>
            </w:tcMar>
            <w:vAlign w:val="center"/>
          </w:tcPr>
          <w:p w14:paraId="1C981CA8" w14:textId="77777777" w:rsidR="009103CC" w:rsidRPr="001814D2" w:rsidRDefault="009103CC" w:rsidP="002718DF">
            <w:pPr>
              <w:pStyle w:val="Tabletext"/>
              <w:jc w:val="center"/>
              <w:rPr>
                <w:rFonts w:cs="Preston"/>
                <w:b/>
                <w:bCs/>
                <w:szCs w:val="18"/>
              </w:rPr>
            </w:pPr>
            <w:r w:rsidRPr="001814D2">
              <w:rPr>
                <w:rFonts w:cs="Preston"/>
                <w:b/>
                <w:bCs/>
                <w:szCs w:val="18"/>
              </w:rPr>
              <w:t>Consolidated entity</w:t>
            </w:r>
          </w:p>
        </w:tc>
        <w:tc>
          <w:tcPr>
            <w:tcW w:w="1414" w:type="pct"/>
            <w:gridSpan w:val="2"/>
            <w:tcBorders>
              <w:bottom w:val="single" w:sz="4" w:space="0" w:color="auto"/>
            </w:tcBorders>
            <w:tcMar>
              <w:top w:w="0" w:type="dxa"/>
              <w:left w:w="0" w:type="dxa"/>
              <w:bottom w:w="0" w:type="dxa"/>
              <w:right w:w="0" w:type="dxa"/>
            </w:tcMar>
            <w:vAlign w:val="center"/>
          </w:tcPr>
          <w:p w14:paraId="12901A86" w14:textId="77777777" w:rsidR="009103CC" w:rsidRPr="001814D2" w:rsidRDefault="009103CC" w:rsidP="002718DF">
            <w:pPr>
              <w:pStyle w:val="Tabletext"/>
              <w:jc w:val="center"/>
              <w:rPr>
                <w:rFonts w:cs="Preston"/>
                <w:b/>
                <w:bCs/>
                <w:szCs w:val="18"/>
              </w:rPr>
            </w:pPr>
            <w:r w:rsidRPr="001814D2">
              <w:rPr>
                <w:rFonts w:cs="Preston"/>
                <w:b/>
                <w:bCs/>
                <w:szCs w:val="18"/>
              </w:rPr>
              <w:t>Parent entity</w:t>
            </w:r>
          </w:p>
        </w:tc>
      </w:tr>
      <w:tr w:rsidR="009103CC" w:rsidRPr="001814D2" w14:paraId="721E1D82" w14:textId="77777777" w:rsidTr="002718DF">
        <w:trPr>
          <w:cantSplit/>
          <w:trHeight w:hRule="exact" w:val="553"/>
          <w:tblHeader/>
        </w:trPr>
        <w:tc>
          <w:tcPr>
            <w:tcW w:w="2170" w:type="pct"/>
            <w:tcBorders>
              <w:top w:val="single" w:sz="4" w:space="0" w:color="auto"/>
              <w:bottom w:val="single" w:sz="4" w:space="0" w:color="auto"/>
            </w:tcBorders>
            <w:tcMar>
              <w:top w:w="0" w:type="dxa"/>
              <w:left w:w="0" w:type="dxa"/>
              <w:bottom w:w="0" w:type="dxa"/>
              <w:right w:w="0" w:type="dxa"/>
            </w:tcMar>
            <w:vAlign w:val="center"/>
          </w:tcPr>
          <w:p w14:paraId="2E97B280" w14:textId="77777777" w:rsidR="009103CC" w:rsidRPr="001814D2" w:rsidRDefault="009103CC" w:rsidP="002718DF">
            <w:pPr>
              <w:pStyle w:val="Tabletext"/>
              <w:rPr>
                <w:rFonts w:cs="Preston"/>
                <w:b/>
                <w:bCs/>
              </w:rPr>
            </w:pPr>
            <w:r w:rsidRPr="001814D2">
              <w:rPr>
                <w:rFonts w:cs="Preston"/>
                <w:b/>
                <w:bCs/>
              </w:rPr>
              <w:t>13 Reconciliation of cash flows from operating activities to net result</w:t>
            </w:r>
          </w:p>
          <w:p w14:paraId="0CA7A00F" w14:textId="77777777" w:rsidR="009103CC" w:rsidRPr="001814D2" w:rsidRDefault="009103CC" w:rsidP="002718DF">
            <w:pPr>
              <w:pStyle w:val="Tabletext"/>
              <w:rPr>
                <w:rFonts w:cs="Preston"/>
                <w:b/>
                <w:bCs/>
              </w:rPr>
            </w:pPr>
          </w:p>
        </w:tc>
        <w:tc>
          <w:tcPr>
            <w:tcW w:w="708" w:type="pct"/>
            <w:tcBorders>
              <w:top w:val="single" w:sz="4" w:space="0" w:color="auto"/>
              <w:bottom w:val="single" w:sz="4" w:space="0" w:color="auto"/>
            </w:tcBorders>
            <w:tcMar>
              <w:top w:w="0" w:type="dxa"/>
              <w:left w:w="0" w:type="dxa"/>
              <w:bottom w:w="0" w:type="dxa"/>
              <w:right w:w="0" w:type="dxa"/>
            </w:tcMar>
            <w:vAlign w:val="center"/>
          </w:tcPr>
          <w:p w14:paraId="15B424D6" w14:textId="77777777" w:rsidR="009103CC" w:rsidRPr="001814D2" w:rsidRDefault="009103CC" w:rsidP="002718DF">
            <w:pPr>
              <w:pStyle w:val="Tabletext"/>
              <w:jc w:val="right"/>
              <w:rPr>
                <w:rFonts w:cs="Preston"/>
                <w:b/>
                <w:bCs/>
                <w:szCs w:val="18"/>
              </w:rPr>
            </w:pPr>
            <w:r w:rsidRPr="001814D2">
              <w:rPr>
                <w:rFonts w:cs="Preston"/>
                <w:b/>
                <w:bCs/>
                <w:szCs w:val="18"/>
              </w:rPr>
              <w:t>2021</w:t>
            </w:r>
          </w:p>
          <w:p w14:paraId="3AF5E0DC" w14:textId="77777777" w:rsidR="009103CC" w:rsidRPr="001814D2" w:rsidRDefault="009103CC" w:rsidP="002718DF">
            <w:pPr>
              <w:pStyle w:val="Tabletext"/>
              <w:jc w:val="right"/>
              <w:rPr>
                <w:rFonts w:cs="Preston"/>
                <w:b/>
                <w:bCs/>
                <w:szCs w:val="18"/>
              </w:rPr>
            </w:pPr>
            <w:r w:rsidRPr="001814D2">
              <w:rPr>
                <w:rFonts w:cs="Preston"/>
                <w:b/>
                <w:bCs/>
                <w:szCs w:val="18"/>
              </w:rPr>
              <w:t>$'000</w:t>
            </w:r>
          </w:p>
        </w:tc>
        <w:tc>
          <w:tcPr>
            <w:tcW w:w="708" w:type="pct"/>
            <w:tcBorders>
              <w:top w:val="single" w:sz="4" w:space="0" w:color="auto"/>
              <w:bottom w:val="single" w:sz="4" w:space="0" w:color="auto"/>
            </w:tcBorders>
            <w:tcMar>
              <w:top w:w="0" w:type="dxa"/>
              <w:left w:w="0" w:type="dxa"/>
              <w:bottom w:w="0" w:type="dxa"/>
              <w:right w:w="0" w:type="dxa"/>
            </w:tcMar>
            <w:vAlign w:val="center"/>
          </w:tcPr>
          <w:p w14:paraId="05C03DD4" w14:textId="77777777" w:rsidR="009103CC" w:rsidRPr="001814D2" w:rsidRDefault="009103CC" w:rsidP="002718DF">
            <w:pPr>
              <w:pStyle w:val="Tabletext"/>
              <w:jc w:val="right"/>
              <w:rPr>
                <w:rFonts w:cs="Preston"/>
                <w:b/>
                <w:bCs/>
                <w:szCs w:val="18"/>
              </w:rPr>
            </w:pPr>
            <w:r w:rsidRPr="001814D2">
              <w:rPr>
                <w:rFonts w:cs="Preston"/>
                <w:b/>
                <w:bCs/>
                <w:szCs w:val="18"/>
              </w:rPr>
              <w:t>2020</w:t>
            </w:r>
          </w:p>
          <w:p w14:paraId="3B10A2B1" w14:textId="77777777" w:rsidR="009103CC" w:rsidRPr="001814D2" w:rsidRDefault="009103CC" w:rsidP="002718DF">
            <w:pPr>
              <w:pStyle w:val="Tabletext"/>
              <w:jc w:val="right"/>
              <w:rPr>
                <w:rFonts w:cs="Preston"/>
                <w:b/>
                <w:bCs/>
                <w:szCs w:val="18"/>
              </w:rPr>
            </w:pPr>
            <w:r w:rsidRPr="001814D2">
              <w:rPr>
                <w:rFonts w:cs="Preston"/>
                <w:b/>
                <w:bCs/>
                <w:szCs w:val="18"/>
              </w:rPr>
              <w:t>$'000</w:t>
            </w:r>
          </w:p>
        </w:tc>
        <w:tc>
          <w:tcPr>
            <w:tcW w:w="708" w:type="pct"/>
            <w:tcBorders>
              <w:top w:val="single" w:sz="4" w:space="0" w:color="auto"/>
              <w:bottom w:val="single" w:sz="4" w:space="0" w:color="auto"/>
            </w:tcBorders>
            <w:tcMar>
              <w:top w:w="0" w:type="dxa"/>
              <w:left w:w="0" w:type="dxa"/>
              <w:bottom w:w="0" w:type="dxa"/>
              <w:right w:w="0" w:type="dxa"/>
            </w:tcMar>
            <w:vAlign w:val="center"/>
          </w:tcPr>
          <w:p w14:paraId="083E2E61" w14:textId="77777777" w:rsidR="009103CC" w:rsidRPr="001814D2" w:rsidRDefault="009103CC" w:rsidP="002718DF">
            <w:pPr>
              <w:pStyle w:val="Tabletext"/>
              <w:jc w:val="right"/>
              <w:rPr>
                <w:rFonts w:cs="Preston"/>
                <w:b/>
                <w:bCs/>
                <w:szCs w:val="18"/>
              </w:rPr>
            </w:pPr>
            <w:r w:rsidRPr="001814D2">
              <w:rPr>
                <w:rFonts w:cs="Preston"/>
                <w:b/>
                <w:bCs/>
                <w:szCs w:val="18"/>
              </w:rPr>
              <w:t>2021</w:t>
            </w:r>
          </w:p>
          <w:p w14:paraId="5485FD0E"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3349D64E" w14:textId="77777777" w:rsidR="009103CC" w:rsidRPr="001814D2" w:rsidRDefault="009103CC" w:rsidP="002718DF">
            <w:pPr>
              <w:pStyle w:val="Tabletext"/>
              <w:jc w:val="right"/>
              <w:rPr>
                <w:rFonts w:cs="Preston"/>
                <w:b/>
                <w:bCs/>
                <w:szCs w:val="18"/>
              </w:rPr>
            </w:pPr>
          </w:p>
        </w:tc>
        <w:tc>
          <w:tcPr>
            <w:tcW w:w="706" w:type="pct"/>
            <w:tcBorders>
              <w:top w:val="single" w:sz="4" w:space="0" w:color="auto"/>
              <w:bottom w:val="single" w:sz="4" w:space="0" w:color="auto"/>
            </w:tcBorders>
            <w:tcMar>
              <w:top w:w="0" w:type="dxa"/>
              <w:left w:w="0" w:type="dxa"/>
              <w:bottom w:w="0" w:type="dxa"/>
              <w:right w:w="0" w:type="dxa"/>
            </w:tcMar>
            <w:vAlign w:val="center"/>
          </w:tcPr>
          <w:p w14:paraId="32AF4E78" w14:textId="77777777" w:rsidR="009103CC" w:rsidRPr="001814D2" w:rsidRDefault="009103CC" w:rsidP="002718DF">
            <w:pPr>
              <w:pStyle w:val="Tabletext"/>
              <w:jc w:val="right"/>
              <w:rPr>
                <w:rFonts w:cs="Preston"/>
                <w:b/>
                <w:bCs/>
                <w:szCs w:val="18"/>
              </w:rPr>
            </w:pPr>
            <w:r w:rsidRPr="001814D2">
              <w:rPr>
                <w:rFonts w:cs="Preston"/>
                <w:b/>
                <w:bCs/>
                <w:szCs w:val="18"/>
              </w:rPr>
              <w:t>2020</w:t>
            </w:r>
          </w:p>
          <w:p w14:paraId="0A622D29"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736B3005" w14:textId="77777777" w:rsidR="009103CC" w:rsidRPr="001814D2" w:rsidRDefault="009103CC" w:rsidP="002718DF">
            <w:pPr>
              <w:pStyle w:val="Tabletext"/>
              <w:jc w:val="right"/>
              <w:rPr>
                <w:rFonts w:cs="Preston"/>
                <w:b/>
                <w:bCs/>
                <w:szCs w:val="18"/>
              </w:rPr>
            </w:pPr>
          </w:p>
        </w:tc>
      </w:tr>
      <w:tr w:rsidR="009103CC" w:rsidRPr="001814D2" w14:paraId="0BFE39F5"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085F016F" w14:textId="77777777" w:rsidR="009103CC" w:rsidRPr="001814D2" w:rsidRDefault="009103CC" w:rsidP="002718DF">
            <w:pPr>
              <w:pStyle w:val="Tabletext"/>
              <w:rPr>
                <w:rFonts w:cs="Preston"/>
              </w:rPr>
            </w:pPr>
            <w:r w:rsidRPr="001814D2">
              <w:rPr>
                <w:rFonts w:cs="Preston"/>
              </w:rPr>
              <w:t>Net cash used on operating activities</w:t>
            </w:r>
          </w:p>
        </w:tc>
        <w:tc>
          <w:tcPr>
            <w:tcW w:w="708" w:type="pct"/>
            <w:tcBorders>
              <w:top w:val="single" w:sz="4" w:space="0" w:color="auto"/>
              <w:bottom w:val="single" w:sz="4" w:space="0" w:color="auto"/>
            </w:tcBorders>
            <w:tcMar>
              <w:top w:w="0" w:type="dxa"/>
              <w:left w:w="0" w:type="dxa"/>
              <w:bottom w:w="0" w:type="dxa"/>
              <w:right w:w="0" w:type="dxa"/>
            </w:tcMar>
            <w:vAlign w:val="center"/>
          </w:tcPr>
          <w:p w14:paraId="3FC6C6E2" w14:textId="77777777" w:rsidR="009103CC" w:rsidRPr="001814D2" w:rsidRDefault="009103CC" w:rsidP="002718DF">
            <w:pPr>
              <w:pStyle w:val="Tabletext"/>
              <w:jc w:val="right"/>
              <w:rPr>
                <w:rFonts w:cs="Preston"/>
                <w:szCs w:val="18"/>
              </w:rPr>
            </w:pPr>
            <w:r w:rsidRPr="001814D2">
              <w:rPr>
                <w:rFonts w:cs="Preston"/>
                <w:szCs w:val="18"/>
              </w:rPr>
              <w:t>142,660</w:t>
            </w:r>
          </w:p>
        </w:tc>
        <w:tc>
          <w:tcPr>
            <w:tcW w:w="708" w:type="pct"/>
            <w:tcBorders>
              <w:top w:val="single" w:sz="4" w:space="0" w:color="auto"/>
              <w:bottom w:val="single" w:sz="4" w:space="0" w:color="auto"/>
            </w:tcBorders>
            <w:tcMar>
              <w:top w:w="0" w:type="dxa"/>
              <w:left w:w="0" w:type="dxa"/>
              <w:bottom w:w="0" w:type="dxa"/>
              <w:right w:w="0" w:type="dxa"/>
            </w:tcMar>
            <w:vAlign w:val="center"/>
          </w:tcPr>
          <w:p w14:paraId="47C8917C" w14:textId="77777777" w:rsidR="009103CC" w:rsidRPr="001814D2" w:rsidRDefault="009103CC" w:rsidP="002718DF">
            <w:pPr>
              <w:pStyle w:val="Tabletext"/>
              <w:jc w:val="right"/>
              <w:rPr>
                <w:rFonts w:cs="Preston"/>
                <w:szCs w:val="18"/>
              </w:rPr>
            </w:pPr>
            <w:r w:rsidRPr="001814D2">
              <w:rPr>
                <w:rFonts w:cs="Preston"/>
                <w:szCs w:val="18"/>
              </w:rPr>
              <w:t>79,586</w:t>
            </w:r>
          </w:p>
        </w:tc>
        <w:tc>
          <w:tcPr>
            <w:tcW w:w="708" w:type="pct"/>
            <w:tcBorders>
              <w:top w:val="single" w:sz="4" w:space="0" w:color="auto"/>
              <w:bottom w:val="single" w:sz="4" w:space="0" w:color="auto"/>
            </w:tcBorders>
            <w:tcMar>
              <w:top w:w="0" w:type="dxa"/>
              <w:left w:w="0" w:type="dxa"/>
              <w:bottom w:w="0" w:type="dxa"/>
              <w:right w:w="0" w:type="dxa"/>
            </w:tcMar>
            <w:vAlign w:val="center"/>
          </w:tcPr>
          <w:p w14:paraId="74822387" w14:textId="77777777" w:rsidR="009103CC" w:rsidRPr="001814D2" w:rsidRDefault="009103CC" w:rsidP="002718DF">
            <w:pPr>
              <w:pStyle w:val="Tabletext"/>
              <w:jc w:val="right"/>
              <w:rPr>
                <w:rFonts w:cs="Preston"/>
                <w:szCs w:val="18"/>
              </w:rPr>
            </w:pPr>
            <w:r w:rsidRPr="001814D2">
              <w:rPr>
                <w:rFonts w:cs="Preston"/>
                <w:szCs w:val="18"/>
              </w:rPr>
              <w:t>142,541</w:t>
            </w:r>
          </w:p>
        </w:tc>
        <w:tc>
          <w:tcPr>
            <w:tcW w:w="706" w:type="pct"/>
            <w:tcBorders>
              <w:top w:val="single" w:sz="4" w:space="0" w:color="auto"/>
              <w:bottom w:val="single" w:sz="4" w:space="0" w:color="auto"/>
            </w:tcBorders>
            <w:tcMar>
              <w:top w:w="0" w:type="dxa"/>
              <w:left w:w="0" w:type="dxa"/>
              <w:bottom w:w="0" w:type="dxa"/>
              <w:right w:w="0" w:type="dxa"/>
            </w:tcMar>
            <w:vAlign w:val="center"/>
          </w:tcPr>
          <w:p w14:paraId="3F99D7F2" w14:textId="77777777" w:rsidR="009103CC" w:rsidRPr="001814D2" w:rsidRDefault="009103CC" w:rsidP="002718DF">
            <w:pPr>
              <w:pStyle w:val="Tabletext"/>
              <w:jc w:val="right"/>
              <w:rPr>
                <w:rFonts w:cs="Preston"/>
                <w:szCs w:val="18"/>
              </w:rPr>
            </w:pPr>
            <w:r w:rsidRPr="001814D2">
              <w:rPr>
                <w:rFonts w:cs="Preston"/>
                <w:szCs w:val="18"/>
              </w:rPr>
              <w:t>79,264</w:t>
            </w:r>
          </w:p>
        </w:tc>
      </w:tr>
      <w:tr w:rsidR="009103CC" w:rsidRPr="001814D2" w14:paraId="5F546590"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330213B8" w14:textId="77777777" w:rsidR="009103CC" w:rsidRPr="001814D2" w:rsidRDefault="009103CC" w:rsidP="002718DF">
            <w:pPr>
              <w:pStyle w:val="Tabletext"/>
              <w:rPr>
                <w:rFonts w:cs="Preston"/>
              </w:rPr>
            </w:pPr>
            <w:r w:rsidRPr="001814D2">
              <w:rPr>
                <w:rFonts w:cs="Preston"/>
              </w:rPr>
              <w:t>Depreciation and amortisation</w:t>
            </w:r>
          </w:p>
        </w:tc>
        <w:tc>
          <w:tcPr>
            <w:tcW w:w="708" w:type="pct"/>
            <w:tcBorders>
              <w:top w:val="single" w:sz="4" w:space="0" w:color="auto"/>
              <w:bottom w:val="single" w:sz="4" w:space="0" w:color="auto"/>
            </w:tcBorders>
            <w:tcMar>
              <w:top w:w="0" w:type="dxa"/>
              <w:left w:w="0" w:type="dxa"/>
              <w:bottom w:w="0" w:type="dxa"/>
              <w:right w:w="0" w:type="dxa"/>
            </w:tcMar>
            <w:vAlign w:val="center"/>
          </w:tcPr>
          <w:p w14:paraId="71BB37A8" w14:textId="77777777" w:rsidR="009103CC" w:rsidRPr="001814D2" w:rsidRDefault="009103CC" w:rsidP="002718DF">
            <w:pPr>
              <w:pStyle w:val="Tabletext"/>
              <w:jc w:val="right"/>
              <w:rPr>
                <w:rFonts w:cs="Preston"/>
                <w:szCs w:val="18"/>
              </w:rPr>
            </w:pPr>
            <w:r w:rsidRPr="001814D2">
              <w:rPr>
                <w:rFonts w:cs="Preston"/>
                <w:szCs w:val="18"/>
              </w:rPr>
              <w:t>(3,521)</w:t>
            </w:r>
          </w:p>
        </w:tc>
        <w:tc>
          <w:tcPr>
            <w:tcW w:w="708" w:type="pct"/>
            <w:tcBorders>
              <w:top w:val="single" w:sz="4" w:space="0" w:color="auto"/>
              <w:bottom w:val="single" w:sz="4" w:space="0" w:color="auto"/>
            </w:tcBorders>
            <w:tcMar>
              <w:top w:w="0" w:type="dxa"/>
              <w:left w:w="0" w:type="dxa"/>
              <w:bottom w:w="0" w:type="dxa"/>
              <w:right w:w="0" w:type="dxa"/>
            </w:tcMar>
            <w:vAlign w:val="center"/>
          </w:tcPr>
          <w:p w14:paraId="3653229D" w14:textId="77777777" w:rsidR="009103CC" w:rsidRPr="001814D2" w:rsidRDefault="009103CC" w:rsidP="002718DF">
            <w:pPr>
              <w:pStyle w:val="Tabletext"/>
              <w:jc w:val="right"/>
              <w:rPr>
                <w:rFonts w:cs="Preston"/>
                <w:szCs w:val="18"/>
              </w:rPr>
            </w:pPr>
            <w:r w:rsidRPr="001814D2">
              <w:rPr>
                <w:rFonts w:cs="Preston"/>
                <w:szCs w:val="18"/>
              </w:rPr>
              <w:t>(4,586)</w:t>
            </w:r>
          </w:p>
        </w:tc>
        <w:tc>
          <w:tcPr>
            <w:tcW w:w="708" w:type="pct"/>
            <w:tcBorders>
              <w:top w:val="single" w:sz="4" w:space="0" w:color="auto"/>
              <w:bottom w:val="single" w:sz="4" w:space="0" w:color="auto"/>
            </w:tcBorders>
            <w:tcMar>
              <w:top w:w="0" w:type="dxa"/>
              <w:left w:w="0" w:type="dxa"/>
              <w:bottom w:w="0" w:type="dxa"/>
              <w:right w:w="0" w:type="dxa"/>
            </w:tcMar>
            <w:vAlign w:val="center"/>
          </w:tcPr>
          <w:p w14:paraId="2E63C12B" w14:textId="77777777" w:rsidR="009103CC" w:rsidRPr="001814D2" w:rsidRDefault="009103CC" w:rsidP="002718DF">
            <w:pPr>
              <w:pStyle w:val="Tabletext"/>
              <w:jc w:val="right"/>
              <w:rPr>
                <w:rFonts w:cs="Preston"/>
                <w:szCs w:val="18"/>
              </w:rPr>
            </w:pPr>
            <w:r w:rsidRPr="001814D2">
              <w:rPr>
                <w:rFonts w:cs="Preston"/>
                <w:szCs w:val="18"/>
              </w:rPr>
              <w:t>(3,521)</w:t>
            </w:r>
          </w:p>
        </w:tc>
        <w:tc>
          <w:tcPr>
            <w:tcW w:w="706" w:type="pct"/>
            <w:tcBorders>
              <w:top w:val="single" w:sz="4" w:space="0" w:color="auto"/>
              <w:bottom w:val="single" w:sz="4" w:space="0" w:color="auto"/>
            </w:tcBorders>
            <w:tcMar>
              <w:top w:w="0" w:type="dxa"/>
              <w:left w:w="0" w:type="dxa"/>
              <w:bottom w:w="0" w:type="dxa"/>
              <w:right w:w="0" w:type="dxa"/>
            </w:tcMar>
            <w:vAlign w:val="center"/>
          </w:tcPr>
          <w:p w14:paraId="43F66A2F" w14:textId="77777777" w:rsidR="009103CC" w:rsidRPr="001814D2" w:rsidRDefault="009103CC" w:rsidP="002718DF">
            <w:pPr>
              <w:pStyle w:val="Tabletext"/>
              <w:jc w:val="right"/>
              <w:rPr>
                <w:rFonts w:cs="Preston"/>
                <w:szCs w:val="18"/>
              </w:rPr>
            </w:pPr>
            <w:r w:rsidRPr="001814D2">
              <w:rPr>
                <w:rFonts w:cs="Preston"/>
                <w:szCs w:val="18"/>
              </w:rPr>
              <w:t>(4,582)</w:t>
            </w:r>
          </w:p>
        </w:tc>
      </w:tr>
      <w:tr w:rsidR="009103CC" w:rsidRPr="001814D2" w14:paraId="56CBB251"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43C93302" w14:textId="77777777" w:rsidR="009103CC" w:rsidRPr="001814D2" w:rsidRDefault="009103CC" w:rsidP="002718DF">
            <w:pPr>
              <w:pStyle w:val="Tabletext"/>
              <w:rPr>
                <w:rFonts w:cs="Preston"/>
              </w:rPr>
            </w:pPr>
            <w:r w:rsidRPr="001814D2">
              <w:rPr>
                <w:rFonts w:cs="Preston"/>
              </w:rPr>
              <w:t>Increase / (decrease) – other financial assets</w:t>
            </w:r>
          </w:p>
        </w:tc>
        <w:tc>
          <w:tcPr>
            <w:tcW w:w="708" w:type="pct"/>
            <w:tcBorders>
              <w:top w:val="single" w:sz="4" w:space="0" w:color="auto"/>
              <w:bottom w:val="single" w:sz="4" w:space="0" w:color="auto"/>
            </w:tcBorders>
            <w:tcMar>
              <w:top w:w="0" w:type="dxa"/>
              <w:left w:w="0" w:type="dxa"/>
              <w:bottom w:w="0" w:type="dxa"/>
              <w:right w:w="0" w:type="dxa"/>
            </w:tcMar>
            <w:vAlign w:val="center"/>
          </w:tcPr>
          <w:p w14:paraId="18B6AA92" w14:textId="77777777" w:rsidR="009103CC" w:rsidRPr="001814D2" w:rsidRDefault="009103CC" w:rsidP="002718DF">
            <w:pPr>
              <w:pStyle w:val="Tabletext"/>
              <w:jc w:val="right"/>
              <w:rPr>
                <w:rFonts w:cs="Preston"/>
                <w:szCs w:val="18"/>
              </w:rPr>
            </w:pPr>
            <w:r w:rsidRPr="001814D2">
              <w:rPr>
                <w:rFonts w:cs="Preston"/>
                <w:szCs w:val="18"/>
              </w:rPr>
              <w:t>8,392</w:t>
            </w:r>
          </w:p>
        </w:tc>
        <w:tc>
          <w:tcPr>
            <w:tcW w:w="708" w:type="pct"/>
            <w:tcBorders>
              <w:top w:val="single" w:sz="4" w:space="0" w:color="auto"/>
              <w:bottom w:val="single" w:sz="4" w:space="0" w:color="auto"/>
            </w:tcBorders>
            <w:tcMar>
              <w:top w:w="0" w:type="dxa"/>
              <w:left w:w="0" w:type="dxa"/>
              <w:bottom w:w="0" w:type="dxa"/>
              <w:right w:w="0" w:type="dxa"/>
            </w:tcMar>
            <w:vAlign w:val="center"/>
          </w:tcPr>
          <w:p w14:paraId="32BA6A86" w14:textId="77777777" w:rsidR="009103CC" w:rsidRPr="001814D2" w:rsidRDefault="009103CC" w:rsidP="002718DF">
            <w:pPr>
              <w:pStyle w:val="Tabletext"/>
              <w:jc w:val="right"/>
              <w:rPr>
                <w:rFonts w:cs="Preston"/>
                <w:szCs w:val="18"/>
              </w:rPr>
            </w:pPr>
            <w:r w:rsidRPr="001814D2">
              <w:rPr>
                <w:rFonts w:cs="Preston"/>
                <w:szCs w:val="18"/>
              </w:rPr>
              <w:t>19</w:t>
            </w:r>
          </w:p>
        </w:tc>
        <w:tc>
          <w:tcPr>
            <w:tcW w:w="708" w:type="pct"/>
            <w:tcBorders>
              <w:top w:val="single" w:sz="4" w:space="0" w:color="auto"/>
              <w:bottom w:val="single" w:sz="4" w:space="0" w:color="auto"/>
            </w:tcBorders>
            <w:tcMar>
              <w:top w:w="0" w:type="dxa"/>
              <w:left w:w="0" w:type="dxa"/>
              <w:bottom w:w="0" w:type="dxa"/>
              <w:right w:w="0" w:type="dxa"/>
            </w:tcMar>
            <w:vAlign w:val="center"/>
          </w:tcPr>
          <w:p w14:paraId="34955519" w14:textId="77777777" w:rsidR="009103CC" w:rsidRPr="001814D2" w:rsidRDefault="009103CC" w:rsidP="002718DF">
            <w:pPr>
              <w:pStyle w:val="Tabletext"/>
              <w:jc w:val="right"/>
              <w:rPr>
                <w:rFonts w:cs="Preston"/>
                <w:szCs w:val="18"/>
              </w:rPr>
            </w:pPr>
            <w:r w:rsidRPr="001814D2">
              <w:rPr>
                <w:rFonts w:cs="Preston"/>
                <w:szCs w:val="18"/>
              </w:rPr>
              <w:t>8,289</w:t>
            </w:r>
          </w:p>
        </w:tc>
        <w:tc>
          <w:tcPr>
            <w:tcW w:w="706" w:type="pct"/>
            <w:tcBorders>
              <w:top w:val="single" w:sz="4" w:space="0" w:color="auto"/>
              <w:bottom w:val="single" w:sz="4" w:space="0" w:color="auto"/>
            </w:tcBorders>
            <w:tcMar>
              <w:top w:w="0" w:type="dxa"/>
              <w:left w:w="0" w:type="dxa"/>
              <w:bottom w:w="0" w:type="dxa"/>
              <w:right w:w="0" w:type="dxa"/>
            </w:tcMar>
            <w:vAlign w:val="center"/>
          </w:tcPr>
          <w:p w14:paraId="5FEE5F52" w14:textId="77777777" w:rsidR="009103CC" w:rsidRPr="001814D2" w:rsidRDefault="009103CC" w:rsidP="002718DF">
            <w:pPr>
              <w:pStyle w:val="Tabletext"/>
              <w:jc w:val="right"/>
              <w:rPr>
                <w:rFonts w:cs="Preston"/>
                <w:szCs w:val="18"/>
              </w:rPr>
            </w:pPr>
            <w:r w:rsidRPr="001814D2">
              <w:rPr>
                <w:rFonts w:cs="Preston"/>
                <w:szCs w:val="18"/>
              </w:rPr>
              <w:t>54</w:t>
            </w:r>
          </w:p>
        </w:tc>
      </w:tr>
      <w:tr w:rsidR="009103CC" w:rsidRPr="001814D2" w14:paraId="7B63360F"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5F84ABFC" w14:textId="77777777" w:rsidR="009103CC" w:rsidRPr="001814D2" w:rsidRDefault="009103CC" w:rsidP="002718DF">
            <w:pPr>
              <w:pStyle w:val="Tabletext"/>
              <w:rPr>
                <w:rFonts w:cs="Preston"/>
              </w:rPr>
            </w:pPr>
            <w:r w:rsidRPr="001814D2">
              <w:rPr>
                <w:rFonts w:cs="Preston"/>
              </w:rPr>
              <w:t>Gifts of works of art</w:t>
            </w:r>
          </w:p>
        </w:tc>
        <w:tc>
          <w:tcPr>
            <w:tcW w:w="708" w:type="pct"/>
            <w:tcBorders>
              <w:top w:val="single" w:sz="4" w:space="0" w:color="auto"/>
              <w:bottom w:val="single" w:sz="4" w:space="0" w:color="auto"/>
            </w:tcBorders>
            <w:tcMar>
              <w:top w:w="0" w:type="dxa"/>
              <w:left w:w="0" w:type="dxa"/>
              <w:bottom w:w="0" w:type="dxa"/>
              <w:right w:w="0" w:type="dxa"/>
            </w:tcMar>
            <w:vAlign w:val="center"/>
          </w:tcPr>
          <w:p w14:paraId="7FC6C539" w14:textId="77777777" w:rsidR="009103CC" w:rsidRPr="001814D2" w:rsidRDefault="009103CC" w:rsidP="002718DF">
            <w:pPr>
              <w:pStyle w:val="Tabletext"/>
              <w:jc w:val="right"/>
              <w:rPr>
                <w:rFonts w:cs="Preston"/>
                <w:szCs w:val="18"/>
              </w:rPr>
            </w:pPr>
            <w:r w:rsidRPr="001814D2">
              <w:rPr>
                <w:rFonts w:cs="Preston"/>
                <w:szCs w:val="18"/>
              </w:rPr>
              <w:t>9,835</w:t>
            </w:r>
          </w:p>
        </w:tc>
        <w:tc>
          <w:tcPr>
            <w:tcW w:w="708" w:type="pct"/>
            <w:tcBorders>
              <w:top w:val="single" w:sz="4" w:space="0" w:color="auto"/>
              <w:bottom w:val="single" w:sz="4" w:space="0" w:color="auto"/>
            </w:tcBorders>
            <w:tcMar>
              <w:top w:w="0" w:type="dxa"/>
              <w:left w:w="0" w:type="dxa"/>
              <w:bottom w:w="0" w:type="dxa"/>
              <w:right w:w="0" w:type="dxa"/>
            </w:tcMar>
            <w:vAlign w:val="center"/>
          </w:tcPr>
          <w:p w14:paraId="07892461" w14:textId="77777777" w:rsidR="009103CC" w:rsidRPr="001814D2" w:rsidRDefault="009103CC" w:rsidP="002718DF">
            <w:pPr>
              <w:pStyle w:val="Tabletext"/>
              <w:jc w:val="right"/>
              <w:rPr>
                <w:rFonts w:cs="Preston"/>
                <w:szCs w:val="18"/>
              </w:rPr>
            </w:pPr>
            <w:r w:rsidRPr="001814D2">
              <w:rPr>
                <w:rFonts w:cs="Preston"/>
                <w:szCs w:val="18"/>
              </w:rPr>
              <w:t>5,748</w:t>
            </w:r>
          </w:p>
        </w:tc>
        <w:tc>
          <w:tcPr>
            <w:tcW w:w="708" w:type="pct"/>
            <w:tcBorders>
              <w:top w:val="single" w:sz="4" w:space="0" w:color="auto"/>
              <w:bottom w:val="single" w:sz="4" w:space="0" w:color="auto"/>
            </w:tcBorders>
            <w:tcMar>
              <w:top w:w="0" w:type="dxa"/>
              <w:left w:w="0" w:type="dxa"/>
              <w:bottom w:w="0" w:type="dxa"/>
              <w:right w:w="0" w:type="dxa"/>
            </w:tcMar>
            <w:vAlign w:val="center"/>
          </w:tcPr>
          <w:p w14:paraId="33455CB4" w14:textId="77777777" w:rsidR="009103CC" w:rsidRPr="001814D2" w:rsidRDefault="009103CC" w:rsidP="002718DF">
            <w:pPr>
              <w:pStyle w:val="Tabletext"/>
              <w:jc w:val="right"/>
              <w:rPr>
                <w:rFonts w:cs="Preston"/>
                <w:szCs w:val="18"/>
              </w:rPr>
            </w:pPr>
            <w:r w:rsidRPr="001814D2">
              <w:rPr>
                <w:rFonts w:cs="Preston"/>
                <w:szCs w:val="18"/>
              </w:rPr>
              <w:t>9,835</w:t>
            </w:r>
          </w:p>
        </w:tc>
        <w:tc>
          <w:tcPr>
            <w:tcW w:w="706" w:type="pct"/>
            <w:tcBorders>
              <w:top w:val="single" w:sz="4" w:space="0" w:color="auto"/>
              <w:bottom w:val="single" w:sz="4" w:space="0" w:color="auto"/>
            </w:tcBorders>
            <w:tcMar>
              <w:top w:w="0" w:type="dxa"/>
              <w:left w:w="0" w:type="dxa"/>
              <w:bottom w:w="0" w:type="dxa"/>
              <w:right w:w="0" w:type="dxa"/>
            </w:tcMar>
            <w:vAlign w:val="center"/>
          </w:tcPr>
          <w:p w14:paraId="07023977" w14:textId="77777777" w:rsidR="009103CC" w:rsidRPr="001814D2" w:rsidRDefault="009103CC" w:rsidP="002718DF">
            <w:pPr>
              <w:pStyle w:val="Tabletext"/>
              <w:jc w:val="right"/>
              <w:rPr>
                <w:rFonts w:cs="Preston"/>
                <w:szCs w:val="18"/>
              </w:rPr>
            </w:pPr>
            <w:r w:rsidRPr="001814D2">
              <w:rPr>
                <w:rFonts w:cs="Preston"/>
                <w:szCs w:val="18"/>
              </w:rPr>
              <w:t>5,748</w:t>
            </w:r>
          </w:p>
        </w:tc>
      </w:tr>
      <w:tr w:rsidR="009103CC" w:rsidRPr="001814D2" w14:paraId="1B6B8F2B"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281DE79E" w14:textId="77777777" w:rsidR="009103CC" w:rsidRPr="001814D2" w:rsidRDefault="009103CC" w:rsidP="002718DF">
            <w:pPr>
              <w:pStyle w:val="Tabletext"/>
              <w:rPr>
                <w:rFonts w:cs="Preston"/>
              </w:rPr>
            </w:pPr>
            <w:r w:rsidRPr="001814D2">
              <w:rPr>
                <w:rFonts w:cs="Preston"/>
              </w:rPr>
              <w:t>(Increase) / decrease in trade and other payables</w:t>
            </w:r>
          </w:p>
        </w:tc>
        <w:tc>
          <w:tcPr>
            <w:tcW w:w="708" w:type="pct"/>
            <w:tcBorders>
              <w:top w:val="single" w:sz="4" w:space="0" w:color="auto"/>
              <w:bottom w:val="single" w:sz="4" w:space="0" w:color="auto"/>
            </w:tcBorders>
            <w:tcMar>
              <w:top w:w="0" w:type="dxa"/>
              <w:left w:w="0" w:type="dxa"/>
              <w:bottom w:w="0" w:type="dxa"/>
              <w:right w:w="0" w:type="dxa"/>
            </w:tcMar>
            <w:vAlign w:val="center"/>
          </w:tcPr>
          <w:p w14:paraId="1E4B7024" w14:textId="77777777" w:rsidR="009103CC" w:rsidRPr="001814D2" w:rsidRDefault="009103CC" w:rsidP="002718DF">
            <w:pPr>
              <w:pStyle w:val="Tabletext"/>
              <w:jc w:val="right"/>
              <w:rPr>
                <w:rFonts w:cs="Preston"/>
                <w:szCs w:val="18"/>
              </w:rPr>
            </w:pPr>
            <w:r w:rsidRPr="001814D2">
              <w:rPr>
                <w:rFonts w:cs="Preston"/>
                <w:szCs w:val="18"/>
              </w:rPr>
              <w:t>(3,001)</w:t>
            </w:r>
          </w:p>
        </w:tc>
        <w:tc>
          <w:tcPr>
            <w:tcW w:w="708" w:type="pct"/>
            <w:tcBorders>
              <w:top w:val="single" w:sz="4" w:space="0" w:color="auto"/>
              <w:bottom w:val="single" w:sz="4" w:space="0" w:color="auto"/>
            </w:tcBorders>
            <w:tcMar>
              <w:top w:w="0" w:type="dxa"/>
              <w:left w:w="0" w:type="dxa"/>
              <w:bottom w:w="0" w:type="dxa"/>
              <w:right w:w="0" w:type="dxa"/>
            </w:tcMar>
            <w:vAlign w:val="center"/>
          </w:tcPr>
          <w:p w14:paraId="4F19E374" w14:textId="77777777" w:rsidR="009103CC" w:rsidRPr="001814D2" w:rsidRDefault="009103CC" w:rsidP="002718DF">
            <w:pPr>
              <w:pStyle w:val="Tabletext"/>
              <w:jc w:val="right"/>
              <w:rPr>
                <w:rFonts w:cs="Preston"/>
                <w:szCs w:val="18"/>
              </w:rPr>
            </w:pPr>
            <w:r w:rsidRPr="001814D2">
              <w:rPr>
                <w:rFonts w:cs="Preston"/>
                <w:szCs w:val="18"/>
              </w:rPr>
              <w:t>(1,207)</w:t>
            </w:r>
          </w:p>
        </w:tc>
        <w:tc>
          <w:tcPr>
            <w:tcW w:w="708" w:type="pct"/>
            <w:tcBorders>
              <w:top w:val="single" w:sz="4" w:space="0" w:color="auto"/>
              <w:bottom w:val="single" w:sz="4" w:space="0" w:color="auto"/>
            </w:tcBorders>
            <w:tcMar>
              <w:top w:w="0" w:type="dxa"/>
              <w:left w:w="0" w:type="dxa"/>
              <w:bottom w:w="0" w:type="dxa"/>
              <w:right w:w="0" w:type="dxa"/>
            </w:tcMar>
            <w:vAlign w:val="center"/>
          </w:tcPr>
          <w:p w14:paraId="2F37B2D5" w14:textId="77777777" w:rsidR="009103CC" w:rsidRPr="001814D2" w:rsidRDefault="009103CC" w:rsidP="002718DF">
            <w:pPr>
              <w:pStyle w:val="Tabletext"/>
              <w:jc w:val="right"/>
              <w:rPr>
                <w:rFonts w:cs="Preston"/>
                <w:szCs w:val="18"/>
              </w:rPr>
            </w:pPr>
            <w:r w:rsidRPr="001814D2">
              <w:rPr>
                <w:rFonts w:cs="Preston"/>
                <w:szCs w:val="18"/>
              </w:rPr>
              <w:t>(2,827)</w:t>
            </w:r>
          </w:p>
        </w:tc>
        <w:tc>
          <w:tcPr>
            <w:tcW w:w="706" w:type="pct"/>
            <w:tcBorders>
              <w:top w:val="single" w:sz="4" w:space="0" w:color="auto"/>
              <w:bottom w:val="single" w:sz="4" w:space="0" w:color="auto"/>
            </w:tcBorders>
            <w:tcMar>
              <w:top w:w="0" w:type="dxa"/>
              <w:left w:w="0" w:type="dxa"/>
              <w:bottom w:w="0" w:type="dxa"/>
              <w:right w:w="0" w:type="dxa"/>
            </w:tcMar>
            <w:vAlign w:val="center"/>
          </w:tcPr>
          <w:p w14:paraId="06D4591E" w14:textId="77777777" w:rsidR="009103CC" w:rsidRPr="001814D2" w:rsidRDefault="009103CC" w:rsidP="002718DF">
            <w:pPr>
              <w:pStyle w:val="Tabletext"/>
              <w:jc w:val="right"/>
              <w:rPr>
                <w:rFonts w:cs="Preston"/>
                <w:szCs w:val="18"/>
              </w:rPr>
            </w:pPr>
            <w:r w:rsidRPr="001814D2">
              <w:rPr>
                <w:rFonts w:cs="Preston"/>
                <w:szCs w:val="18"/>
              </w:rPr>
              <w:t>(38)</w:t>
            </w:r>
          </w:p>
        </w:tc>
      </w:tr>
      <w:tr w:rsidR="009103CC" w:rsidRPr="001814D2" w14:paraId="0C9F50B0" w14:textId="77777777" w:rsidTr="002718DF">
        <w:trPr>
          <w:cantSplit/>
          <w:trHeight w:hRule="exact" w:val="570"/>
        </w:trPr>
        <w:tc>
          <w:tcPr>
            <w:tcW w:w="2170" w:type="pct"/>
            <w:tcBorders>
              <w:top w:val="single" w:sz="4" w:space="0" w:color="auto"/>
              <w:bottom w:val="single" w:sz="4" w:space="0" w:color="auto"/>
            </w:tcBorders>
            <w:tcMar>
              <w:top w:w="0" w:type="dxa"/>
              <w:left w:w="0" w:type="dxa"/>
              <w:bottom w:w="0" w:type="dxa"/>
              <w:right w:w="0" w:type="dxa"/>
            </w:tcMar>
            <w:vAlign w:val="center"/>
          </w:tcPr>
          <w:p w14:paraId="0860321A" w14:textId="77777777" w:rsidR="009103CC" w:rsidRPr="001814D2" w:rsidRDefault="009103CC" w:rsidP="002718DF">
            <w:pPr>
              <w:pStyle w:val="Tabletext"/>
              <w:rPr>
                <w:rFonts w:cs="Preston"/>
              </w:rPr>
            </w:pPr>
            <w:r w:rsidRPr="001814D2">
              <w:rPr>
                <w:rFonts w:cs="Preston"/>
              </w:rPr>
              <w:t>Increase / (decrease) in trade and other receivables</w:t>
            </w:r>
          </w:p>
        </w:tc>
        <w:tc>
          <w:tcPr>
            <w:tcW w:w="708" w:type="pct"/>
            <w:tcBorders>
              <w:top w:val="single" w:sz="4" w:space="0" w:color="auto"/>
              <w:bottom w:val="single" w:sz="4" w:space="0" w:color="auto"/>
            </w:tcBorders>
            <w:tcMar>
              <w:top w:w="0" w:type="dxa"/>
              <w:left w:w="0" w:type="dxa"/>
              <w:bottom w:w="0" w:type="dxa"/>
              <w:right w:w="0" w:type="dxa"/>
            </w:tcMar>
            <w:vAlign w:val="center"/>
          </w:tcPr>
          <w:p w14:paraId="6D6EBBE0" w14:textId="77777777" w:rsidR="009103CC" w:rsidRPr="001814D2" w:rsidRDefault="009103CC" w:rsidP="002718DF">
            <w:pPr>
              <w:pStyle w:val="Tabletext"/>
              <w:jc w:val="right"/>
              <w:rPr>
                <w:rFonts w:cs="Preston"/>
                <w:szCs w:val="18"/>
              </w:rPr>
            </w:pPr>
            <w:r w:rsidRPr="001814D2">
              <w:rPr>
                <w:rFonts w:cs="Preston"/>
                <w:szCs w:val="18"/>
              </w:rPr>
              <w:t>735</w:t>
            </w:r>
          </w:p>
        </w:tc>
        <w:tc>
          <w:tcPr>
            <w:tcW w:w="708" w:type="pct"/>
            <w:tcBorders>
              <w:top w:val="single" w:sz="4" w:space="0" w:color="auto"/>
              <w:bottom w:val="single" w:sz="4" w:space="0" w:color="auto"/>
            </w:tcBorders>
            <w:tcMar>
              <w:top w:w="0" w:type="dxa"/>
              <w:left w:w="0" w:type="dxa"/>
              <w:bottom w:w="0" w:type="dxa"/>
              <w:right w:w="0" w:type="dxa"/>
            </w:tcMar>
            <w:vAlign w:val="center"/>
          </w:tcPr>
          <w:p w14:paraId="4C2A7590" w14:textId="77777777" w:rsidR="009103CC" w:rsidRPr="001814D2" w:rsidRDefault="009103CC" w:rsidP="002718DF">
            <w:pPr>
              <w:pStyle w:val="Tabletext"/>
              <w:jc w:val="right"/>
              <w:rPr>
                <w:rFonts w:cs="Preston"/>
                <w:szCs w:val="18"/>
              </w:rPr>
            </w:pPr>
            <w:r w:rsidRPr="001814D2">
              <w:rPr>
                <w:rFonts w:cs="Preston"/>
                <w:szCs w:val="18"/>
              </w:rPr>
              <w:t>683</w:t>
            </w:r>
          </w:p>
        </w:tc>
        <w:tc>
          <w:tcPr>
            <w:tcW w:w="708" w:type="pct"/>
            <w:tcBorders>
              <w:top w:val="single" w:sz="4" w:space="0" w:color="auto"/>
              <w:bottom w:val="single" w:sz="4" w:space="0" w:color="auto"/>
            </w:tcBorders>
            <w:tcMar>
              <w:top w:w="0" w:type="dxa"/>
              <w:left w:w="0" w:type="dxa"/>
              <w:bottom w:w="0" w:type="dxa"/>
              <w:right w:w="0" w:type="dxa"/>
            </w:tcMar>
            <w:vAlign w:val="center"/>
          </w:tcPr>
          <w:p w14:paraId="13ECF274" w14:textId="77777777" w:rsidR="009103CC" w:rsidRPr="001814D2" w:rsidRDefault="009103CC" w:rsidP="002718DF">
            <w:pPr>
              <w:pStyle w:val="Tabletext"/>
              <w:jc w:val="right"/>
              <w:rPr>
                <w:rFonts w:cs="Preston"/>
                <w:szCs w:val="18"/>
              </w:rPr>
            </w:pPr>
            <w:r w:rsidRPr="001814D2">
              <w:rPr>
                <w:rFonts w:cs="Preston"/>
                <w:szCs w:val="18"/>
              </w:rPr>
              <w:t>735</w:t>
            </w:r>
          </w:p>
        </w:tc>
        <w:tc>
          <w:tcPr>
            <w:tcW w:w="706" w:type="pct"/>
            <w:tcBorders>
              <w:top w:val="single" w:sz="4" w:space="0" w:color="auto"/>
              <w:bottom w:val="single" w:sz="4" w:space="0" w:color="auto"/>
            </w:tcBorders>
            <w:tcMar>
              <w:top w:w="0" w:type="dxa"/>
              <w:left w:w="0" w:type="dxa"/>
              <w:bottom w:w="0" w:type="dxa"/>
              <w:right w:w="0" w:type="dxa"/>
            </w:tcMar>
            <w:vAlign w:val="center"/>
          </w:tcPr>
          <w:p w14:paraId="041DF727" w14:textId="77777777" w:rsidR="009103CC" w:rsidRPr="001814D2" w:rsidRDefault="009103CC" w:rsidP="002718DF">
            <w:pPr>
              <w:pStyle w:val="Tabletext"/>
              <w:jc w:val="right"/>
              <w:rPr>
                <w:rFonts w:cs="Preston"/>
                <w:szCs w:val="18"/>
              </w:rPr>
            </w:pPr>
            <w:r w:rsidRPr="001814D2">
              <w:rPr>
                <w:rFonts w:cs="Preston"/>
                <w:szCs w:val="18"/>
              </w:rPr>
              <w:t>(3)</w:t>
            </w:r>
          </w:p>
        </w:tc>
      </w:tr>
      <w:tr w:rsidR="009103CC" w:rsidRPr="001814D2" w14:paraId="49E966D6"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56E72848" w14:textId="77777777" w:rsidR="009103CC" w:rsidRPr="001814D2" w:rsidRDefault="009103CC" w:rsidP="002718DF">
            <w:pPr>
              <w:pStyle w:val="Tabletext"/>
              <w:rPr>
                <w:rFonts w:cs="Preston"/>
              </w:rPr>
            </w:pPr>
            <w:r w:rsidRPr="001814D2">
              <w:rPr>
                <w:rFonts w:cs="Preston"/>
              </w:rPr>
              <w:t>Increase / (decrease) in inventories</w:t>
            </w:r>
          </w:p>
        </w:tc>
        <w:tc>
          <w:tcPr>
            <w:tcW w:w="708" w:type="pct"/>
            <w:tcBorders>
              <w:top w:val="single" w:sz="4" w:space="0" w:color="auto"/>
              <w:bottom w:val="single" w:sz="4" w:space="0" w:color="auto"/>
            </w:tcBorders>
            <w:tcMar>
              <w:top w:w="0" w:type="dxa"/>
              <w:left w:w="0" w:type="dxa"/>
              <w:bottom w:w="0" w:type="dxa"/>
              <w:right w:w="0" w:type="dxa"/>
            </w:tcMar>
            <w:vAlign w:val="center"/>
          </w:tcPr>
          <w:p w14:paraId="7D0142C5" w14:textId="77777777" w:rsidR="009103CC" w:rsidRPr="001814D2" w:rsidRDefault="009103CC" w:rsidP="002718DF">
            <w:pPr>
              <w:pStyle w:val="Tabletext"/>
              <w:jc w:val="right"/>
              <w:rPr>
                <w:rFonts w:cs="Preston"/>
                <w:szCs w:val="18"/>
              </w:rPr>
            </w:pPr>
            <w:r w:rsidRPr="001814D2">
              <w:rPr>
                <w:rFonts w:cs="Preston"/>
                <w:szCs w:val="18"/>
              </w:rPr>
              <w:t>(139)</w:t>
            </w:r>
          </w:p>
        </w:tc>
        <w:tc>
          <w:tcPr>
            <w:tcW w:w="708" w:type="pct"/>
            <w:tcBorders>
              <w:top w:val="single" w:sz="4" w:space="0" w:color="auto"/>
              <w:bottom w:val="single" w:sz="4" w:space="0" w:color="auto"/>
            </w:tcBorders>
            <w:tcMar>
              <w:top w:w="0" w:type="dxa"/>
              <w:left w:w="0" w:type="dxa"/>
              <w:bottom w:w="0" w:type="dxa"/>
              <w:right w:w="0" w:type="dxa"/>
            </w:tcMar>
            <w:vAlign w:val="center"/>
          </w:tcPr>
          <w:p w14:paraId="346B7FFF" w14:textId="77777777" w:rsidR="009103CC" w:rsidRPr="001814D2" w:rsidRDefault="009103CC" w:rsidP="002718DF">
            <w:pPr>
              <w:pStyle w:val="Tabletext"/>
              <w:jc w:val="right"/>
              <w:rPr>
                <w:rFonts w:cs="Preston"/>
                <w:szCs w:val="18"/>
              </w:rPr>
            </w:pPr>
            <w:r w:rsidRPr="001814D2">
              <w:rPr>
                <w:rFonts w:cs="Preston"/>
                <w:szCs w:val="18"/>
              </w:rPr>
              <w:t>-</w:t>
            </w:r>
          </w:p>
        </w:tc>
        <w:tc>
          <w:tcPr>
            <w:tcW w:w="708" w:type="pct"/>
            <w:tcBorders>
              <w:top w:val="single" w:sz="4" w:space="0" w:color="auto"/>
              <w:bottom w:val="single" w:sz="4" w:space="0" w:color="auto"/>
            </w:tcBorders>
            <w:tcMar>
              <w:top w:w="0" w:type="dxa"/>
              <w:left w:w="0" w:type="dxa"/>
              <w:bottom w:w="0" w:type="dxa"/>
              <w:right w:w="0" w:type="dxa"/>
            </w:tcMar>
            <w:vAlign w:val="center"/>
          </w:tcPr>
          <w:p w14:paraId="1B1A1A01" w14:textId="77777777" w:rsidR="009103CC" w:rsidRPr="001814D2" w:rsidRDefault="009103CC" w:rsidP="002718DF">
            <w:pPr>
              <w:pStyle w:val="Tabletext"/>
              <w:jc w:val="right"/>
              <w:rPr>
                <w:rFonts w:cs="Preston"/>
                <w:szCs w:val="18"/>
              </w:rPr>
            </w:pPr>
            <w:r w:rsidRPr="001814D2">
              <w:rPr>
                <w:rFonts w:cs="Preston"/>
                <w:szCs w:val="18"/>
              </w:rPr>
              <w:t>(139)</w:t>
            </w:r>
          </w:p>
        </w:tc>
        <w:tc>
          <w:tcPr>
            <w:tcW w:w="706" w:type="pct"/>
            <w:tcBorders>
              <w:top w:val="single" w:sz="4" w:space="0" w:color="auto"/>
              <w:bottom w:val="single" w:sz="4" w:space="0" w:color="auto"/>
            </w:tcBorders>
            <w:tcMar>
              <w:top w:w="0" w:type="dxa"/>
              <w:left w:w="0" w:type="dxa"/>
              <w:bottom w:w="0" w:type="dxa"/>
              <w:right w:w="0" w:type="dxa"/>
            </w:tcMar>
            <w:vAlign w:val="center"/>
          </w:tcPr>
          <w:p w14:paraId="53644CF6" w14:textId="77777777" w:rsidR="009103CC" w:rsidRPr="001814D2" w:rsidRDefault="009103CC" w:rsidP="002718DF">
            <w:pPr>
              <w:pStyle w:val="Tabletext"/>
              <w:jc w:val="right"/>
              <w:rPr>
                <w:rFonts w:cs="Preston"/>
                <w:szCs w:val="18"/>
              </w:rPr>
            </w:pPr>
            <w:r w:rsidRPr="001814D2">
              <w:rPr>
                <w:rFonts w:cs="Preston"/>
                <w:szCs w:val="18"/>
              </w:rPr>
              <w:t>-</w:t>
            </w:r>
          </w:p>
        </w:tc>
      </w:tr>
      <w:tr w:rsidR="009103CC" w:rsidRPr="001814D2" w14:paraId="64FCEC63" w14:textId="77777777" w:rsidTr="002718DF">
        <w:trPr>
          <w:cantSplit/>
          <w:trHeight w:hRule="exact" w:val="332"/>
        </w:trPr>
        <w:tc>
          <w:tcPr>
            <w:tcW w:w="2170" w:type="pct"/>
            <w:tcBorders>
              <w:top w:val="single" w:sz="4" w:space="0" w:color="auto"/>
              <w:bottom w:val="single" w:sz="4" w:space="0" w:color="auto"/>
            </w:tcBorders>
            <w:tcMar>
              <w:top w:w="0" w:type="dxa"/>
              <w:left w:w="0" w:type="dxa"/>
              <w:bottom w:w="0" w:type="dxa"/>
              <w:right w:w="0" w:type="dxa"/>
            </w:tcMar>
            <w:vAlign w:val="center"/>
          </w:tcPr>
          <w:p w14:paraId="1A1B080C" w14:textId="77777777" w:rsidR="009103CC" w:rsidRPr="001814D2" w:rsidRDefault="009103CC" w:rsidP="002718DF">
            <w:pPr>
              <w:pStyle w:val="Tabletext"/>
              <w:rPr>
                <w:rFonts w:cs="Preston"/>
                <w:b/>
                <w:bCs/>
              </w:rPr>
            </w:pPr>
            <w:r w:rsidRPr="001814D2">
              <w:rPr>
                <w:rFonts w:cs="Preston"/>
                <w:b/>
                <w:bCs/>
              </w:rPr>
              <w:t>Net result</w:t>
            </w:r>
          </w:p>
        </w:tc>
        <w:tc>
          <w:tcPr>
            <w:tcW w:w="708" w:type="pct"/>
            <w:tcBorders>
              <w:top w:val="single" w:sz="4" w:space="0" w:color="auto"/>
              <w:bottom w:val="single" w:sz="4" w:space="0" w:color="auto"/>
            </w:tcBorders>
            <w:tcMar>
              <w:top w:w="0" w:type="dxa"/>
              <w:left w:w="0" w:type="dxa"/>
              <w:bottom w:w="0" w:type="dxa"/>
              <w:right w:w="0" w:type="dxa"/>
            </w:tcMar>
            <w:vAlign w:val="center"/>
          </w:tcPr>
          <w:p w14:paraId="1A1061D8" w14:textId="77777777" w:rsidR="009103CC" w:rsidRPr="001814D2" w:rsidRDefault="009103CC" w:rsidP="002718DF">
            <w:pPr>
              <w:pStyle w:val="Tabletext"/>
              <w:jc w:val="right"/>
              <w:rPr>
                <w:rFonts w:cs="Preston"/>
                <w:b/>
                <w:bCs/>
                <w:szCs w:val="18"/>
              </w:rPr>
            </w:pPr>
            <w:r w:rsidRPr="001814D2">
              <w:rPr>
                <w:rFonts w:cs="Preston"/>
                <w:b/>
                <w:bCs/>
                <w:szCs w:val="18"/>
              </w:rPr>
              <w:t>154,961</w:t>
            </w:r>
          </w:p>
        </w:tc>
        <w:tc>
          <w:tcPr>
            <w:tcW w:w="708" w:type="pct"/>
            <w:tcBorders>
              <w:top w:val="single" w:sz="4" w:space="0" w:color="auto"/>
              <w:bottom w:val="single" w:sz="4" w:space="0" w:color="auto"/>
            </w:tcBorders>
            <w:tcMar>
              <w:top w:w="0" w:type="dxa"/>
              <w:left w:w="0" w:type="dxa"/>
              <w:bottom w:w="0" w:type="dxa"/>
              <w:right w:w="0" w:type="dxa"/>
            </w:tcMar>
            <w:vAlign w:val="center"/>
          </w:tcPr>
          <w:p w14:paraId="018658C4" w14:textId="77777777" w:rsidR="009103CC" w:rsidRPr="001814D2" w:rsidRDefault="009103CC" w:rsidP="002718DF">
            <w:pPr>
              <w:pStyle w:val="Tabletext"/>
              <w:jc w:val="right"/>
              <w:rPr>
                <w:rFonts w:cs="Preston"/>
                <w:b/>
                <w:bCs/>
                <w:szCs w:val="18"/>
              </w:rPr>
            </w:pPr>
            <w:r w:rsidRPr="001814D2">
              <w:rPr>
                <w:rFonts w:cs="Preston"/>
                <w:b/>
                <w:bCs/>
                <w:szCs w:val="18"/>
              </w:rPr>
              <w:t>80,243</w:t>
            </w:r>
          </w:p>
        </w:tc>
        <w:tc>
          <w:tcPr>
            <w:tcW w:w="708" w:type="pct"/>
            <w:tcBorders>
              <w:top w:val="single" w:sz="4" w:space="0" w:color="auto"/>
              <w:bottom w:val="single" w:sz="4" w:space="0" w:color="auto"/>
            </w:tcBorders>
            <w:tcMar>
              <w:top w:w="0" w:type="dxa"/>
              <w:left w:w="0" w:type="dxa"/>
              <w:bottom w:w="0" w:type="dxa"/>
              <w:right w:w="0" w:type="dxa"/>
            </w:tcMar>
            <w:vAlign w:val="center"/>
          </w:tcPr>
          <w:p w14:paraId="1A07FAA6" w14:textId="77777777" w:rsidR="009103CC" w:rsidRPr="001814D2" w:rsidRDefault="009103CC" w:rsidP="002718DF">
            <w:pPr>
              <w:pStyle w:val="Tabletext"/>
              <w:jc w:val="right"/>
              <w:rPr>
                <w:rFonts w:cs="Preston"/>
                <w:b/>
                <w:bCs/>
                <w:szCs w:val="18"/>
              </w:rPr>
            </w:pPr>
            <w:r w:rsidRPr="001814D2">
              <w:rPr>
                <w:rFonts w:cs="Preston"/>
                <w:b/>
                <w:bCs/>
                <w:szCs w:val="18"/>
              </w:rPr>
              <w:t>154,913</w:t>
            </w:r>
          </w:p>
        </w:tc>
        <w:tc>
          <w:tcPr>
            <w:tcW w:w="706" w:type="pct"/>
            <w:tcBorders>
              <w:top w:val="single" w:sz="4" w:space="0" w:color="auto"/>
              <w:bottom w:val="single" w:sz="4" w:space="0" w:color="auto"/>
            </w:tcBorders>
            <w:tcMar>
              <w:top w:w="0" w:type="dxa"/>
              <w:left w:w="0" w:type="dxa"/>
              <w:bottom w:w="0" w:type="dxa"/>
              <w:right w:w="0" w:type="dxa"/>
            </w:tcMar>
            <w:vAlign w:val="center"/>
          </w:tcPr>
          <w:p w14:paraId="3F27628F" w14:textId="77777777" w:rsidR="009103CC" w:rsidRPr="001814D2" w:rsidRDefault="009103CC" w:rsidP="002718DF">
            <w:pPr>
              <w:pStyle w:val="Tabletext"/>
              <w:jc w:val="right"/>
              <w:rPr>
                <w:rFonts w:cs="Preston"/>
                <w:b/>
                <w:bCs/>
                <w:szCs w:val="18"/>
              </w:rPr>
            </w:pPr>
            <w:r w:rsidRPr="001814D2">
              <w:rPr>
                <w:rFonts w:cs="Preston"/>
                <w:b/>
                <w:bCs/>
                <w:szCs w:val="18"/>
              </w:rPr>
              <w:t>80,443</w:t>
            </w:r>
          </w:p>
        </w:tc>
      </w:tr>
    </w:tbl>
    <w:p w14:paraId="560591CB" w14:textId="77777777" w:rsidR="009103CC" w:rsidRPr="001814D2" w:rsidRDefault="009103CC" w:rsidP="009103CC">
      <w:pPr>
        <w:pStyle w:val="Tabletext"/>
      </w:pPr>
    </w:p>
    <w:p w14:paraId="2EB6EDF1" w14:textId="77777777" w:rsidR="009103CC" w:rsidRPr="00531FE4" w:rsidRDefault="009103CC" w:rsidP="009103CC">
      <w:pPr>
        <w:pStyle w:val="ARbody"/>
        <w:rPr>
          <w:b/>
          <w:bCs/>
        </w:rPr>
      </w:pPr>
      <w:r w:rsidRPr="00531FE4">
        <w:rPr>
          <w:b/>
          <w:bCs/>
        </w:rPr>
        <w:t>14 Financial instruments</w:t>
      </w:r>
    </w:p>
    <w:p w14:paraId="3AD2FE2F" w14:textId="77777777" w:rsidR="009103CC" w:rsidRPr="001814D2" w:rsidRDefault="009103CC" w:rsidP="009103CC">
      <w:pPr>
        <w:pStyle w:val="ARbody"/>
      </w:pPr>
      <w:r w:rsidRPr="001814D2">
        <w:t>The Gallery's principal financial instruments are outlined below. These financial instruments arise directly from the Gallery's operations. The Gallery does not enter into or trade financial instruments, including derivative financial instruments, for speculative purposes.</w:t>
      </w:r>
    </w:p>
    <w:p w14:paraId="4B6E1D6D" w14:textId="77777777" w:rsidR="009103CC" w:rsidRPr="001814D2" w:rsidRDefault="009103CC" w:rsidP="009103CC">
      <w:pPr>
        <w:pStyle w:val="ARbody"/>
      </w:pPr>
      <w:r w:rsidRPr="001814D2">
        <w:t>The Gallery's main risks arising from financial instruments are set out below, together with its policies and processes for managing risk.</w:t>
      </w:r>
    </w:p>
    <w:p w14:paraId="5A6BBBF5" w14:textId="77777777" w:rsidR="009103CC" w:rsidRDefault="009103CC" w:rsidP="009103CC">
      <w:pPr>
        <w:pStyle w:val="ARbody"/>
      </w:pPr>
      <w:r w:rsidRPr="001814D2">
        <w:t>The Gallery's Finance, Audit and Risk (FAR) Committee has overall responsibility on behalf of the Board for the oversight of risk management. The FAR identifies and analyses the risks faced by the Gallery and establishes policies to monitor and mitigate them. During the current financial year the Gallery’s Investment Policy and its Strategic Risk Management Plan was reviewed by the Finance, Audit and Risk Management Committee.</w:t>
      </w:r>
    </w:p>
    <w:p w14:paraId="72168C47" w14:textId="77777777" w:rsidR="009103CC" w:rsidRPr="009C56D3" w:rsidRDefault="009103CC" w:rsidP="009103CC">
      <w:pPr>
        <w:pStyle w:val="ARbody"/>
        <w:rPr>
          <w:b/>
          <w:bCs/>
        </w:rPr>
      </w:pPr>
      <w:r w:rsidRPr="009C56D3">
        <w:rPr>
          <w:b/>
          <w:bCs/>
        </w:rPr>
        <w:t>(a) Financial instrument categories</w:t>
      </w:r>
    </w:p>
    <w:p w14:paraId="66107DAC" w14:textId="77777777" w:rsidR="009103CC" w:rsidRPr="001814D2" w:rsidRDefault="009103CC" w:rsidP="009103CC">
      <w:pPr>
        <w:pStyle w:val="ARbody"/>
      </w:pPr>
      <w:r>
        <w:t>The Gallery's financial instruments comprise:</w:t>
      </w:r>
    </w:p>
    <w:tbl>
      <w:tblPr>
        <w:tblW w:w="5000" w:type="pct"/>
        <w:tblBorders>
          <w:bottom w:val="single" w:sz="4" w:space="0" w:color="auto"/>
          <w:insideH w:val="single" w:sz="4" w:space="0" w:color="auto"/>
        </w:tblBorders>
        <w:tblCellMar>
          <w:left w:w="0" w:type="dxa"/>
          <w:right w:w="0" w:type="dxa"/>
        </w:tblCellMar>
        <w:tblLook w:val="0000" w:firstRow="0" w:lastRow="0" w:firstColumn="0" w:lastColumn="0" w:noHBand="0" w:noVBand="0"/>
        <w:tblCaption w:val="Financial instrument categories"/>
        <w:tblDescription w:val="This table provides figures for 2020 and 2021 for both the consolidated entity and parent entity for financial assets and liabilities."/>
      </w:tblPr>
      <w:tblGrid>
        <w:gridCol w:w="2464"/>
        <w:gridCol w:w="601"/>
        <w:gridCol w:w="875"/>
        <w:gridCol w:w="1282"/>
        <w:gridCol w:w="1284"/>
        <w:gridCol w:w="1282"/>
        <w:gridCol w:w="1282"/>
      </w:tblGrid>
      <w:tr w:rsidR="009103CC" w:rsidRPr="001814D2" w14:paraId="5766735C" w14:textId="77777777" w:rsidTr="002718DF">
        <w:trPr>
          <w:cantSplit/>
          <w:trHeight w:hRule="exact" w:val="332"/>
          <w:tblHeader/>
        </w:trPr>
        <w:tc>
          <w:tcPr>
            <w:tcW w:w="1358" w:type="pct"/>
            <w:tcBorders>
              <w:bottom w:val="single" w:sz="4" w:space="0" w:color="auto"/>
            </w:tcBorders>
            <w:tcMar>
              <w:top w:w="0" w:type="dxa"/>
              <w:left w:w="0" w:type="dxa"/>
              <w:bottom w:w="0" w:type="dxa"/>
              <w:right w:w="0" w:type="dxa"/>
            </w:tcMar>
            <w:vAlign w:val="center"/>
          </w:tcPr>
          <w:p w14:paraId="21B20F52" w14:textId="77777777" w:rsidR="009103CC" w:rsidRPr="001814D2" w:rsidRDefault="009103CC" w:rsidP="002718DF">
            <w:pPr>
              <w:pStyle w:val="Tabletext"/>
              <w:jc w:val="center"/>
            </w:pPr>
          </w:p>
        </w:tc>
        <w:tc>
          <w:tcPr>
            <w:tcW w:w="331" w:type="pct"/>
            <w:tcBorders>
              <w:bottom w:val="single" w:sz="4" w:space="0" w:color="auto"/>
            </w:tcBorders>
            <w:tcMar>
              <w:top w:w="0" w:type="dxa"/>
              <w:left w:w="0" w:type="dxa"/>
              <w:bottom w:w="0" w:type="dxa"/>
              <w:right w:w="0" w:type="dxa"/>
            </w:tcMar>
            <w:vAlign w:val="center"/>
          </w:tcPr>
          <w:p w14:paraId="47027C7A" w14:textId="77777777" w:rsidR="009103CC" w:rsidRPr="001814D2" w:rsidRDefault="009103CC" w:rsidP="002718DF">
            <w:pPr>
              <w:pStyle w:val="Tabletext"/>
              <w:jc w:val="center"/>
            </w:pPr>
          </w:p>
        </w:tc>
        <w:tc>
          <w:tcPr>
            <w:tcW w:w="482" w:type="pct"/>
            <w:tcBorders>
              <w:bottom w:val="single" w:sz="4" w:space="0" w:color="auto"/>
            </w:tcBorders>
            <w:tcMar>
              <w:top w:w="0" w:type="dxa"/>
              <w:left w:w="0" w:type="dxa"/>
              <w:bottom w:w="0" w:type="dxa"/>
              <w:right w:w="0" w:type="dxa"/>
            </w:tcMar>
            <w:vAlign w:val="center"/>
          </w:tcPr>
          <w:p w14:paraId="456E3D4B" w14:textId="77777777" w:rsidR="009103CC" w:rsidRPr="001814D2" w:rsidRDefault="009103CC" w:rsidP="002718DF">
            <w:pPr>
              <w:pStyle w:val="Tabletext"/>
              <w:jc w:val="center"/>
            </w:pPr>
          </w:p>
        </w:tc>
        <w:tc>
          <w:tcPr>
            <w:tcW w:w="1415" w:type="pct"/>
            <w:gridSpan w:val="2"/>
            <w:tcBorders>
              <w:bottom w:val="single" w:sz="4" w:space="0" w:color="auto"/>
            </w:tcBorders>
            <w:tcMar>
              <w:top w:w="0" w:type="dxa"/>
              <w:left w:w="0" w:type="dxa"/>
              <w:bottom w:w="0" w:type="dxa"/>
              <w:right w:w="0" w:type="dxa"/>
            </w:tcMar>
            <w:vAlign w:val="center"/>
          </w:tcPr>
          <w:p w14:paraId="31325272" w14:textId="77777777" w:rsidR="009103CC" w:rsidRPr="001814D2" w:rsidRDefault="009103CC" w:rsidP="002718DF">
            <w:pPr>
              <w:pStyle w:val="Tabletext"/>
              <w:jc w:val="center"/>
              <w:rPr>
                <w:rFonts w:cs="Preston"/>
                <w:b/>
                <w:bCs/>
                <w:szCs w:val="18"/>
              </w:rPr>
            </w:pPr>
            <w:r w:rsidRPr="001814D2">
              <w:rPr>
                <w:rFonts w:cs="Preston"/>
                <w:b/>
                <w:bCs/>
                <w:szCs w:val="18"/>
              </w:rPr>
              <w:t>Consolidated entity</w:t>
            </w:r>
          </w:p>
        </w:tc>
        <w:tc>
          <w:tcPr>
            <w:tcW w:w="1415" w:type="pct"/>
            <w:gridSpan w:val="2"/>
            <w:tcBorders>
              <w:bottom w:val="single" w:sz="4" w:space="0" w:color="auto"/>
            </w:tcBorders>
            <w:tcMar>
              <w:top w:w="0" w:type="dxa"/>
              <w:left w:w="0" w:type="dxa"/>
              <w:bottom w:w="0" w:type="dxa"/>
              <w:right w:w="0" w:type="dxa"/>
            </w:tcMar>
            <w:vAlign w:val="center"/>
          </w:tcPr>
          <w:p w14:paraId="72919DFA" w14:textId="77777777" w:rsidR="009103CC" w:rsidRPr="001814D2" w:rsidRDefault="009103CC" w:rsidP="002718DF">
            <w:pPr>
              <w:pStyle w:val="Tabletext"/>
              <w:jc w:val="center"/>
              <w:rPr>
                <w:rFonts w:cs="Preston"/>
                <w:b/>
                <w:bCs/>
                <w:szCs w:val="18"/>
              </w:rPr>
            </w:pPr>
            <w:r w:rsidRPr="001814D2">
              <w:rPr>
                <w:rFonts w:cs="Preston"/>
                <w:b/>
                <w:bCs/>
                <w:szCs w:val="18"/>
              </w:rPr>
              <w:t>Parent entity</w:t>
            </w:r>
          </w:p>
        </w:tc>
      </w:tr>
      <w:tr w:rsidR="009103CC" w:rsidRPr="001814D2" w14:paraId="73F446A9" w14:textId="77777777" w:rsidTr="002718DF">
        <w:trPr>
          <w:cantSplit/>
          <w:trHeight w:hRule="exact" w:val="553"/>
          <w:tblHeader/>
        </w:trPr>
        <w:tc>
          <w:tcPr>
            <w:tcW w:w="1358" w:type="pct"/>
            <w:tcBorders>
              <w:top w:val="single" w:sz="4" w:space="0" w:color="auto"/>
              <w:bottom w:val="nil"/>
            </w:tcBorders>
            <w:tcMar>
              <w:top w:w="0" w:type="dxa"/>
              <w:left w:w="0" w:type="dxa"/>
              <w:bottom w:w="0" w:type="dxa"/>
              <w:right w:w="0" w:type="dxa"/>
            </w:tcMar>
            <w:vAlign w:val="center"/>
          </w:tcPr>
          <w:p w14:paraId="10646DDC" w14:textId="77777777" w:rsidR="009103CC" w:rsidRPr="001814D2" w:rsidRDefault="009103CC" w:rsidP="002718DF">
            <w:pPr>
              <w:pStyle w:val="Tabletext"/>
              <w:rPr>
                <w:rFonts w:cs="Preston"/>
                <w:b/>
                <w:bCs/>
                <w:szCs w:val="18"/>
              </w:rPr>
            </w:pPr>
            <w:r w:rsidRPr="001814D2">
              <w:rPr>
                <w:rFonts w:cs="Preston"/>
                <w:b/>
                <w:bCs/>
                <w:szCs w:val="18"/>
              </w:rPr>
              <w:t>Class</w:t>
            </w:r>
          </w:p>
          <w:p w14:paraId="77D757CD" w14:textId="77777777" w:rsidR="009103CC" w:rsidRPr="001814D2" w:rsidRDefault="009103CC" w:rsidP="002718DF">
            <w:pPr>
              <w:pStyle w:val="Tabletext"/>
              <w:rPr>
                <w:rFonts w:cs="Preston"/>
                <w:b/>
                <w:bCs/>
                <w:szCs w:val="18"/>
              </w:rPr>
            </w:pPr>
          </w:p>
        </w:tc>
        <w:tc>
          <w:tcPr>
            <w:tcW w:w="331" w:type="pct"/>
            <w:tcBorders>
              <w:top w:val="single" w:sz="4" w:space="0" w:color="auto"/>
              <w:bottom w:val="nil"/>
            </w:tcBorders>
            <w:tcMar>
              <w:top w:w="0" w:type="dxa"/>
              <w:left w:w="0" w:type="dxa"/>
              <w:bottom w:w="0" w:type="dxa"/>
              <w:right w:w="0" w:type="dxa"/>
            </w:tcMar>
            <w:vAlign w:val="center"/>
          </w:tcPr>
          <w:p w14:paraId="1B504D3C" w14:textId="77777777" w:rsidR="009103CC" w:rsidRPr="001814D2" w:rsidRDefault="009103CC" w:rsidP="002718DF">
            <w:pPr>
              <w:pStyle w:val="Tabletext"/>
              <w:rPr>
                <w:rFonts w:cs="Preston"/>
                <w:b/>
                <w:bCs/>
                <w:szCs w:val="18"/>
              </w:rPr>
            </w:pPr>
            <w:r w:rsidRPr="001814D2">
              <w:rPr>
                <w:rFonts w:cs="Preston"/>
                <w:b/>
                <w:bCs/>
                <w:szCs w:val="18"/>
              </w:rPr>
              <w:t>Note ref.</w:t>
            </w:r>
          </w:p>
        </w:tc>
        <w:tc>
          <w:tcPr>
            <w:tcW w:w="482" w:type="pct"/>
            <w:tcBorders>
              <w:top w:val="single" w:sz="4" w:space="0" w:color="auto"/>
              <w:bottom w:val="nil"/>
            </w:tcBorders>
            <w:tcMar>
              <w:top w:w="0" w:type="dxa"/>
              <w:left w:w="0" w:type="dxa"/>
              <w:bottom w:w="0" w:type="dxa"/>
              <w:right w:w="0" w:type="dxa"/>
            </w:tcMar>
            <w:vAlign w:val="center"/>
          </w:tcPr>
          <w:p w14:paraId="72AFB0B7" w14:textId="77777777" w:rsidR="009103CC" w:rsidRPr="001814D2" w:rsidRDefault="009103CC" w:rsidP="002718DF">
            <w:pPr>
              <w:pStyle w:val="Tabletext"/>
              <w:rPr>
                <w:rFonts w:cs="Preston"/>
                <w:b/>
                <w:bCs/>
                <w:szCs w:val="18"/>
              </w:rPr>
            </w:pPr>
            <w:r w:rsidRPr="001814D2">
              <w:rPr>
                <w:rFonts w:cs="Preston"/>
                <w:b/>
                <w:bCs/>
                <w:szCs w:val="18"/>
              </w:rPr>
              <w:t>Category</w:t>
            </w:r>
          </w:p>
          <w:p w14:paraId="591B45FA" w14:textId="77777777" w:rsidR="009103CC" w:rsidRPr="001814D2" w:rsidRDefault="009103CC" w:rsidP="002718DF">
            <w:pPr>
              <w:pStyle w:val="Tabletext"/>
              <w:rPr>
                <w:rFonts w:cs="Preston"/>
                <w:b/>
                <w:bCs/>
                <w:szCs w:val="18"/>
              </w:rPr>
            </w:pPr>
          </w:p>
        </w:tc>
        <w:tc>
          <w:tcPr>
            <w:tcW w:w="707" w:type="pct"/>
            <w:tcBorders>
              <w:top w:val="single" w:sz="4" w:space="0" w:color="auto"/>
              <w:bottom w:val="nil"/>
            </w:tcBorders>
            <w:tcMar>
              <w:top w:w="0" w:type="dxa"/>
              <w:left w:w="0" w:type="dxa"/>
              <w:bottom w:w="0" w:type="dxa"/>
              <w:right w:w="0" w:type="dxa"/>
            </w:tcMar>
            <w:vAlign w:val="center"/>
          </w:tcPr>
          <w:p w14:paraId="06587E70" w14:textId="77777777" w:rsidR="009103CC" w:rsidRPr="001814D2" w:rsidRDefault="009103CC" w:rsidP="002718DF">
            <w:pPr>
              <w:pStyle w:val="Tabletext"/>
              <w:jc w:val="right"/>
              <w:rPr>
                <w:rFonts w:cs="Preston"/>
                <w:b/>
                <w:bCs/>
                <w:szCs w:val="18"/>
              </w:rPr>
            </w:pPr>
            <w:r w:rsidRPr="001814D2">
              <w:rPr>
                <w:rFonts w:cs="Preston"/>
                <w:b/>
                <w:bCs/>
                <w:szCs w:val="18"/>
              </w:rPr>
              <w:t>2021</w:t>
            </w:r>
          </w:p>
          <w:p w14:paraId="0BF73069" w14:textId="77777777" w:rsidR="009103CC" w:rsidRPr="001814D2" w:rsidRDefault="009103CC" w:rsidP="002718DF">
            <w:pPr>
              <w:pStyle w:val="Tabletext"/>
              <w:jc w:val="right"/>
              <w:rPr>
                <w:rFonts w:cs="Preston"/>
                <w:b/>
                <w:bCs/>
                <w:szCs w:val="18"/>
              </w:rPr>
            </w:pPr>
            <w:r w:rsidRPr="001814D2">
              <w:rPr>
                <w:rFonts w:cs="Preston"/>
                <w:b/>
                <w:bCs/>
                <w:szCs w:val="18"/>
              </w:rPr>
              <w:t>$'000</w:t>
            </w:r>
          </w:p>
        </w:tc>
        <w:tc>
          <w:tcPr>
            <w:tcW w:w="708" w:type="pct"/>
            <w:tcBorders>
              <w:top w:val="single" w:sz="4" w:space="0" w:color="auto"/>
              <w:bottom w:val="nil"/>
            </w:tcBorders>
            <w:tcMar>
              <w:top w:w="0" w:type="dxa"/>
              <w:left w:w="0" w:type="dxa"/>
              <w:bottom w:w="0" w:type="dxa"/>
              <w:right w:w="0" w:type="dxa"/>
            </w:tcMar>
            <w:vAlign w:val="center"/>
          </w:tcPr>
          <w:p w14:paraId="2508D595" w14:textId="77777777" w:rsidR="009103CC" w:rsidRPr="001814D2" w:rsidRDefault="009103CC" w:rsidP="002718DF">
            <w:pPr>
              <w:pStyle w:val="Tabletext"/>
              <w:jc w:val="right"/>
              <w:rPr>
                <w:rFonts w:cs="Preston"/>
                <w:b/>
                <w:bCs/>
                <w:szCs w:val="18"/>
              </w:rPr>
            </w:pPr>
            <w:r w:rsidRPr="001814D2">
              <w:rPr>
                <w:rFonts w:cs="Preston"/>
                <w:b/>
                <w:bCs/>
                <w:szCs w:val="18"/>
              </w:rPr>
              <w:t>2020</w:t>
            </w:r>
          </w:p>
          <w:p w14:paraId="5EF679C3" w14:textId="77777777" w:rsidR="009103CC" w:rsidRPr="001814D2" w:rsidRDefault="009103CC" w:rsidP="002718DF">
            <w:pPr>
              <w:pStyle w:val="Tabletext"/>
              <w:jc w:val="right"/>
              <w:rPr>
                <w:rFonts w:cs="Preston"/>
                <w:b/>
                <w:bCs/>
                <w:szCs w:val="18"/>
              </w:rPr>
            </w:pPr>
            <w:r w:rsidRPr="001814D2">
              <w:rPr>
                <w:rFonts w:cs="Preston"/>
                <w:b/>
                <w:bCs/>
                <w:szCs w:val="18"/>
              </w:rPr>
              <w:t>$'000</w:t>
            </w:r>
          </w:p>
        </w:tc>
        <w:tc>
          <w:tcPr>
            <w:tcW w:w="707" w:type="pct"/>
            <w:tcBorders>
              <w:top w:val="single" w:sz="4" w:space="0" w:color="auto"/>
              <w:bottom w:val="nil"/>
            </w:tcBorders>
            <w:tcMar>
              <w:top w:w="0" w:type="dxa"/>
              <w:left w:w="0" w:type="dxa"/>
              <w:bottom w:w="0" w:type="dxa"/>
              <w:right w:w="0" w:type="dxa"/>
            </w:tcMar>
            <w:vAlign w:val="center"/>
          </w:tcPr>
          <w:p w14:paraId="30AA165E" w14:textId="77777777" w:rsidR="009103CC" w:rsidRPr="001814D2" w:rsidRDefault="009103CC" w:rsidP="002718DF">
            <w:pPr>
              <w:pStyle w:val="Tabletext"/>
              <w:jc w:val="right"/>
              <w:rPr>
                <w:rFonts w:cs="Preston"/>
                <w:b/>
                <w:bCs/>
                <w:szCs w:val="18"/>
              </w:rPr>
            </w:pPr>
            <w:r w:rsidRPr="001814D2">
              <w:rPr>
                <w:rFonts w:cs="Preston"/>
                <w:b/>
                <w:bCs/>
                <w:szCs w:val="18"/>
              </w:rPr>
              <w:t>2021</w:t>
            </w:r>
          </w:p>
          <w:p w14:paraId="0828D68A"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21BB1D10" w14:textId="77777777" w:rsidR="009103CC" w:rsidRPr="001814D2" w:rsidRDefault="009103CC" w:rsidP="002718DF">
            <w:pPr>
              <w:pStyle w:val="Tabletext"/>
              <w:jc w:val="right"/>
              <w:rPr>
                <w:rFonts w:cs="Preston"/>
                <w:b/>
                <w:bCs/>
                <w:szCs w:val="18"/>
              </w:rPr>
            </w:pPr>
          </w:p>
        </w:tc>
        <w:tc>
          <w:tcPr>
            <w:tcW w:w="708" w:type="pct"/>
            <w:tcBorders>
              <w:top w:val="single" w:sz="4" w:space="0" w:color="auto"/>
              <w:bottom w:val="nil"/>
            </w:tcBorders>
            <w:tcMar>
              <w:top w:w="0" w:type="dxa"/>
              <w:left w:w="0" w:type="dxa"/>
              <w:bottom w:w="0" w:type="dxa"/>
              <w:right w:w="0" w:type="dxa"/>
            </w:tcMar>
            <w:vAlign w:val="center"/>
          </w:tcPr>
          <w:p w14:paraId="2256B9BE" w14:textId="77777777" w:rsidR="009103CC" w:rsidRPr="001814D2" w:rsidRDefault="009103CC" w:rsidP="002718DF">
            <w:pPr>
              <w:pStyle w:val="Tabletext"/>
              <w:jc w:val="right"/>
              <w:rPr>
                <w:rFonts w:cs="Preston"/>
                <w:b/>
                <w:bCs/>
                <w:szCs w:val="18"/>
              </w:rPr>
            </w:pPr>
            <w:r w:rsidRPr="001814D2">
              <w:rPr>
                <w:rFonts w:cs="Preston"/>
                <w:b/>
                <w:bCs/>
                <w:szCs w:val="18"/>
              </w:rPr>
              <w:t>2020</w:t>
            </w:r>
          </w:p>
          <w:p w14:paraId="74207A13"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1CF812C1" w14:textId="77777777" w:rsidR="009103CC" w:rsidRPr="001814D2" w:rsidRDefault="009103CC" w:rsidP="002718DF">
            <w:pPr>
              <w:pStyle w:val="Tabletext"/>
              <w:jc w:val="right"/>
              <w:rPr>
                <w:rFonts w:cs="Preston"/>
                <w:b/>
                <w:bCs/>
                <w:szCs w:val="18"/>
              </w:rPr>
            </w:pPr>
          </w:p>
        </w:tc>
      </w:tr>
      <w:tr w:rsidR="009103CC" w:rsidRPr="001814D2" w14:paraId="478B613D" w14:textId="77777777" w:rsidTr="002718DF">
        <w:trPr>
          <w:cantSplit/>
          <w:trHeight w:hRule="exact" w:val="332"/>
        </w:trPr>
        <w:tc>
          <w:tcPr>
            <w:tcW w:w="1358" w:type="pct"/>
            <w:tcBorders>
              <w:top w:val="nil"/>
            </w:tcBorders>
            <w:tcMar>
              <w:top w:w="0" w:type="dxa"/>
              <w:left w:w="0" w:type="dxa"/>
              <w:bottom w:w="0" w:type="dxa"/>
              <w:right w:w="0" w:type="dxa"/>
            </w:tcMar>
            <w:vAlign w:val="center"/>
          </w:tcPr>
          <w:p w14:paraId="7D47A558" w14:textId="77777777" w:rsidR="009103CC" w:rsidRPr="001814D2" w:rsidRDefault="009103CC" w:rsidP="002718DF">
            <w:pPr>
              <w:pStyle w:val="Tabletext"/>
              <w:rPr>
                <w:rFonts w:cs="Preston"/>
                <w:b/>
                <w:bCs/>
                <w:szCs w:val="18"/>
              </w:rPr>
            </w:pPr>
            <w:r w:rsidRPr="001814D2">
              <w:rPr>
                <w:rFonts w:cs="Preston"/>
                <w:b/>
                <w:bCs/>
                <w:szCs w:val="18"/>
              </w:rPr>
              <w:t>Financial assets</w:t>
            </w:r>
          </w:p>
        </w:tc>
        <w:tc>
          <w:tcPr>
            <w:tcW w:w="331" w:type="pct"/>
            <w:tcBorders>
              <w:top w:val="nil"/>
            </w:tcBorders>
            <w:tcMar>
              <w:top w:w="0" w:type="dxa"/>
              <w:left w:w="0" w:type="dxa"/>
              <w:bottom w:w="0" w:type="dxa"/>
              <w:right w:w="0" w:type="dxa"/>
            </w:tcMar>
            <w:vAlign w:val="center"/>
          </w:tcPr>
          <w:p w14:paraId="409F2D29" w14:textId="77777777" w:rsidR="009103CC" w:rsidRPr="001814D2" w:rsidRDefault="009103CC" w:rsidP="002718DF">
            <w:pPr>
              <w:pStyle w:val="Tabletext"/>
              <w:rPr>
                <w:b/>
                <w:bCs/>
              </w:rPr>
            </w:pPr>
          </w:p>
        </w:tc>
        <w:tc>
          <w:tcPr>
            <w:tcW w:w="482" w:type="pct"/>
            <w:tcBorders>
              <w:top w:val="nil"/>
            </w:tcBorders>
            <w:tcMar>
              <w:top w:w="0" w:type="dxa"/>
              <w:left w:w="0" w:type="dxa"/>
              <w:bottom w:w="0" w:type="dxa"/>
              <w:right w:w="0" w:type="dxa"/>
            </w:tcMar>
            <w:vAlign w:val="center"/>
          </w:tcPr>
          <w:p w14:paraId="3594520A" w14:textId="77777777" w:rsidR="009103CC" w:rsidRPr="001814D2" w:rsidRDefault="009103CC" w:rsidP="002718DF">
            <w:pPr>
              <w:pStyle w:val="Tabletext"/>
              <w:rPr>
                <w:b/>
                <w:bCs/>
              </w:rPr>
            </w:pPr>
          </w:p>
        </w:tc>
        <w:tc>
          <w:tcPr>
            <w:tcW w:w="707" w:type="pct"/>
            <w:tcBorders>
              <w:top w:val="nil"/>
            </w:tcBorders>
            <w:tcMar>
              <w:top w:w="0" w:type="dxa"/>
              <w:left w:w="0" w:type="dxa"/>
              <w:bottom w:w="0" w:type="dxa"/>
              <w:right w:w="0" w:type="dxa"/>
            </w:tcMar>
            <w:vAlign w:val="center"/>
          </w:tcPr>
          <w:p w14:paraId="161C22CD" w14:textId="77777777" w:rsidR="009103CC" w:rsidRPr="001814D2" w:rsidRDefault="009103CC" w:rsidP="002718DF">
            <w:pPr>
              <w:pStyle w:val="Tabletext"/>
              <w:jc w:val="right"/>
              <w:rPr>
                <w:b/>
                <w:bCs/>
              </w:rPr>
            </w:pPr>
          </w:p>
        </w:tc>
        <w:tc>
          <w:tcPr>
            <w:tcW w:w="708" w:type="pct"/>
            <w:tcBorders>
              <w:top w:val="nil"/>
            </w:tcBorders>
            <w:tcMar>
              <w:top w:w="0" w:type="dxa"/>
              <w:left w:w="0" w:type="dxa"/>
              <w:bottom w:w="0" w:type="dxa"/>
              <w:right w:w="0" w:type="dxa"/>
            </w:tcMar>
            <w:vAlign w:val="center"/>
          </w:tcPr>
          <w:p w14:paraId="506FCBCB" w14:textId="77777777" w:rsidR="009103CC" w:rsidRPr="001814D2" w:rsidRDefault="009103CC" w:rsidP="002718DF">
            <w:pPr>
              <w:pStyle w:val="Tabletext"/>
              <w:jc w:val="right"/>
              <w:rPr>
                <w:b/>
                <w:bCs/>
              </w:rPr>
            </w:pPr>
          </w:p>
        </w:tc>
        <w:tc>
          <w:tcPr>
            <w:tcW w:w="707" w:type="pct"/>
            <w:tcBorders>
              <w:top w:val="nil"/>
            </w:tcBorders>
            <w:tcMar>
              <w:top w:w="0" w:type="dxa"/>
              <w:left w:w="0" w:type="dxa"/>
              <w:bottom w:w="0" w:type="dxa"/>
              <w:right w:w="0" w:type="dxa"/>
            </w:tcMar>
            <w:vAlign w:val="center"/>
          </w:tcPr>
          <w:p w14:paraId="6BEA02DC" w14:textId="77777777" w:rsidR="009103CC" w:rsidRPr="001814D2" w:rsidRDefault="009103CC" w:rsidP="002718DF">
            <w:pPr>
              <w:pStyle w:val="Tabletext"/>
              <w:jc w:val="right"/>
              <w:rPr>
                <w:b/>
                <w:bCs/>
              </w:rPr>
            </w:pPr>
          </w:p>
        </w:tc>
        <w:tc>
          <w:tcPr>
            <w:tcW w:w="708" w:type="pct"/>
            <w:tcBorders>
              <w:top w:val="nil"/>
            </w:tcBorders>
            <w:tcMar>
              <w:top w:w="0" w:type="dxa"/>
              <w:left w:w="0" w:type="dxa"/>
              <w:bottom w:w="0" w:type="dxa"/>
              <w:right w:w="0" w:type="dxa"/>
            </w:tcMar>
            <w:vAlign w:val="center"/>
          </w:tcPr>
          <w:p w14:paraId="0B7CA324" w14:textId="77777777" w:rsidR="009103CC" w:rsidRPr="001814D2" w:rsidRDefault="009103CC" w:rsidP="002718DF">
            <w:pPr>
              <w:pStyle w:val="Tabletext"/>
              <w:jc w:val="right"/>
              <w:rPr>
                <w:b/>
                <w:bCs/>
              </w:rPr>
            </w:pPr>
          </w:p>
        </w:tc>
      </w:tr>
      <w:tr w:rsidR="009103CC" w:rsidRPr="001814D2" w14:paraId="1C208F37" w14:textId="77777777" w:rsidTr="002718DF">
        <w:trPr>
          <w:cantSplit/>
          <w:trHeight w:hRule="exact" w:val="553"/>
        </w:trPr>
        <w:tc>
          <w:tcPr>
            <w:tcW w:w="1358" w:type="pct"/>
            <w:tcMar>
              <w:top w:w="0" w:type="dxa"/>
              <w:left w:w="0" w:type="dxa"/>
              <w:bottom w:w="0" w:type="dxa"/>
              <w:right w:w="0" w:type="dxa"/>
            </w:tcMar>
            <w:vAlign w:val="center"/>
          </w:tcPr>
          <w:p w14:paraId="491E2DBD" w14:textId="77777777" w:rsidR="009103CC" w:rsidRPr="001814D2" w:rsidRDefault="009103CC" w:rsidP="002718DF">
            <w:pPr>
              <w:pStyle w:val="Tabletext"/>
              <w:rPr>
                <w:rFonts w:cs="Preston"/>
                <w:szCs w:val="18"/>
              </w:rPr>
            </w:pPr>
            <w:r w:rsidRPr="001814D2">
              <w:rPr>
                <w:rFonts w:cs="Preston"/>
                <w:szCs w:val="18"/>
              </w:rPr>
              <w:t>Cash and cash equivalents</w:t>
            </w:r>
          </w:p>
          <w:p w14:paraId="25CD7790" w14:textId="77777777" w:rsidR="009103CC" w:rsidRPr="001814D2" w:rsidRDefault="009103CC" w:rsidP="002718DF">
            <w:pPr>
              <w:pStyle w:val="Tabletext"/>
              <w:rPr>
                <w:rFonts w:cs="Preston"/>
                <w:szCs w:val="18"/>
              </w:rPr>
            </w:pPr>
          </w:p>
        </w:tc>
        <w:tc>
          <w:tcPr>
            <w:tcW w:w="331" w:type="pct"/>
            <w:tcMar>
              <w:top w:w="0" w:type="dxa"/>
              <w:left w:w="0" w:type="dxa"/>
              <w:bottom w:w="0" w:type="dxa"/>
              <w:right w:w="0" w:type="dxa"/>
            </w:tcMar>
            <w:vAlign w:val="center"/>
          </w:tcPr>
          <w:p w14:paraId="5670A93A" w14:textId="77777777" w:rsidR="009103CC" w:rsidRPr="001814D2" w:rsidRDefault="009103CC" w:rsidP="002718DF">
            <w:pPr>
              <w:pStyle w:val="Tabletext"/>
              <w:rPr>
                <w:rFonts w:cs="Preston"/>
                <w:szCs w:val="18"/>
              </w:rPr>
            </w:pPr>
            <w:r w:rsidRPr="001814D2">
              <w:rPr>
                <w:rFonts w:cs="Preston"/>
                <w:szCs w:val="18"/>
              </w:rPr>
              <w:t>5</w:t>
            </w:r>
          </w:p>
          <w:p w14:paraId="3B18EEB6" w14:textId="77777777" w:rsidR="009103CC" w:rsidRPr="001814D2" w:rsidRDefault="009103CC" w:rsidP="002718DF">
            <w:pPr>
              <w:pStyle w:val="Tabletext"/>
              <w:rPr>
                <w:rFonts w:cs="Preston"/>
                <w:szCs w:val="18"/>
              </w:rPr>
            </w:pPr>
          </w:p>
        </w:tc>
        <w:tc>
          <w:tcPr>
            <w:tcW w:w="482" w:type="pct"/>
            <w:tcMar>
              <w:top w:w="0" w:type="dxa"/>
              <w:left w:w="0" w:type="dxa"/>
              <w:bottom w:w="0" w:type="dxa"/>
              <w:right w:w="0" w:type="dxa"/>
            </w:tcMar>
            <w:vAlign w:val="center"/>
          </w:tcPr>
          <w:p w14:paraId="468A9163" w14:textId="77777777" w:rsidR="009103CC" w:rsidRPr="001814D2" w:rsidRDefault="009103CC" w:rsidP="002718DF">
            <w:pPr>
              <w:pStyle w:val="Tabletext"/>
              <w:rPr>
                <w:rFonts w:cs="Preston"/>
                <w:szCs w:val="18"/>
              </w:rPr>
            </w:pPr>
            <w:r w:rsidRPr="001814D2">
              <w:rPr>
                <w:rFonts w:cs="Preston"/>
                <w:szCs w:val="18"/>
              </w:rPr>
              <w:t>Amortised cost</w:t>
            </w:r>
          </w:p>
        </w:tc>
        <w:tc>
          <w:tcPr>
            <w:tcW w:w="707" w:type="pct"/>
            <w:tcMar>
              <w:top w:w="0" w:type="dxa"/>
              <w:left w:w="0" w:type="dxa"/>
              <w:bottom w:w="0" w:type="dxa"/>
              <w:right w:w="0" w:type="dxa"/>
            </w:tcMar>
            <w:vAlign w:val="center"/>
          </w:tcPr>
          <w:p w14:paraId="4CF85190" w14:textId="77777777" w:rsidR="009103CC" w:rsidRPr="001814D2" w:rsidRDefault="009103CC" w:rsidP="002718DF">
            <w:pPr>
              <w:pStyle w:val="Tabletext"/>
              <w:jc w:val="right"/>
              <w:rPr>
                <w:rFonts w:cs="Preston"/>
                <w:szCs w:val="18"/>
              </w:rPr>
            </w:pPr>
            <w:r w:rsidRPr="001814D2">
              <w:rPr>
                <w:rFonts w:cs="Preston"/>
                <w:szCs w:val="18"/>
              </w:rPr>
              <w:t>3,549</w:t>
            </w:r>
          </w:p>
          <w:p w14:paraId="6D5DEFE7" w14:textId="77777777" w:rsidR="009103CC" w:rsidRPr="001814D2" w:rsidRDefault="009103CC" w:rsidP="002718DF">
            <w:pPr>
              <w:pStyle w:val="Tabletext"/>
              <w:jc w:val="right"/>
              <w:rPr>
                <w:rFonts w:cs="Preston"/>
                <w:szCs w:val="18"/>
              </w:rPr>
            </w:pPr>
          </w:p>
        </w:tc>
        <w:tc>
          <w:tcPr>
            <w:tcW w:w="708" w:type="pct"/>
            <w:tcMar>
              <w:top w:w="0" w:type="dxa"/>
              <w:left w:w="0" w:type="dxa"/>
              <w:bottom w:w="0" w:type="dxa"/>
              <w:right w:w="0" w:type="dxa"/>
            </w:tcMar>
            <w:vAlign w:val="center"/>
          </w:tcPr>
          <w:p w14:paraId="47C97504" w14:textId="77777777" w:rsidR="009103CC" w:rsidRPr="001814D2" w:rsidRDefault="009103CC" w:rsidP="002718DF">
            <w:pPr>
              <w:pStyle w:val="Tabletext"/>
              <w:jc w:val="right"/>
              <w:rPr>
                <w:rFonts w:cs="Preston"/>
                <w:szCs w:val="18"/>
              </w:rPr>
            </w:pPr>
            <w:r w:rsidRPr="001814D2">
              <w:rPr>
                <w:rFonts w:cs="Preston"/>
                <w:szCs w:val="18"/>
              </w:rPr>
              <w:t>3,950</w:t>
            </w:r>
          </w:p>
          <w:p w14:paraId="169AFD49" w14:textId="77777777" w:rsidR="009103CC" w:rsidRPr="001814D2" w:rsidRDefault="009103CC" w:rsidP="002718DF">
            <w:pPr>
              <w:pStyle w:val="Tabletext"/>
              <w:jc w:val="right"/>
              <w:rPr>
                <w:rFonts w:cs="Preston"/>
                <w:szCs w:val="18"/>
              </w:rPr>
            </w:pPr>
          </w:p>
        </w:tc>
        <w:tc>
          <w:tcPr>
            <w:tcW w:w="707" w:type="pct"/>
            <w:tcMar>
              <w:top w:w="0" w:type="dxa"/>
              <w:left w:w="0" w:type="dxa"/>
              <w:bottom w:w="0" w:type="dxa"/>
              <w:right w:w="0" w:type="dxa"/>
            </w:tcMar>
            <w:vAlign w:val="center"/>
          </w:tcPr>
          <w:p w14:paraId="52F3A366" w14:textId="77777777" w:rsidR="009103CC" w:rsidRPr="001814D2" w:rsidRDefault="009103CC" w:rsidP="002718DF">
            <w:pPr>
              <w:pStyle w:val="Tabletext"/>
              <w:jc w:val="right"/>
              <w:rPr>
                <w:rFonts w:cs="Preston"/>
                <w:szCs w:val="18"/>
              </w:rPr>
            </w:pPr>
            <w:r w:rsidRPr="001814D2">
              <w:rPr>
                <w:rFonts w:cs="Preston"/>
                <w:szCs w:val="18"/>
              </w:rPr>
              <w:t>3,479</w:t>
            </w:r>
          </w:p>
          <w:p w14:paraId="67D05DA3" w14:textId="77777777" w:rsidR="009103CC" w:rsidRPr="001814D2" w:rsidRDefault="009103CC" w:rsidP="002718DF">
            <w:pPr>
              <w:pStyle w:val="Tabletext"/>
              <w:jc w:val="right"/>
              <w:rPr>
                <w:rFonts w:cs="Preston"/>
                <w:szCs w:val="18"/>
              </w:rPr>
            </w:pPr>
          </w:p>
        </w:tc>
        <w:tc>
          <w:tcPr>
            <w:tcW w:w="708" w:type="pct"/>
            <w:tcMar>
              <w:top w:w="0" w:type="dxa"/>
              <w:left w:w="0" w:type="dxa"/>
              <w:bottom w:w="0" w:type="dxa"/>
              <w:right w:w="0" w:type="dxa"/>
            </w:tcMar>
            <w:vAlign w:val="center"/>
          </w:tcPr>
          <w:p w14:paraId="3FA53166" w14:textId="77777777" w:rsidR="009103CC" w:rsidRPr="001814D2" w:rsidRDefault="009103CC" w:rsidP="002718DF">
            <w:pPr>
              <w:pStyle w:val="Tabletext"/>
              <w:jc w:val="right"/>
              <w:rPr>
                <w:rFonts w:cs="Preston"/>
                <w:szCs w:val="18"/>
              </w:rPr>
            </w:pPr>
            <w:r w:rsidRPr="001814D2">
              <w:rPr>
                <w:rFonts w:cs="Preston"/>
                <w:szCs w:val="18"/>
              </w:rPr>
              <w:t>3,902</w:t>
            </w:r>
          </w:p>
          <w:p w14:paraId="3F64E135" w14:textId="77777777" w:rsidR="009103CC" w:rsidRPr="001814D2" w:rsidRDefault="009103CC" w:rsidP="002718DF">
            <w:pPr>
              <w:pStyle w:val="Tabletext"/>
              <w:jc w:val="right"/>
              <w:rPr>
                <w:rFonts w:cs="Preston"/>
                <w:szCs w:val="18"/>
              </w:rPr>
            </w:pPr>
          </w:p>
        </w:tc>
      </w:tr>
      <w:tr w:rsidR="009103CC" w:rsidRPr="001814D2" w14:paraId="539AFE6B" w14:textId="77777777" w:rsidTr="002718DF">
        <w:trPr>
          <w:cantSplit/>
          <w:trHeight w:hRule="exact" w:val="834"/>
        </w:trPr>
        <w:tc>
          <w:tcPr>
            <w:tcW w:w="1358" w:type="pct"/>
            <w:tcMar>
              <w:top w:w="0" w:type="dxa"/>
              <w:left w:w="0" w:type="dxa"/>
              <w:bottom w:w="0" w:type="dxa"/>
              <w:right w:w="0" w:type="dxa"/>
            </w:tcMar>
            <w:vAlign w:val="center"/>
          </w:tcPr>
          <w:p w14:paraId="2822E61B" w14:textId="77777777" w:rsidR="009103CC" w:rsidRPr="001814D2" w:rsidRDefault="009103CC" w:rsidP="002718DF">
            <w:pPr>
              <w:pStyle w:val="Tabletext"/>
              <w:rPr>
                <w:rFonts w:cs="Preston"/>
                <w:szCs w:val="18"/>
              </w:rPr>
            </w:pPr>
            <w:r w:rsidRPr="001814D2">
              <w:rPr>
                <w:rFonts w:cs="Preston"/>
                <w:szCs w:val="18"/>
              </w:rPr>
              <w:t>Receivables (excluding statutory receivables and prepayments)</w:t>
            </w:r>
          </w:p>
        </w:tc>
        <w:tc>
          <w:tcPr>
            <w:tcW w:w="331" w:type="pct"/>
            <w:tcMar>
              <w:top w:w="0" w:type="dxa"/>
              <w:left w:w="0" w:type="dxa"/>
              <w:bottom w:w="0" w:type="dxa"/>
              <w:right w:w="0" w:type="dxa"/>
            </w:tcMar>
            <w:vAlign w:val="center"/>
          </w:tcPr>
          <w:p w14:paraId="5DE26B54" w14:textId="77777777" w:rsidR="009103CC" w:rsidRPr="001814D2" w:rsidRDefault="009103CC" w:rsidP="002718DF">
            <w:pPr>
              <w:pStyle w:val="Tabletext"/>
              <w:rPr>
                <w:rFonts w:cs="Preston"/>
                <w:szCs w:val="18"/>
              </w:rPr>
            </w:pPr>
            <w:r w:rsidRPr="001814D2">
              <w:rPr>
                <w:rFonts w:cs="Preston"/>
                <w:szCs w:val="18"/>
              </w:rPr>
              <w:t>6</w:t>
            </w:r>
          </w:p>
          <w:p w14:paraId="523C6755" w14:textId="77777777" w:rsidR="009103CC" w:rsidRPr="001814D2" w:rsidRDefault="009103CC" w:rsidP="002718DF">
            <w:pPr>
              <w:pStyle w:val="Tabletext"/>
              <w:rPr>
                <w:rFonts w:cs="Preston"/>
                <w:szCs w:val="18"/>
              </w:rPr>
            </w:pPr>
          </w:p>
        </w:tc>
        <w:tc>
          <w:tcPr>
            <w:tcW w:w="482" w:type="pct"/>
            <w:tcMar>
              <w:top w:w="0" w:type="dxa"/>
              <w:left w:w="0" w:type="dxa"/>
              <w:bottom w:w="0" w:type="dxa"/>
              <w:right w:w="0" w:type="dxa"/>
            </w:tcMar>
            <w:vAlign w:val="center"/>
          </w:tcPr>
          <w:p w14:paraId="7254FE58" w14:textId="77777777" w:rsidR="009103CC" w:rsidRPr="001814D2" w:rsidRDefault="009103CC" w:rsidP="002718DF">
            <w:pPr>
              <w:pStyle w:val="Tabletext"/>
              <w:rPr>
                <w:rFonts w:cs="Preston"/>
                <w:szCs w:val="18"/>
              </w:rPr>
            </w:pPr>
            <w:r w:rsidRPr="001814D2">
              <w:rPr>
                <w:rFonts w:cs="Preston"/>
                <w:szCs w:val="18"/>
              </w:rPr>
              <w:t>Amortised cost</w:t>
            </w:r>
          </w:p>
        </w:tc>
        <w:tc>
          <w:tcPr>
            <w:tcW w:w="707" w:type="pct"/>
            <w:tcMar>
              <w:top w:w="0" w:type="dxa"/>
              <w:left w:w="0" w:type="dxa"/>
              <w:bottom w:w="0" w:type="dxa"/>
              <w:right w:w="0" w:type="dxa"/>
            </w:tcMar>
            <w:vAlign w:val="center"/>
          </w:tcPr>
          <w:p w14:paraId="41AE6756" w14:textId="77777777" w:rsidR="009103CC" w:rsidRPr="001814D2" w:rsidRDefault="009103CC" w:rsidP="002718DF">
            <w:pPr>
              <w:pStyle w:val="Tabletext"/>
              <w:jc w:val="right"/>
              <w:rPr>
                <w:rFonts w:cs="Preston"/>
                <w:szCs w:val="18"/>
              </w:rPr>
            </w:pPr>
            <w:r w:rsidRPr="001814D2">
              <w:rPr>
                <w:rFonts w:cs="Preston"/>
                <w:szCs w:val="18"/>
              </w:rPr>
              <w:t>1,596</w:t>
            </w:r>
          </w:p>
          <w:p w14:paraId="5ABF2156" w14:textId="77777777" w:rsidR="009103CC" w:rsidRPr="001814D2" w:rsidRDefault="009103CC" w:rsidP="002718DF">
            <w:pPr>
              <w:pStyle w:val="Tabletext"/>
              <w:jc w:val="right"/>
              <w:rPr>
                <w:rFonts w:cs="Preston"/>
                <w:szCs w:val="18"/>
              </w:rPr>
            </w:pPr>
          </w:p>
        </w:tc>
        <w:tc>
          <w:tcPr>
            <w:tcW w:w="708" w:type="pct"/>
            <w:tcMar>
              <w:top w:w="0" w:type="dxa"/>
              <w:left w:w="0" w:type="dxa"/>
              <w:bottom w:w="0" w:type="dxa"/>
              <w:right w:w="0" w:type="dxa"/>
            </w:tcMar>
            <w:vAlign w:val="center"/>
          </w:tcPr>
          <w:p w14:paraId="716ECAF0" w14:textId="77777777" w:rsidR="009103CC" w:rsidRPr="001814D2" w:rsidRDefault="009103CC" w:rsidP="002718DF">
            <w:pPr>
              <w:pStyle w:val="Tabletext"/>
              <w:jc w:val="right"/>
              <w:rPr>
                <w:rFonts w:cs="Preston"/>
                <w:szCs w:val="18"/>
              </w:rPr>
            </w:pPr>
            <w:r w:rsidRPr="001814D2">
              <w:rPr>
                <w:rFonts w:cs="Preston"/>
                <w:szCs w:val="18"/>
              </w:rPr>
              <w:t>517</w:t>
            </w:r>
          </w:p>
          <w:p w14:paraId="426C4C34" w14:textId="77777777" w:rsidR="009103CC" w:rsidRPr="001814D2" w:rsidRDefault="009103CC" w:rsidP="002718DF">
            <w:pPr>
              <w:pStyle w:val="Tabletext"/>
              <w:jc w:val="right"/>
              <w:rPr>
                <w:rFonts w:cs="Preston"/>
                <w:szCs w:val="18"/>
              </w:rPr>
            </w:pPr>
          </w:p>
        </w:tc>
        <w:tc>
          <w:tcPr>
            <w:tcW w:w="707" w:type="pct"/>
            <w:tcMar>
              <w:top w:w="0" w:type="dxa"/>
              <w:left w:w="0" w:type="dxa"/>
              <w:bottom w:w="0" w:type="dxa"/>
              <w:right w:w="0" w:type="dxa"/>
            </w:tcMar>
            <w:vAlign w:val="center"/>
          </w:tcPr>
          <w:p w14:paraId="4FB439D6" w14:textId="77777777" w:rsidR="009103CC" w:rsidRPr="001814D2" w:rsidRDefault="009103CC" w:rsidP="002718DF">
            <w:pPr>
              <w:pStyle w:val="Tabletext"/>
              <w:jc w:val="right"/>
              <w:rPr>
                <w:rFonts w:cs="Preston"/>
                <w:szCs w:val="18"/>
              </w:rPr>
            </w:pPr>
            <w:r w:rsidRPr="001814D2">
              <w:rPr>
                <w:rFonts w:cs="Preston"/>
                <w:szCs w:val="18"/>
              </w:rPr>
              <w:t>1,596</w:t>
            </w:r>
          </w:p>
          <w:p w14:paraId="501BA381" w14:textId="77777777" w:rsidR="009103CC" w:rsidRPr="001814D2" w:rsidRDefault="009103CC" w:rsidP="002718DF">
            <w:pPr>
              <w:pStyle w:val="Tabletext"/>
              <w:jc w:val="right"/>
              <w:rPr>
                <w:rFonts w:cs="Preston"/>
                <w:szCs w:val="18"/>
              </w:rPr>
            </w:pPr>
          </w:p>
        </w:tc>
        <w:tc>
          <w:tcPr>
            <w:tcW w:w="708" w:type="pct"/>
            <w:tcMar>
              <w:top w:w="0" w:type="dxa"/>
              <w:left w:w="0" w:type="dxa"/>
              <w:bottom w:w="0" w:type="dxa"/>
              <w:right w:w="0" w:type="dxa"/>
            </w:tcMar>
            <w:vAlign w:val="center"/>
          </w:tcPr>
          <w:p w14:paraId="4F5C60C2" w14:textId="77777777" w:rsidR="009103CC" w:rsidRPr="001814D2" w:rsidRDefault="009103CC" w:rsidP="002718DF">
            <w:pPr>
              <w:pStyle w:val="Tabletext"/>
              <w:jc w:val="right"/>
              <w:rPr>
                <w:rFonts w:cs="Preston"/>
                <w:szCs w:val="18"/>
              </w:rPr>
            </w:pPr>
            <w:r w:rsidRPr="001814D2">
              <w:rPr>
                <w:rFonts w:cs="Preston"/>
                <w:szCs w:val="18"/>
              </w:rPr>
              <w:t>517</w:t>
            </w:r>
          </w:p>
          <w:p w14:paraId="25F8C49A" w14:textId="77777777" w:rsidR="009103CC" w:rsidRPr="001814D2" w:rsidRDefault="009103CC" w:rsidP="002718DF">
            <w:pPr>
              <w:pStyle w:val="Tabletext"/>
              <w:jc w:val="right"/>
              <w:rPr>
                <w:rFonts w:cs="Preston"/>
                <w:szCs w:val="18"/>
              </w:rPr>
            </w:pPr>
          </w:p>
        </w:tc>
      </w:tr>
      <w:tr w:rsidR="009103CC" w:rsidRPr="001814D2" w14:paraId="5A1C2E2A" w14:textId="77777777" w:rsidTr="002718DF">
        <w:trPr>
          <w:cantSplit/>
          <w:trHeight w:hRule="exact" w:val="332"/>
        </w:trPr>
        <w:tc>
          <w:tcPr>
            <w:tcW w:w="1358" w:type="pct"/>
            <w:tcMar>
              <w:top w:w="0" w:type="dxa"/>
              <w:left w:w="0" w:type="dxa"/>
              <w:bottom w:w="0" w:type="dxa"/>
              <w:right w:w="0" w:type="dxa"/>
            </w:tcMar>
            <w:vAlign w:val="center"/>
          </w:tcPr>
          <w:p w14:paraId="7C1F2ABB" w14:textId="77777777" w:rsidR="009103CC" w:rsidRPr="001814D2" w:rsidRDefault="009103CC" w:rsidP="002718DF">
            <w:pPr>
              <w:pStyle w:val="Tabletext"/>
              <w:rPr>
                <w:rFonts w:cs="Preston"/>
                <w:szCs w:val="18"/>
              </w:rPr>
            </w:pPr>
            <w:r w:rsidRPr="001814D2">
              <w:rPr>
                <w:rFonts w:cs="Preston"/>
                <w:szCs w:val="18"/>
              </w:rPr>
              <w:t>Financial assets at fair value</w:t>
            </w:r>
          </w:p>
        </w:tc>
        <w:tc>
          <w:tcPr>
            <w:tcW w:w="331" w:type="pct"/>
            <w:tcMar>
              <w:top w:w="0" w:type="dxa"/>
              <w:left w:w="0" w:type="dxa"/>
              <w:bottom w:w="0" w:type="dxa"/>
              <w:right w:w="0" w:type="dxa"/>
            </w:tcMar>
            <w:vAlign w:val="center"/>
          </w:tcPr>
          <w:p w14:paraId="52B73C4C" w14:textId="77777777" w:rsidR="009103CC" w:rsidRPr="001814D2" w:rsidRDefault="009103CC" w:rsidP="002718DF">
            <w:pPr>
              <w:pStyle w:val="Tabletext"/>
              <w:rPr>
                <w:rFonts w:cs="Preston"/>
                <w:szCs w:val="18"/>
              </w:rPr>
            </w:pPr>
            <w:r w:rsidRPr="001814D2">
              <w:rPr>
                <w:rFonts w:cs="Preston"/>
                <w:szCs w:val="18"/>
              </w:rPr>
              <w:t>8</w:t>
            </w:r>
          </w:p>
        </w:tc>
        <w:tc>
          <w:tcPr>
            <w:tcW w:w="482" w:type="pct"/>
            <w:tcMar>
              <w:top w:w="0" w:type="dxa"/>
              <w:left w:w="0" w:type="dxa"/>
              <w:bottom w:w="0" w:type="dxa"/>
              <w:right w:w="0" w:type="dxa"/>
            </w:tcMar>
            <w:vAlign w:val="center"/>
          </w:tcPr>
          <w:p w14:paraId="5A910CE5" w14:textId="77777777" w:rsidR="009103CC" w:rsidRPr="001814D2" w:rsidRDefault="009103CC" w:rsidP="002718DF">
            <w:pPr>
              <w:pStyle w:val="Tabletext"/>
              <w:rPr>
                <w:rFonts w:cs="Preston"/>
                <w:szCs w:val="18"/>
              </w:rPr>
            </w:pPr>
            <w:r w:rsidRPr="001814D2">
              <w:rPr>
                <w:rFonts w:cs="Preston"/>
                <w:szCs w:val="18"/>
              </w:rPr>
              <w:t>FVPL</w:t>
            </w:r>
          </w:p>
        </w:tc>
        <w:tc>
          <w:tcPr>
            <w:tcW w:w="707" w:type="pct"/>
            <w:tcMar>
              <w:top w:w="0" w:type="dxa"/>
              <w:left w:w="0" w:type="dxa"/>
              <w:bottom w:w="0" w:type="dxa"/>
              <w:right w:w="0" w:type="dxa"/>
            </w:tcMar>
            <w:vAlign w:val="center"/>
          </w:tcPr>
          <w:p w14:paraId="09A88C81" w14:textId="77777777" w:rsidR="009103CC" w:rsidRPr="001814D2" w:rsidRDefault="009103CC" w:rsidP="002718DF">
            <w:pPr>
              <w:pStyle w:val="Tabletext"/>
              <w:jc w:val="right"/>
              <w:rPr>
                <w:rFonts w:cs="Preston"/>
                <w:szCs w:val="18"/>
              </w:rPr>
            </w:pPr>
            <w:r w:rsidRPr="001814D2">
              <w:rPr>
                <w:rFonts w:cs="Preston"/>
                <w:szCs w:val="18"/>
              </w:rPr>
              <w:t>156,234</w:t>
            </w:r>
          </w:p>
        </w:tc>
        <w:tc>
          <w:tcPr>
            <w:tcW w:w="708" w:type="pct"/>
            <w:tcMar>
              <w:top w:w="0" w:type="dxa"/>
              <w:left w:w="0" w:type="dxa"/>
              <w:bottom w:w="0" w:type="dxa"/>
              <w:right w:w="0" w:type="dxa"/>
            </w:tcMar>
            <w:vAlign w:val="center"/>
          </w:tcPr>
          <w:p w14:paraId="2222E624" w14:textId="77777777" w:rsidR="009103CC" w:rsidRPr="001814D2" w:rsidRDefault="009103CC" w:rsidP="002718DF">
            <w:pPr>
              <w:pStyle w:val="Tabletext"/>
              <w:jc w:val="right"/>
              <w:rPr>
                <w:rFonts w:cs="Preston"/>
                <w:szCs w:val="18"/>
              </w:rPr>
            </w:pPr>
            <w:r w:rsidRPr="001814D2">
              <w:rPr>
                <w:rFonts w:cs="Preston"/>
                <w:szCs w:val="18"/>
              </w:rPr>
              <w:t>120,001</w:t>
            </w:r>
          </w:p>
        </w:tc>
        <w:tc>
          <w:tcPr>
            <w:tcW w:w="707" w:type="pct"/>
            <w:tcMar>
              <w:top w:w="0" w:type="dxa"/>
              <w:left w:w="0" w:type="dxa"/>
              <w:bottom w:w="0" w:type="dxa"/>
              <w:right w:w="0" w:type="dxa"/>
            </w:tcMar>
            <w:vAlign w:val="center"/>
          </w:tcPr>
          <w:p w14:paraId="2FE3AC2D" w14:textId="77777777" w:rsidR="009103CC" w:rsidRPr="001814D2" w:rsidRDefault="009103CC" w:rsidP="002718DF">
            <w:pPr>
              <w:pStyle w:val="Tabletext"/>
              <w:jc w:val="right"/>
              <w:rPr>
                <w:rFonts w:cs="Preston"/>
                <w:szCs w:val="18"/>
              </w:rPr>
            </w:pPr>
            <w:r w:rsidRPr="001814D2">
              <w:rPr>
                <w:rFonts w:cs="Preston"/>
                <w:szCs w:val="18"/>
              </w:rPr>
              <w:t>154,765</w:t>
            </w:r>
          </w:p>
        </w:tc>
        <w:tc>
          <w:tcPr>
            <w:tcW w:w="708" w:type="pct"/>
            <w:tcMar>
              <w:top w:w="0" w:type="dxa"/>
              <w:left w:w="0" w:type="dxa"/>
              <w:bottom w:w="0" w:type="dxa"/>
              <w:right w:w="0" w:type="dxa"/>
            </w:tcMar>
            <w:vAlign w:val="center"/>
          </w:tcPr>
          <w:p w14:paraId="4C50FD8F" w14:textId="77777777" w:rsidR="009103CC" w:rsidRPr="001814D2" w:rsidRDefault="009103CC" w:rsidP="002718DF">
            <w:pPr>
              <w:pStyle w:val="Tabletext"/>
              <w:jc w:val="right"/>
              <w:rPr>
                <w:rFonts w:cs="Preston"/>
                <w:szCs w:val="18"/>
              </w:rPr>
            </w:pPr>
            <w:r w:rsidRPr="001814D2">
              <w:rPr>
                <w:rFonts w:cs="Preston"/>
                <w:szCs w:val="18"/>
              </w:rPr>
              <w:t>118,638</w:t>
            </w:r>
          </w:p>
        </w:tc>
      </w:tr>
      <w:tr w:rsidR="009103CC" w:rsidRPr="001814D2" w14:paraId="584C14A7" w14:textId="77777777" w:rsidTr="002718DF">
        <w:trPr>
          <w:cantSplit/>
          <w:trHeight w:hRule="exact" w:val="553"/>
        </w:trPr>
        <w:tc>
          <w:tcPr>
            <w:tcW w:w="1358" w:type="pct"/>
            <w:tcMar>
              <w:top w:w="0" w:type="dxa"/>
              <w:left w:w="0" w:type="dxa"/>
              <w:bottom w:w="0" w:type="dxa"/>
              <w:right w:w="0" w:type="dxa"/>
            </w:tcMar>
            <w:vAlign w:val="center"/>
          </w:tcPr>
          <w:p w14:paraId="0623EB96" w14:textId="77777777" w:rsidR="009103CC" w:rsidRPr="001814D2" w:rsidRDefault="009103CC" w:rsidP="002718DF">
            <w:pPr>
              <w:pStyle w:val="Tabletext"/>
              <w:rPr>
                <w:rFonts w:cs="Preston"/>
                <w:szCs w:val="18"/>
              </w:rPr>
            </w:pPr>
            <w:r w:rsidRPr="001814D2">
              <w:rPr>
                <w:rFonts w:cs="Preston"/>
                <w:szCs w:val="18"/>
              </w:rPr>
              <w:t xml:space="preserve">Trade receivables past due </w:t>
            </w:r>
            <w:r w:rsidRPr="001814D2">
              <w:rPr>
                <w:rFonts w:cs="Preston"/>
                <w:szCs w:val="18"/>
              </w:rPr>
              <w:br/>
              <w:t>but not impaired &gt; 3 months</w:t>
            </w:r>
          </w:p>
        </w:tc>
        <w:tc>
          <w:tcPr>
            <w:tcW w:w="331" w:type="pct"/>
            <w:tcMar>
              <w:top w:w="0" w:type="dxa"/>
              <w:left w:w="0" w:type="dxa"/>
              <w:bottom w:w="0" w:type="dxa"/>
              <w:right w:w="0" w:type="dxa"/>
            </w:tcMar>
            <w:vAlign w:val="center"/>
          </w:tcPr>
          <w:p w14:paraId="2B11834E" w14:textId="77777777" w:rsidR="009103CC" w:rsidRPr="001814D2" w:rsidRDefault="009103CC" w:rsidP="002718DF">
            <w:pPr>
              <w:pStyle w:val="Tabletext"/>
            </w:pPr>
          </w:p>
        </w:tc>
        <w:tc>
          <w:tcPr>
            <w:tcW w:w="482" w:type="pct"/>
            <w:tcMar>
              <w:top w:w="0" w:type="dxa"/>
              <w:left w:w="0" w:type="dxa"/>
              <w:bottom w:w="0" w:type="dxa"/>
              <w:right w:w="0" w:type="dxa"/>
            </w:tcMar>
            <w:vAlign w:val="center"/>
          </w:tcPr>
          <w:p w14:paraId="59E70873" w14:textId="77777777" w:rsidR="009103CC" w:rsidRPr="001814D2" w:rsidRDefault="009103CC" w:rsidP="002718DF">
            <w:pPr>
              <w:pStyle w:val="Tabletext"/>
            </w:pPr>
          </w:p>
        </w:tc>
        <w:tc>
          <w:tcPr>
            <w:tcW w:w="707" w:type="pct"/>
            <w:tcMar>
              <w:top w:w="0" w:type="dxa"/>
              <w:left w:w="0" w:type="dxa"/>
              <w:bottom w:w="0" w:type="dxa"/>
              <w:right w:w="0" w:type="dxa"/>
            </w:tcMar>
            <w:vAlign w:val="center"/>
          </w:tcPr>
          <w:p w14:paraId="0F3BF7B3" w14:textId="77777777" w:rsidR="009103CC" w:rsidRPr="001814D2" w:rsidRDefault="009103CC" w:rsidP="002718DF">
            <w:pPr>
              <w:pStyle w:val="Tabletext"/>
              <w:jc w:val="right"/>
              <w:rPr>
                <w:rFonts w:cs="Preston"/>
                <w:szCs w:val="18"/>
              </w:rPr>
            </w:pPr>
            <w:r w:rsidRPr="001814D2">
              <w:rPr>
                <w:rFonts w:cs="Preston"/>
                <w:szCs w:val="18"/>
              </w:rPr>
              <w:t>-</w:t>
            </w:r>
          </w:p>
          <w:p w14:paraId="0A9A524A" w14:textId="77777777" w:rsidR="009103CC" w:rsidRPr="001814D2" w:rsidRDefault="009103CC" w:rsidP="002718DF">
            <w:pPr>
              <w:pStyle w:val="Tabletext"/>
              <w:jc w:val="right"/>
              <w:rPr>
                <w:rFonts w:cs="Preston"/>
                <w:szCs w:val="18"/>
              </w:rPr>
            </w:pPr>
          </w:p>
        </w:tc>
        <w:tc>
          <w:tcPr>
            <w:tcW w:w="708" w:type="pct"/>
            <w:tcMar>
              <w:top w:w="0" w:type="dxa"/>
              <w:left w:w="0" w:type="dxa"/>
              <w:bottom w:w="0" w:type="dxa"/>
              <w:right w:w="0" w:type="dxa"/>
            </w:tcMar>
            <w:vAlign w:val="center"/>
          </w:tcPr>
          <w:p w14:paraId="5D53A691" w14:textId="77777777" w:rsidR="009103CC" w:rsidRPr="001814D2" w:rsidRDefault="009103CC" w:rsidP="002718DF">
            <w:pPr>
              <w:pStyle w:val="Tabletext"/>
              <w:jc w:val="right"/>
              <w:rPr>
                <w:rFonts w:cs="Preston"/>
                <w:szCs w:val="18"/>
              </w:rPr>
            </w:pPr>
            <w:r w:rsidRPr="001814D2">
              <w:rPr>
                <w:rFonts w:cs="Preston"/>
                <w:szCs w:val="18"/>
              </w:rPr>
              <w:t>212</w:t>
            </w:r>
          </w:p>
          <w:p w14:paraId="6D29DFAA" w14:textId="77777777" w:rsidR="009103CC" w:rsidRPr="001814D2" w:rsidRDefault="009103CC" w:rsidP="002718DF">
            <w:pPr>
              <w:pStyle w:val="Tabletext"/>
              <w:jc w:val="right"/>
              <w:rPr>
                <w:rFonts w:cs="Preston"/>
                <w:szCs w:val="18"/>
              </w:rPr>
            </w:pPr>
          </w:p>
        </w:tc>
        <w:tc>
          <w:tcPr>
            <w:tcW w:w="707" w:type="pct"/>
            <w:tcMar>
              <w:top w:w="0" w:type="dxa"/>
              <w:left w:w="0" w:type="dxa"/>
              <w:bottom w:w="0" w:type="dxa"/>
              <w:right w:w="0" w:type="dxa"/>
            </w:tcMar>
            <w:vAlign w:val="center"/>
          </w:tcPr>
          <w:p w14:paraId="7A767889" w14:textId="77777777" w:rsidR="009103CC" w:rsidRPr="001814D2" w:rsidRDefault="009103CC" w:rsidP="002718DF">
            <w:pPr>
              <w:pStyle w:val="Tabletext"/>
              <w:jc w:val="right"/>
              <w:rPr>
                <w:rFonts w:cs="Preston"/>
                <w:szCs w:val="18"/>
              </w:rPr>
            </w:pPr>
            <w:r w:rsidRPr="001814D2">
              <w:rPr>
                <w:rFonts w:cs="Preston"/>
                <w:szCs w:val="18"/>
              </w:rPr>
              <w:t>-</w:t>
            </w:r>
          </w:p>
          <w:p w14:paraId="2DFB22AC" w14:textId="77777777" w:rsidR="009103CC" w:rsidRPr="001814D2" w:rsidRDefault="009103CC" w:rsidP="002718DF">
            <w:pPr>
              <w:pStyle w:val="Tabletext"/>
              <w:jc w:val="right"/>
              <w:rPr>
                <w:rFonts w:cs="Preston"/>
                <w:szCs w:val="18"/>
              </w:rPr>
            </w:pPr>
          </w:p>
        </w:tc>
        <w:tc>
          <w:tcPr>
            <w:tcW w:w="708" w:type="pct"/>
            <w:tcMar>
              <w:top w:w="0" w:type="dxa"/>
              <w:left w:w="0" w:type="dxa"/>
              <w:bottom w:w="0" w:type="dxa"/>
              <w:right w:w="0" w:type="dxa"/>
            </w:tcMar>
            <w:vAlign w:val="center"/>
          </w:tcPr>
          <w:p w14:paraId="166DE08D" w14:textId="77777777" w:rsidR="009103CC" w:rsidRPr="001814D2" w:rsidRDefault="009103CC" w:rsidP="002718DF">
            <w:pPr>
              <w:pStyle w:val="Tabletext"/>
              <w:jc w:val="right"/>
              <w:rPr>
                <w:rFonts w:cs="Preston"/>
                <w:szCs w:val="18"/>
              </w:rPr>
            </w:pPr>
            <w:r w:rsidRPr="001814D2">
              <w:rPr>
                <w:rFonts w:cs="Preston"/>
                <w:szCs w:val="18"/>
              </w:rPr>
              <w:t>212</w:t>
            </w:r>
          </w:p>
          <w:p w14:paraId="104C4051" w14:textId="77777777" w:rsidR="009103CC" w:rsidRPr="001814D2" w:rsidRDefault="009103CC" w:rsidP="002718DF">
            <w:pPr>
              <w:pStyle w:val="Tabletext"/>
              <w:jc w:val="right"/>
              <w:rPr>
                <w:rFonts w:cs="Preston"/>
                <w:szCs w:val="18"/>
              </w:rPr>
            </w:pPr>
          </w:p>
        </w:tc>
      </w:tr>
      <w:tr w:rsidR="009103CC" w:rsidRPr="00531FE4" w14:paraId="060A68AD" w14:textId="77777777" w:rsidTr="002718DF">
        <w:trPr>
          <w:cantSplit/>
          <w:trHeight w:hRule="exact" w:val="332"/>
        </w:trPr>
        <w:tc>
          <w:tcPr>
            <w:tcW w:w="1358" w:type="pct"/>
            <w:tcMar>
              <w:top w:w="0" w:type="dxa"/>
              <w:left w:w="0" w:type="dxa"/>
              <w:bottom w:w="0" w:type="dxa"/>
              <w:right w:w="0" w:type="dxa"/>
            </w:tcMar>
            <w:vAlign w:val="center"/>
          </w:tcPr>
          <w:p w14:paraId="79C13177" w14:textId="77777777" w:rsidR="009103CC" w:rsidRPr="00531FE4" w:rsidRDefault="009103CC" w:rsidP="002718DF">
            <w:pPr>
              <w:pStyle w:val="Tabletext"/>
              <w:rPr>
                <w:rFonts w:cs="Preston"/>
                <w:b/>
                <w:bCs/>
                <w:szCs w:val="18"/>
              </w:rPr>
            </w:pPr>
            <w:r w:rsidRPr="00531FE4">
              <w:rPr>
                <w:rFonts w:cs="Preston"/>
                <w:b/>
                <w:bCs/>
                <w:szCs w:val="18"/>
              </w:rPr>
              <w:t>Financial liabilities</w:t>
            </w:r>
          </w:p>
        </w:tc>
        <w:tc>
          <w:tcPr>
            <w:tcW w:w="331" w:type="pct"/>
            <w:tcMar>
              <w:top w:w="0" w:type="dxa"/>
              <w:left w:w="0" w:type="dxa"/>
              <w:bottom w:w="0" w:type="dxa"/>
              <w:right w:w="0" w:type="dxa"/>
            </w:tcMar>
            <w:vAlign w:val="center"/>
          </w:tcPr>
          <w:p w14:paraId="0393AA87" w14:textId="77777777" w:rsidR="009103CC" w:rsidRPr="00531FE4" w:rsidRDefault="009103CC" w:rsidP="002718DF">
            <w:pPr>
              <w:pStyle w:val="Tabletext"/>
              <w:rPr>
                <w:b/>
                <w:bCs/>
              </w:rPr>
            </w:pPr>
          </w:p>
        </w:tc>
        <w:tc>
          <w:tcPr>
            <w:tcW w:w="482" w:type="pct"/>
            <w:tcMar>
              <w:top w:w="0" w:type="dxa"/>
              <w:left w:w="0" w:type="dxa"/>
              <w:bottom w:w="0" w:type="dxa"/>
              <w:right w:w="0" w:type="dxa"/>
            </w:tcMar>
            <w:vAlign w:val="center"/>
          </w:tcPr>
          <w:p w14:paraId="5301C01A" w14:textId="77777777" w:rsidR="009103CC" w:rsidRPr="00531FE4" w:rsidRDefault="009103CC" w:rsidP="002718DF">
            <w:pPr>
              <w:pStyle w:val="Tabletext"/>
              <w:rPr>
                <w:b/>
                <w:bCs/>
              </w:rPr>
            </w:pPr>
          </w:p>
        </w:tc>
        <w:tc>
          <w:tcPr>
            <w:tcW w:w="707" w:type="pct"/>
            <w:tcMar>
              <w:top w:w="0" w:type="dxa"/>
              <w:left w:w="0" w:type="dxa"/>
              <w:bottom w:w="0" w:type="dxa"/>
              <w:right w:w="0" w:type="dxa"/>
            </w:tcMar>
            <w:vAlign w:val="center"/>
          </w:tcPr>
          <w:p w14:paraId="05339518" w14:textId="77777777" w:rsidR="009103CC" w:rsidRPr="00531FE4" w:rsidRDefault="009103CC" w:rsidP="002718DF">
            <w:pPr>
              <w:pStyle w:val="Tabletext"/>
              <w:jc w:val="right"/>
              <w:rPr>
                <w:b/>
                <w:bCs/>
              </w:rPr>
            </w:pPr>
          </w:p>
        </w:tc>
        <w:tc>
          <w:tcPr>
            <w:tcW w:w="708" w:type="pct"/>
            <w:tcMar>
              <w:top w:w="0" w:type="dxa"/>
              <w:left w:w="0" w:type="dxa"/>
              <w:bottom w:w="0" w:type="dxa"/>
              <w:right w:w="0" w:type="dxa"/>
            </w:tcMar>
            <w:vAlign w:val="center"/>
          </w:tcPr>
          <w:p w14:paraId="26EB5F8F" w14:textId="77777777" w:rsidR="009103CC" w:rsidRPr="00531FE4" w:rsidRDefault="009103CC" w:rsidP="002718DF">
            <w:pPr>
              <w:pStyle w:val="Tabletext"/>
              <w:jc w:val="right"/>
              <w:rPr>
                <w:b/>
                <w:bCs/>
              </w:rPr>
            </w:pPr>
          </w:p>
        </w:tc>
        <w:tc>
          <w:tcPr>
            <w:tcW w:w="707" w:type="pct"/>
            <w:tcMar>
              <w:top w:w="0" w:type="dxa"/>
              <w:left w:w="0" w:type="dxa"/>
              <w:bottom w:w="0" w:type="dxa"/>
              <w:right w:w="0" w:type="dxa"/>
            </w:tcMar>
            <w:vAlign w:val="center"/>
          </w:tcPr>
          <w:p w14:paraId="2EBDC060" w14:textId="77777777" w:rsidR="009103CC" w:rsidRPr="00531FE4" w:rsidRDefault="009103CC" w:rsidP="002718DF">
            <w:pPr>
              <w:pStyle w:val="Tabletext"/>
              <w:jc w:val="right"/>
              <w:rPr>
                <w:b/>
                <w:bCs/>
              </w:rPr>
            </w:pPr>
          </w:p>
        </w:tc>
        <w:tc>
          <w:tcPr>
            <w:tcW w:w="708" w:type="pct"/>
            <w:tcMar>
              <w:top w:w="0" w:type="dxa"/>
              <w:left w:w="0" w:type="dxa"/>
              <w:bottom w:w="0" w:type="dxa"/>
              <w:right w:w="0" w:type="dxa"/>
            </w:tcMar>
            <w:vAlign w:val="center"/>
          </w:tcPr>
          <w:p w14:paraId="4089EB08" w14:textId="77777777" w:rsidR="009103CC" w:rsidRPr="00531FE4" w:rsidRDefault="009103CC" w:rsidP="002718DF">
            <w:pPr>
              <w:pStyle w:val="Tabletext"/>
              <w:jc w:val="right"/>
              <w:rPr>
                <w:b/>
                <w:bCs/>
              </w:rPr>
            </w:pPr>
          </w:p>
        </w:tc>
      </w:tr>
      <w:tr w:rsidR="009103CC" w:rsidRPr="001814D2" w14:paraId="31DA26DD" w14:textId="77777777" w:rsidTr="002718DF">
        <w:trPr>
          <w:cantSplit/>
          <w:trHeight w:hRule="exact" w:val="553"/>
        </w:trPr>
        <w:tc>
          <w:tcPr>
            <w:tcW w:w="1358" w:type="pct"/>
            <w:tcMar>
              <w:top w:w="0" w:type="dxa"/>
              <w:left w:w="0" w:type="dxa"/>
              <w:bottom w:w="0" w:type="dxa"/>
              <w:right w:w="0" w:type="dxa"/>
            </w:tcMar>
            <w:vAlign w:val="center"/>
          </w:tcPr>
          <w:p w14:paraId="585E755C" w14:textId="77777777" w:rsidR="009103CC" w:rsidRPr="001814D2" w:rsidRDefault="009103CC" w:rsidP="002718DF">
            <w:pPr>
              <w:pStyle w:val="Tabletext"/>
              <w:rPr>
                <w:rFonts w:cs="Preston"/>
                <w:szCs w:val="18"/>
              </w:rPr>
            </w:pPr>
            <w:r w:rsidRPr="001814D2">
              <w:rPr>
                <w:rFonts w:cs="Preston"/>
                <w:szCs w:val="18"/>
              </w:rPr>
              <w:t xml:space="preserve">Payables (excluding </w:t>
            </w:r>
            <w:r w:rsidRPr="001814D2">
              <w:rPr>
                <w:rFonts w:cs="Preston"/>
                <w:szCs w:val="18"/>
              </w:rPr>
              <w:br/>
              <w:t>statutory payables)</w:t>
            </w:r>
          </w:p>
        </w:tc>
        <w:tc>
          <w:tcPr>
            <w:tcW w:w="331" w:type="pct"/>
            <w:tcMar>
              <w:top w:w="0" w:type="dxa"/>
              <w:left w:w="0" w:type="dxa"/>
              <w:bottom w:w="0" w:type="dxa"/>
              <w:right w:w="0" w:type="dxa"/>
            </w:tcMar>
            <w:vAlign w:val="center"/>
          </w:tcPr>
          <w:p w14:paraId="3AC93352" w14:textId="77777777" w:rsidR="009103CC" w:rsidRPr="001814D2" w:rsidRDefault="009103CC" w:rsidP="002718DF">
            <w:pPr>
              <w:pStyle w:val="Tabletext"/>
              <w:rPr>
                <w:rFonts w:cs="Preston"/>
                <w:szCs w:val="18"/>
              </w:rPr>
            </w:pPr>
            <w:r w:rsidRPr="001814D2">
              <w:rPr>
                <w:rFonts w:cs="Preston"/>
                <w:szCs w:val="18"/>
              </w:rPr>
              <w:t>11</w:t>
            </w:r>
          </w:p>
          <w:p w14:paraId="53C2B604" w14:textId="77777777" w:rsidR="009103CC" w:rsidRPr="001814D2" w:rsidRDefault="009103CC" w:rsidP="002718DF">
            <w:pPr>
              <w:pStyle w:val="Tabletext"/>
              <w:rPr>
                <w:rFonts w:cs="Preston"/>
                <w:szCs w:val="18"/>
              </w:rPr>
            </w:pPr>
          </w:p>
        </w:tc>
        <w:tc>
          <w:tcPr>
            <w:tcW w:w="482" w:type="pct"/>
            <w:tcMar>
              <w:top w:w="0" w:type="dxa"/>
              <w:left w:w="0" w:type="dxa"/>
              <w:bottom w:w="0" w:type="dxa"/>
              <w:right w:w="0" w:type="dxa"/>
            </w:tcMar>
            <w:vAlign w:val="center"/>
          </w:tcPr>
          <w:p w14:paraId="6FCDA080" w14:textId="77777777" w:rsidR="009103CC" w:rsidRPr="001814D2" w:rsidRDefault="009103CC" w:rsidP="002718DF">
            <w:pPr>
              <w:pStyle w:val="Tabletext"/>
              <w:rPr>
                <w:rFonts w:cs="Preston"/>
                <w:szCs w:val="18"/>
              </w:rPr>
            </w:pPr>
            <w:r w:rsidRPr="001814D2">
              <w:rPr>
                <w:rFonts w:cs="Preston"/>
                <w:szCs w:val="18"/>
              </w:rPr>
              <w:t>Amortised cost</w:t>
            </w:r>
          </w:p>
        </w:tc>
        <w:tc>
          <w:tcPr>
            <w:tcW w:w="707" w:type="pct"/>
            <w:tcMar>
              <w:top w:w="0" w:type="dxa"/>
              <w:left w:w="0" w:type="dxa"/>
              <w:bottom w:w="0" w:type="dxa"/>
              <w:right w:w="0" w:type="dxa"/>
            </w:tcMar>
            <w:vAlign w:val="center"/>
          </w:tcPr>
          <w:p w14:paraId="3E9341AA" w14:textId="77777777" w:rsidR="009103CC" w:rsidRPr="001814D2" w:rsidRDefault="009103CC" w:rsidP="002718DF">
            <w:pPr>
              <w:pStyle w:val="Tabletext"/>
              <w:jc w:val="right"/>
              <w:rPr>
                <w:rFonts w:cs="Preston"/>
                <w:szCs w:val="18"/>
              </w:rPr>
            </w:pPr>
            <w:r w:rsidRPr="001814D2">
              <w:rPr>
                <w:rFonts w:cs="Preston"/>
                <w:szCs w:val="18"/>
              </w:rPr>
              <w:t>2,806</w:t>
            </w:r>
          </w:p>
          <w:p w14:paraId="324AF7A4" w14:textId="77777777" w:rsidR="009103CC" w:rsidRPr="001814D2" w:rsidRDefault="009103CC" w:rsidP="002718DF">
            <w:pPr>
              <w:pStyle w:val="Tabletext"/>
              <w:jc w:val="right"/>
              <w:rPr>
                <w:rFonts w:cs="Preston"/>
                <w:szCs w:val="18"/>
              </w:rPr>
            </w:pPr>
          </w:p>
        </w:tc>
        <w:tc>
          <w:tcPr>
            <w:tcW w:w="708" w:type="pct"/>
            <w:tcMar>
              <w:top w:w="0" w:type="dxa"/>
              <w:left w:w="0" w:type="dxa"/>
              <w:bottom w:w="0" w:type="dxa"/>
              <w:right w:w="0" w:type="dxa"/>
            </w:tcMar>
            <w:vAlign w:val="center"/>
          </w:tcPr>
          <w:p w14:paraId="010B231A" w14:textId="77777777" w:rsidR="009103CC" w:rsidRPr="001814D2" w:rsidRDefault="009103CC" w:rsidP="002718DF">
            <w:pPr>
              <w:pStyle w:val="Tabletext"/>
              <w:jc w:val="right"/>
              <w:rPr>
                <w:rFonts w:cs="Preston"/>
                <w:szCs w:val="18"/>
              </w:rPr>
            </w:pPr>
            <w:r w:rsidRPr="001814D2">
              <w:rPr>
                <w:rFonts w:cs="Preston"/>
                <w:szCs w:val="18"/>
              </w:rPr>
              <w:t>2,583</w:t>
            </w:r>
          </w:p>
          <w:p w14:paraId="234E4BBA" w14:textId="77777777" w:rsidR="009103CC" w:rsidRPr="001814D2" w:rsidRDefault="009103CC" w:rsidP="002718DF">
            <w:pPr>
              <w:pStyle w:val="Tabletext"/>
              <w:jc w:val="right"/>
              <w:rPr>
                <w:rFonts w:cs="Preston"/>
                <w:szCs w:val="18"/>
              </w:rPr>
            </w:pPr>
          </w:p>
        </w:tc>
        <w:tc>
          <w:tcPr>
            <w:tcW w:w="707" w:type="pct"/>
            <w:tcMar>
              <w:top w:w="0" w:type="dxa"/>
              <w:left w:w="0" w:type="dxa"/>
              <w:bottom w:w="0" w:type="dxa"/>
              <w:right w:w="0" w:type="dxa"/>
            </w:tcMar>
            <w:vAlign w:val="center"/>
          </w:tcPr>
          <w:p w14:paraId="0DBBE9A7" w14:textId="77777777" w:rsidR="009103CC" w:rsidRPr="001814D2" w:rsidRDefault="009103CC" w:rsidP="002718DF">
            <w:pPr>
              <w:pStyle w:val="Tabletext"/>
              <w:jc w:val="right"/>
              <w:rPr>
                <w:rFonts w:cs="Preston"/>
                <w:szCs w:val="18"/>
              </w:rPr>
            </w:pPr>
            <w:r w:rsidRPr="001814D2">
              <w:rPr>
                <w:rFonts w:cs="Preston"/>
                <w:szCs w:val="18"/>
              </w:rPr>
              <w:t>2,627</w:t>
            </w:r>
          </w:p>
          <w:p w14:paraId="7CFF6ACB" w14:textId="77777777" w:rsidR="009103CC" w:rsidRPr="001814D2" w:rsidRDefault="009103CC" w:rsidP="002718DF">
            <w:pPr>
              <w:pStyle w:val="Tabletext"/>
              <w:jc w:val="right"/>
              <w:rPr>
                <w:rFonts w:cs="Preston"/>
                <w:szCs w:val="18"/>
              </w:rPr>
            </w:pPr>
          </w:p>
        </w:tc>
        <w:tc>
          <w:tcPr>
            <w:tcW w:w="708" w:type="pct"/>
            <w:tcMar>
              <w:top w:w="0" w:type="dxa"/>
              <w:left w:w="0" w:type="dxa"/>
              <w:bottom w:w="0" w:type="dxa"/>
              <w:right w:w="0" w:type="dxa"/>
            </w:tcMar>
            <w:vAlign w:val="center"/>
          </w:tcPr>
          <w:p w14:paraId="6DB0DC00" w14:textId="77777777" w:rsidR="009103CC" w:rsidRPr="001814D2" w:rsidRDefault="009103CC" w:rsidP="002718DF">
            <w:pPr>
              <w:pStyle w:val="Tabletext"/>
              <w:jc w:val="right"/>
              <w:rPr>
                <w:rFonts w:cs="Preston"/>
                <w:szCs w:val="18"/>
              </w:rPr>
            </w:pPr>
            <w:r w:rsidRPr="001814D2">
              <w:rPr>
                <w:rFonts w:cs="Preston"/>
                <w:szCs w:val="18"/>
              </w:rPr>
              <w:t>2,484</w:t>
            </w:r>
          </w:p>
          <w:p w14:paraId="34F4E3F6" w14:textId="77777777" w:rsidR="009103CC" w:rsidRPr="001814D2" w:rsidRDefault="009103CC" w:rsidP="002718DF">
            <w:pPr>
              <w:pStyle w:val="Tabletext"/>
              <w:jc w:val="right"/>
              <w:rPr>
                <w:rFonts w:cs="Preston"/>
                <w:szCs w:val="18"/>
              </w:rPr>
            </w:pPr>
          </w:p>
        </w:tc>
      </w:tr>
    </w:tbl>
    <w:p w14:paraId="1911C59A" w14:textId="77777777" w:rsidR="009103CC" w:rsidRPr="001814D2" w:rsidRDefault="009103CC" w:rsidP="009103CC">
      <w:pPr>
        <w:pStyle w:val="Tabletext"/>
      </w:pPr>
    </w:p>
    <w:p w14:paraId="59D66C33" w14:textId="77777777" w:rsidR="009103CC" w:rsidRPr="001814D2" w:rsidRDefault="009103CC" w:rsidP="009103CC">
      <w:pPr>
        <w:pStyle w:val="ARbody"/>
      </w:pPr>
      <w:r w:rsidRPr="001814D2">
        <w:t>The Gallery determines the classification of its financial assets and liabilities at initial recognition and re-evaluates them each financial year end where required by the relevant accounting standards.</w:t>
      </w:r>
    </w:p>
    <w:p w14:paraId="1201D6C4" w14:textId="77777777" w:rsidR="009103CC" w:rsidRPr="005E6562" w:rsidRDefault="009103CC" w:rsidP="009103CC">
      <w:pPr>
        <w:pStyle w:val="ARbody"/>
        <w:rPr>
          <w:b/>
          <w:bCs/>
        </w:rPr>
      </w:pPr>
      <w:r w:rsidRPr="005E6562">
        <w:rPr>
          <w:b/>
          <w:bCs/>
        </w:rPr>
        <w:t>(b) Financial risks</w:t>
      </w:r>
    </w:p>
    <w:p w14:paraId="6B98E8CE" w14:textId="77777777" w:rsidR="009103CC" w:rsidRPr="001814D2" w:rsidRDefault="009103CC" w:rsidP="009103CC">
      <w:pPr>
        <w:pStyle w:val="ARbody"/>
        <w:rPr>
          <w:b/>
          <w:bCs/>
        </w:rPr>
      </w:pPr>
      <w:r w:rsidRPr="001814D2">
        <w:rPr>
          <w:b/>
          <w:bCs/>
        </w:rPr>
        <w:t xml:space="preserve">(i) Credit risk </w:t>
      </w:r>
    </w:p>
    <w:p w14:paraId="64280B3D" w14:textId="77777777" w:rsidR="009103CC" w:rsidRPr="001814D2" w:rsidRDefault="009103CC" w:rsidP="009103CC">
      <w:pPr>
        <w:pStyle w:val="ARbody"/>
      </w:pPr>
      <w:r w:rsidRPr="001814D2">
        <w:t>Credit risk arises when there is the possibility of the Gallery's debtors defaulting on their contractual obligations, resulting in a financial loss to the Gallery. The Gallery is exposed to two sources of credit risk - amounts receivable in respect of trade debtors and counterparty risk in respect of funds deposited with banks and other financial institutions. The majority of amounts receivable from trade debtors are subject to contractual arrangements and any amounts outstanding are followed up.</w:t>
      </w:r>
    </w:p>
    <w:p w14:paraId="6F440C48" w14:textId="77777777" w:rsidR="009103CC" w:rsidRPr="001814D2" w:rsidRDefault="009103CC" w:rsidP="009103CC">
      <w:pPr>
        <w:pStyle w:val="ARbody"/>
      </w:pPr>
      <w:r w:rsidRPr="001814D2">
        <w:t>Funds are deposited only with those banks and financial institutions approved by the Board. Such approval is only given in respect of institutions that hold no less than an A rating from Standards &amp; Poor's or an equivalent rating from another reputable rating agency.</w:t>
      </w:r>
    </w:p>
    <w:p w14:paraId="2098204B" w14:textId="77777777" w:rsidR="009103CC" w:rsidRPr="001814D2" w:rsidRDefault="009103CC" w:rsidP="009103CC">
      <w:pPr>
        <w:pStyle w:val="ARbody"/>
      </w:pPr>
      <w:r w:rsidRPr="001814D2">
        <w:t>Management considers that the financial assets reflected at the reporting date are of good credit quality, including those that are past due. Amounts are considered 'past due' when the debt has not been settled within the terms and conditions agreed between the Gallery and the customer or counter party to the transaction. Where deemed appropriate by management, payment plans have been entered into with trade debtors whose operations been impacted by COVID-19 during the current year. No amounts have been identified as irrecoverable during the current financial year.</w:t>
      </w:r>
    </w:p>
    <w:p w14:paraId="071B93B9" w14:textId="77777777" w:rsidR="009103CC" w:rsidRPr="001814D2" w:rsidRDefault="009103CC" w:rsidP="009103CC">
      <w:pPr>
        <w:pStyle w:val="ARbody"/>
      </w:pPr>
      <w:r w:rsidRPr="001814D2">
        <w:t>All trade debtors are recognised as amounts receivable at balance date. Collectability of trade debtors is reviewed on an ongoing basis. Procedures as established in the NSW Treasurer's Directions are followed to recover outstanding amounts, including letters of demand. Debts which are known to be uncollectible are written off. An allowance for impairment is raised when a significant increase in credit risk has occurred. Any changes are accounted for in the Statement of Comprehensive Income when impaired, derecognised or through the amortisation process. No interest is earned on trade debtors. The carrying amount approximates fair value. Sales are made on 30 day terms.</w:t>
      </w:r>
    </w:p>
    <w:p w14:paraId="47FED5B5" w14:textId="77777777" w:rsidR="009103CC" w:rsidRPr="001814D2" w:rsidRDefault="009103CC" w:rsidP="009103CC">
      <w:pPr>
        <w:pStyle w:val="ARbody"/>
        <w:rPr>
          <w:b/>
          <w:bCs/>
        </w:rPr>
      </w:pPr>
      <w:r w:rsidRPr="001814D2">
        <w:rPr>
          <w:b/>
          <w:bCs/>
        </w:rPr>
        <w:t>(ii) Market price risk</w:t>
      </w:r>
    </w:p>
    <w:p w14:paraId="16594EC2" w14:textId="77777777" w:rsidR="009103CC" w:rsidRPr="001814D2" w:rsidRDefault="009103CC" w:rsidP="009103CC">
      <w:pPr>
        <w:pStyle w:val="ARbody"/>
      </w:pPr>
      <w:r w:rsidRPr="001814D2">
        <w:t>Market price risk is the risk that changes in market prices such as interest rates and unit process will affect the Gallery's income or the value of its holdings of financial instruments. The Gallery is exposed to two sources of market price risk - fluctuations in interest rates and fluctuations in the value if its financial investments.</w:t>
      </w:r>
    </w:p>
    <w:p w14:paraId="7B2F1F52" w14:textId="77777777" w:rsidR="009103CC" w:rsidRPr="001814D2" w:rsidRDefault="009103CC" w:rsidP="009103CC">
      <w:pPr>
        <w:pStyle w:val="ARbody"/>
        <w:rPr>
          <w:b/>
          <w:bCs/>
        </w:rPr>
      </w:pPr>
      <w:r w:rsidRPr="001814D2">
        <w:rPr>
          <w:b/>
          <w:bCs/>
        </w:rPr>
        <w:t>Interest rate risk</w:t>
      </w:r>
    </w:p>
    <w:p w14:paraId="59D18B7E" w14:textId="77777777" w:rsidR="009103CC" w:rsidRPr="001814D2" w:rsidRDefault="009103CC" w:rsidP="009103CC">
      <w:pPr>
        <w:pStyle w:val="ARbody"/>
      </w:pPr>
      <w:r w:rsidRPr="001814D2">
        <w:t>Interest rate risk refers to the risk that the value if financial instruments or cash flow associated with the instrument will fluctuate due to changes in market interest rates. As the Gallery has no debt obligations, exposure to interest rate fluctuations is limited to cash at bank and on deposit. These are summarised in the table below:</w:t>
      </w:r>
    </w:p>
    <w:tbl>
      <w:tblPr>
        <w:tblW w:w="5000" w:type="pct"/>
        <w:tblBorders>
          <w:bottom w:val="single" w:sz="4" w:space="0" w:color="auto"/>
          <w:insideH w:val="single" w:sz="4" w:space="0" w:color="auto"/>
        </w:tblBorders>
        <w:tblCellMar>
          <w:left w:w="0" w:type="dxa"/>
          <w:right w:w="0" w:type="dxa"/>
        </w:tblCellMar>
        <w:tblLook w:val="0000" w:firstRow="0" w:lastRow="0" w:firstColumn="0" w:lastColumn="0" w:noHBand="0" w:noVBand="0"/>
        <w:tblCaption w:val="Interest rate risk"/>
        <w:tblDescription w:val="This table provides figures for 2020 and 2021 for both the consolidated entity and parent entity."/>
      </w:tblPr>
      <w:tblGrid>
        <w:gridCol w:w="2412"/>
        <w:gridCol w:w="426"/>
        <w:gridCol w:w="989"/>
        <w:gridCol w:w="1048"/>
        <w:gridCol w:w="1050"/>
        <w:gridCol w:w="1050"/>
        <w:gridCol w:w="1048"/>
        <w:gridCol w:w="1047"/>
      </w:tblGrid>
      <w:tr w:rsidR="009103CC" w:rsidRPr="001814D2" w14:paraId="192DA165" w14:textId="77777777" w:rsidTr="002718DF">
        <w:trPr>
          <w:cantSplit/>
          <w:trHeight w:hRule="exact" w:val="332"/>
          <w:tblHeader/>
        </w:trPr>
        <w:tc>
          <w:tcPr>
            <w:tcW w:w="1329" w:type="pct"/>
            <w:tcMar>
              <w:top w:w="0" w:type="dxa"/>
              <w:left w:w="0" w:type="dxa"/>
              <w:bottom w:w="0" w:type="dxa"/>
              <w:right w:w="0" w:type="dxa"/>
            </w:tcMar>
            <w:vAlign w:val="center"/>
          </w:tcPr>
          <w:p w14:paraId="56E1409B" w14:textId="77777777" w:rsidR="009103CC" w:rsidRPr="001814D2" w:rsidRDefault="009103CC" w:rsidP="002718DF">
            <w:pPr>
              <w:pStyle w:val="Tabletext"/>
              <w:jc w:val="center"/>
            </w:pPr>
          </w:p>
        </w:tc>
        <w:tc>
          <w:tcPr>
            <w:tcW w:w="235" w:type="pct"/>
            <w:tcMar>
              <w:top w:w="0" w:type="dxa"/>
              <w:left w:w="0" w:type="dxa"/>
              <w:bottom w:w="0" w:type="dxa"/>
              <w:right w:w="0" w:type="dxa"/>
            </w:tcMar>
            <w:vAlign w:val="center"/>
          </w:tcPr>
          <w:p w14:paraId="1A78605D" w14:textId="77777777" w:rsidR="009103CC" w:rsidRPr="001814D2" w:rsidRDefault="009103CC" w:rsidP="002718DF">
            <w:pPr>
              <w:pStyle w:val="Tabletext"/>
              <w:jc w:val="center"/>
            </w:pPr>
          </w:p>
        </w:tc>
        <w:tc>
          <w:tcPr>
            <w:tcW w:w="1702" w:type="pct"/>
            <w:gridSpan w:val="3"/>
            <w:tcMar>
              <w:top w:w="0" w:type="dxa"/>
              <w:left w:w="0" w:type="dxa"/>
              <w:bottom w:w="0" w:type="dxa"/>
              <w:right w:w="0" w:type="dxa"/>
            </w:tcMar>
            <w:vAlign w:val="center"/>
          </w:tcPr>
          <w:p w14:paraId="17159266" w14:textId="77777777" w:rsidR="009103CC" w:rsidRPr="001814D2" w:rsidRDefault="009103CC" w:rsidP="002718DF">
            <w:pPr>
              <w:pStyle w:val="Tabletext"/>
              <w:jc w:val="center"/>
              <w:rPr>
                <w:rFonts w:cs="Preston"/>
                <w:b/>
                <w:bCs/>
                <w:szCs w:val="18"/>
              </w:rPr>
            </w:pPr>
            <w:r w:rsidRPr="001814D2">
              <w:rPr>
                <w:rFonts w:cs="Preston"/>
                <w:b/>
                <w:bCs/>
                <w:szCs w:val="18"/>
              </w:rPr>
              <w:t>Consolidated entity</w:t>
            </w:r>
          </w:p>
        </w:tc>
        <w:tc>
          <w:tcPr>
            <w:tcW w:w="1734" w:type="pct"/>
            <w:gridSpan w:val="3"/>
            <w:tcMar>
              <w:top w:w="0" w:type="dxa"/>
              <w:left w:w="0" w:type="dxa"/>
              <w:bottom w:w="0" w:type="dxa"/>
              <w:right w:w="0" w:type="dxa"/>
            </w:tcMar>
            <w:vAlign w:val="center"/>
          </w:tcPr>
          <w:p w14:paraId="319E18E4" w14:textId="77777777" w:rsidR="009103CC" w:rsidRPr="001814D2" w:rsidRDefault="009103CC" w:rsidP="002718DF">
            <w:pPr>
              <w:pStyle w:val="Tabletext"/>
              <w:jc w:val="center"/>
              <w:rPr>
                <w:rFonts w:cs="Preston"/>
                <w:b/>
                <w:bCs/>
                <w:szCs w:val="18"/>
              </w:rPr>
            </w:pPr>
            <w:r w:rsidRPr="001814D2">
              <w:rPr>
                <w:rFonts w:cs="Preston"/>
                <w:b/>
                <w:bCs/>
                <w:szCs w:val="18"/>
              </w:rPr>
              <w:t>Parent entity</w:t>
            </w:r>
          </w:p>
        </w:tc>
      </w:tr>
      <w:tr w:rsidR="009103CC" w:rsidRPr="001814D2" w14:paraId="23260CD7" w14:textId="77777777" w:rsidTr="002718DF">
        <w:trPr>
          <w:cantSplit/>
          <w:trHeight w:hRule="exact" w:val="775"/>
          <w:tblHeader/>
        </w:trPr>
        <w:tc>
          <w:tcPr>
            <w:tcW w:w="1329" w:type="pct"/>
            <w:tcMar>
              <w:top w:w="0" w:type="dxa"/>
              <w:left w:w="0" w:type="dxa"/>
              <w:bottom w:w="0" w:type="dxa"/>
              <w:right w:w="0" w:type="dxa"/>
            </w:tcMar>
            <w:vAlign w:val="center"/>
          </w:tcPr>
          <w:p w14:paraId="06956CDF" w14:textId="77777777" w:rsidR="009103CC" w:rsidRPr="001814D2" w:rsidRDefault="009103CC" w:rsidP="002718DF">
            <w:pPr>
              <w:pStyle w:val="Tabletext"/>
              <w:rPr>
                <w:rFonts w:cs="Preston"/>
                <w:b/>
                <w:bCs/>
                <w:szCs w:val="18"/>
              </w:rPr>
            </w:pPr>
            <w:r w:rsidRPr="001814D2">
              <w:rPr>
                <w:rFonts w:cs="Preston"/>
                <w:b/>
                <w:bCs/>
                <w:szCs w:val="18"/>
              </w:rPr>
              <w:t>Financial Asset</w:t>
            </w:r>
          </w:p>
          <w:p w14:paraId="2D7E5DF0" w14:textId="77777777" w:rsidR="009103CC" w:rsidRPr="001814D2" w:rsidRDefault="009103CC" w:rsidP="002718DF">
            <w:pPr>
              <w:pStyle w:val="Tabletext"/>
              <w:rPr>
                <w:rFonts w:cs="Preston"/>
                <w:b/>
                <w:bCs/>
                <w:szCs w:val="18"/>
              </w:rPr>
            </w:pPr>
          </w:p>
          <w:p w14:paraId="63E67922" w14:textId="77777777" w:rsidR="009103CC" w:rsidRPr="001814D2" w:rsidRDefault="009103CC" w:rsidP="002718DF">
            <w:pPr>
              <w:pStyle w:val="Tabletext"/>
              <w:rPr>
                <w:rFonts w:cs="Preston"/>
                <w:b/>
                <w:bCs/>
                <w:szCs w:val="18"/>
              </w:rPr>
            </w:pPr>
          </w:p>
        </w:tc>
        <w:tc>
          <w:tcPr>
            <w:tcW w:w="235" w:type="pct"/>
            <w:tcMar>
              <w:top w:w="0" w:type="dxa"/>
              <w:left w:w="0" w:type="dxa"/>
              <w:bottom w:w="0" w:type="dxa"/>
              <w:right w:w="0" w:type="dxa"/>
            </w:tcMar>
            <w:vAlign w:val="center"/>
          </w:tcPr>
          <w:p w14:paraId="1BC1E8FE" w14:textId="77777777" w:rsidR="009103CC" w:rsidRPr="001814D2" w:rsidRDefault="009103CC" w:rsidP="002718DF">
            <w:pPr>
              <w:pStyle w:val="Tabletext"/>
              <w:rPr>
                <w:rFonts w:cs="Preston"/>
                <w:b/>
                <w:bCs/>
                <w:szCs w:val="18"/>
              </w:rPr>
            </w:pPr>
            <w:r w:rsidRPr="001814D2">
              <w:rPr>
                <w:rFonts w:cs="Preston"/>
                <w:b/>
                <w:bCs/>
                <w:szCs w:val="18"/>
              </w:rPr>
              <w:t>Note</w:t>
            </w:r>
          </w:p>
          <w:p w14:paraId="7914115E" w14:textId="77777777" w:rsidR="009103CC" w:rsidRPr="001814D2" w:rsidRDefault="009103CC" w:rsidP="002718DF">
            <w:pPr>
              <w:pStyle w:val="Tabletext"/>
              <w:rPr>
                <w:rFonts w:cs="Preston"/>
                <w:b/>
                <w:bCs/>
                <w:szCs w:val="18"/>
              </w:rPr>
            </w:pPr>
          </w:p>
          <w:p w14:paraId="11EB2CBA" w14:textId="77777777" w:rsidR="009103CC" w:rsidRPr="001814D2" w:rsidRDefault="009103CC" w:rsidP="002718DF">
            <w:pPr>
              <w:pStyle w:val="Tabletext"/>
              <w:rPr>
                <w:rFonts w:cs="Preston"/>
                <w:b/>
                <w:bCs/>
                <w:szCs w:val="18"/>
              </w:rPr>
            </w:pPr>
          </w:p>
        </w:tc>
        <w:tc>
          <w:tcPr>
            <w:tcW w:w="545" w:type="pct"/>
            <w:tcMar>
              <w:top w:w="0" w:type="dxa"/>
              <w:left w:w="0" w:type="dxa"/>
              <w:bottom w:w="0" w:type="dxa"/>
              <w:right w:w="0" w:type="dxa"/>
            </w:tcMar>
            <w:vAlign w:val="center"/>
          </w:tcPr>
          <w:p w14:paraId="061F8C81"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035DD56F" w14:textId="77777777" w:rsidR="009103CC" w:rsidRPr="001814D2" w:rsidRDefault="009103CC" w:rsidP="002718DF">
            <w:pPr>
              <w:pStyle w:val="Tabletext"/>
              <w:jc w:val="right"/>
              <w:rPr>
                <w:rFonts w:cs="Preston"/>
                <w:b/>
                <w:bCs/>
                <w:szCs w:val="18"/>
              </w:rPr>
            </w:pPr>
          </w:p>
          <w:p w14:paraId="41D1A903" w14:textId="77777777" w:rsidR="009103CC" w:rsidRPr="001814D2" w:rsidRDefault="009103CC" w:rsidP="002718DF">
            <w:pPr>
              <w:pStyle w:val="Tabletext"/>
              <w:jc w:val="right"/>
              <w:rPr>
                <w:rFonts w:cs="Preston"/>
                <w:b/>
                <w:bCs/>
                <w:szCs w:val="18"/>
              </w:rPr>
            </w:pPr>
          </w:p>
        </w:tc>
        <w:tc>
          <w:tcPr>
            <w:tcW w:w="578" w:type="pct"/>
            <w:tcMar>
              <w:top w:w="0" w:type="dxa"/>
              <w:left w:w="0" w:type="dxa"/>
              <w:bottom w:w="0" w:type="dxa"/>
              <w:right w:w="0" w:type="dxa"/>
            </w:tcMar>
            <w:vAlign w:val="center"/>
          </w:tcPr>
          <w:p w14:paraId="234DBFF1" w14:textId="77777777" w:rsidR="009103CC" w:rsidRPr="001814D2" w:rsidRDefault="009103CC" w:rsidP="002718DF">
            <w:pPr>
              <w:pStyle w:val="Tabletext"/>
              <w:jc w:val="right"/>
              <w:rPr>
                <w:rFonts w:cs="Preston"/>
                <w:b/>
                <w:bCs/>
                <w:szCs w:val="18"/>
              </w:rPr>
            </w:pPr>
            <w:r w:rsidRPr="001814D2">
              <w:rPr>
                <w:rFonts w:cs="Preston"/>
                <w:b/>
                <w:bCs/>
                <w:szCs w:val="18"/>
              </w:rPr>
              <w:t xml:space="preserve">+ 1% </w:t>
            </w:r>
          </w:p>
          <w:p w14:paraId="78C950F2" w14:textId="77777777" w:rsidR="009103CC" w:rsidRPr="001814D2" w:rsidRDefault="009103CC" w:rsidP="002718DF">
            <w:pPr>
              <w:pStyle w:val="Tabletext"/>
              <w:jc w:val="right"/>
              <w:rPr>
                <w:rFonts w:cs="Preston"/>
                <w:b/>
                <w:bCs/>
                <w:szCs w:val="18"/>
              </w:rPr>
            </w:pPr>
            <w:r w:rsidRPr="001814D2">
              <w:rPr>
                <w:rFonts w:cs="Preston"/>
                <w:b/>
                <w:bCs/>
                <w:szCs w:val="18"/>
              </w:rPr>
              <w:t>impact</w:t>
            </w:r>
          </w:p>
          <w:p w14:paraId="5E33504B"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719C3B2A" w14:textId="77777777" w:rsidR="009103CC" w:rsidRPr="001814D2" w:rsidRDefault="009103CC" w:rsidP="002718DF">
            <w:pPr>
              <w:pStyle w:val="Tabletext"/>
              <w:jc w:val="right"/>
              <w:rPr>
                <w:rFonts w:cs="Preston"/>
                <w:b/>
                <w:bCs/>
                <w:szCs w:val="18"/>
              </w:rPr>
            </w:pPr>
          </w:p>
        </w:tc>
        <w:tc>
          <w:tcPr>
            <w:tcW w:w="579" w:type="pct"/>
            <w:tcMar>
              <w:top w:w="0" w:type="dxa"/>
              <w:left w:w="0" w:type="dxa"/>
              <w:bottom w:w="0" w:type="dxa"/>
              <w:right w:w="0" w:type="dxa"/>
            </w:tcMar>
            <w:vAlign w:val="center"/>
          </w:tcPr>
          <w:p w14:paraId="1196A602" w14:textId="77777777" w:rsidR="009103CC" w:rsidRPr="001814D2" w:rsidRDefault="009103CC" w:rsidP="002718DF">
            <w:pPr>
              <w:pStyle w:val="Tabletext"/>
              <w:jc w:val="right"/>
              <w:rPr>
                <w:rFonts w:cs="Preston"/>
                <w:b/>
                <w:bCs/>
                <w:szCs w:val="18"/>
              </w:rPr>
            </w:pPr>
            <w:r w:rsidRPr="001814D2">
              <w:rPr>
                <w:rFonts w:cs="Preston"/>
                <w:b/>
                <w:bCs/>
                <w:szCs w:val="18"/>
              </w:rPr>
              <w:t xml:space="preserve">- 1% </w:t>
            </w:r>
          </w:p>
          <w:p w14:paraId="5B6B55FE" w14:textId="77777777" w:rsidR="009103CC" w:rsidRPr="001814D2" w:rsidRDefault="009103CC" w:rsidP="002718DF">
            <w:pPr>
              <w:pStyle w:val="Tabletext"/>
              <w:jc w:val="right"/>
              <w:rPr>
                <w:rFonts w:cs="Preston"/>
                <w:b/>
                <w:bCs/>
                <w:szCs w:val="18"/>
              </w:rPr>
            </w:pPr>
            <w:r w:rsidRPr="001814D2">
              <w:rPr>
                <w:rFonts w:cs="Preston"/>
                <w:b/>
                <w:bCs/>
                <w:szCs w:val="18"/>
              </w:rPr>
              <w:t>impact</w:t>
            </w:r>
          </w:p>
          <w:p w14:paraId="3FCEE51D"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7F385C54" w14:textId="77777777" w:rsidR="009103CC" w:rsidRPr="001814D2" w:rsidRDefault="009103CC" w:rsidP="002718DF">
            <w:pPr>
              <w:pStyle w:val="Tabletext"/>
              <w:jc w:val="right"/>
              <w:rPr>
                <w:rFonts w:cs="Preston"/>
                <w:b/>
                <w:bCs/>
                <w:szCs w:val="18"/>
              </w:rPr>
            </w:pPr>
          </w:p>
        </w:tc>
        <w:tc>
          <w:tcPr>
            <w:tcW w:w="579" w:type="pct"/>
            <w:tcMar>
              <w:top w:w="0" w:type="dxa"/>
              <w:left w:w="0" w:type="dxa"/>
              <w:bottom w:w="0" w:type="dxa"/>
              <w:right w:w="0" w:type="dxa"/>
            </w:tcMar>
            <w:vAlign w:val="center"/>
          </w:tcPr>
          <w:p w14:paraId="303AF7B4"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613D9186" w14:textId="77777777" w:rsidR="009103CC" w:rsidRPr="001814D2" w:rsidRDefault="009103CC" w:rsidP="002718DF">
            <w:pPr>
              <w:pStyle w:val="Tabletext"/>
              <w:jc w:val="right"/>
              <w:rPr>
                <w:rFonts w:cs="Preston"/>
                <w:b/>
                <w:bCs/>
                <w:szCs w:val="18"/>
              </w:rPr>
            </w:pPr>
          </w:p>
          <w:p w14:paraId="1204B96B" w14:textId="77777777" w:rsidR="009103CC" w:rsidRPr="001814D2" w:rsidRDefault="009103CC" w:rsidP="002718DF">
            <w:pPr>
              <w:pStyle w:val="Tabletext"/>
              <w:jc w:val="right"/>
              <w:rPr>
                <w:rFonts w:cs="Preston"/>
                <w:b/>
                <w:bCs/>
                <w:szCs w:val="18"/>
              </w:rPr>
            </w:pPr>
          </w:p>
          <w:p w14:paraId="5A49FB63" w14:textId="77777777" w:rsidR="009103CC" w:rsidRPr="001814D2" w:rsidRDefault="009103CC" w:rsidP="002718DF">
            <w:pPr>
              <w:pStyle w:val="Tabletext"/>
              <w:jc w:val="right"/>
              <w:rPr>
                <w:rFonts w:cs="Preston"/>
                <w:b/>
                <w:bCs/>
                <w:szCs w:val="18"/>
              </w:rPr>
            </w:pPr>
          </w:p>
        </w:tc>
        <w:tc>
          <w:tcPr>
            <w:tcW w:w="578" w:type="pct"/>
            <w:tcMar>
              <w:top w:w="0" w:type="dxa"/>
              <w:left w:w="0" w:type="dxa"/>
              <w:bottom w:w="0" w:type="dxa"/>
              <w:right w:w="0" w:type="dxa"/>
            </w:tcMar>
            <w:vAlign w:val="center"/>
          </w:tcPr>
          <w:p w14:paraId="633DE3AC" w14:textId="77777777" w:rsidR="009103CC" w:rsidRPr="001814D2" w:rsidRDefault="009103CC" w:rsidP="002718DF">
            <w:pPr>
              <w:pStyle w:val="Tabletext"/>
              <w:jc w:val="right"/>
              <w:rPr>
                <w:rFonts w:cs="Preston"/>
                <w:b/>
                <w:bCs/>
                <w:szCs w:val="18"/>
              </w:rPr>
            </w:pPr>
            <w:r w:rsidRPr="001814D2">
              <w:rPr>
                <w:rFonts w:cs="Preston"/>
                <w:b/>
                <w:bCs/>
                <w:szCs w:val="18"/>
              </w:rPr>
              <w:t xml:space="preserve">+ 1% </w:t>
            </w:r>
          </w:p>
          <w:p w14:paraId="58542E1A" w14:textId="77777777" w:rsidR="009103CC" w:rsidRPr="001814D2" w:rsidRDefault="009103CC" w:rsidP="002718DF">
            <w:pPr>
              <w:pStyle w:val="Tabletext"/>
              <w:jc w:val="right"/>
              <w:rPr>
                <w:rFonts w:cs="Preston"/>
                <w:b/>
                <w:bCs/>
                <w:szCs w:val="18"/>
              </w:rPr>
            </w:pPr>
            <w:r w:rsidRPr="001814D2">
              <w:rPr>
                <w:rFonts w:cs="Preston"/>
                <w:b/>
                <w:bCs/>
                <w:szCs w:val="18"/>
              </w:rPr>
              <w:t>impact</w:t>
            </w:r>
          </w:p>
          <w:p w14:paraId="30797583"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3E9DE2CE" w14:textId="77777777" w:rsidR="009103CC" w:rsidRPr="001814D2" w:rsidRDefault="009103CC" w:rsidP="002718DF">
            <w:pPr>
              <w:pStyle w:val="Tabletext"/>
              <w:jc w:val="right"/>
              <w:rPr>
                <w:rFonts w:cs="Preston"/>
                <w:b/>
                <w:bCs/>
                <w:szCs w:val="18"/>
              </w:rPr>
            </w:pPr>
          </w:p>
        </w:tc>
        <w:tc>
          <w:tcPr>
            <w:tcW w:w="578" w:type="pct"/>
            <w:tcMar>
              <w:top w:w="0" w:type="dxa"/>
              <w:left w:w="0" w:type="dxa"/>
              <w:bottom w:w="0" w:type="dxa"/>
              <w:right w:w="0" w:type="dxa"/>
            </w:tcMar>
            <w:vAlign w:val="center"/>
          </w:tcPr>
          <w:p w14:paraId="4A12C5DD" w14:textId="77777777" w:rsidR="009103CC" w:rsidRPr="001814D2" w:rsidRDefault="009103CC" w:rsidP="002718DF">
            <w:pPr>
              <w:pStyle w:val="Tabletext"/>
              <w:jc w:val="right"/>
              <w:rPr>
                <w:rFonts w:cs="Preston"/>
                <w:b/>
                <w:bCs/>
                <w:szCs w:val="18"/>
              </w:rPr>
            </w:pPr>
            <w:r w:rsidRPr="001814D2">
              <w:rPr>
                <w:rFonts w:cs="Preston"/>
                <w:b/>
                <w:bCs/>
                <w:szCs w:val="18"/>
              </w:rPr>
              <w:t xml:space="preserve">- 1% </w:t>
            </w:r>
          </w:p>
          <w:p w14:paraId="4D3D7EA2" w14:textId="77777777" w:rsidR="009103CC" w:rsidRPr="001814D2" w:rsidRDefault="009103CC" w:rsidP="002718DF">
            <w:pPr>
              <w:pStyle w:val="Tabletext"/>
              <w:jc w:val="right"/>
              <w:rPr>
                <w:rFonts w:cs="Preston"/>
                <w:b/>
                <w:bCs/>
                <w:szCs w:val="18"/>
              </w:rPr>
            </w:pPr>
            <w:r w:rsidRPr="001814D2">
              <w:rPr>
                <w:rFonts w:cs="Preston"/>
                <w:b/>
                <w:bCs/>
                <w:szCs w:val="18"/>
              </w:rPr>
              <w:t>impact</w:t>
            </w:r>
          </w:p>
          <w:p w14:paraId="4B2FF467" w14:textId="77777777" w:rsidR="009103CC" w:rsidRPr="001814D2" w:rsidRDefault="009103CC" w:rsidP="002718DF">
            <w:pPr>
              <w:pStyle w:val="Tabletext"/>
              <w:jc w:val="right"/>
              <w:rPr>
                <w:rFonts w:cs="Preston"/>
                <w:b/>
                <w:bCs/>
                <w:szCs w:val="18"/>
              </w:rPr>
            </w:pPr>
            <w:r w:rsidRPr="001814D2">
              <w:rPr>
                <w:rFonts w:cs="Preston"/>
                <w:b/>
                <w:bCs/>
                <w:szCs w:val="18"/>
              </w:rPr>
              <w:t>$'000</w:t>
            </w:r>
          </w:p>
          <w:p w14:paraId="09BFEE4F" w14:textId="77777777" w:rsidR="009103CC" w:rsidRPr="001814D2" w:rsidRDefault="009103CC" w:rsidP="002718DF">
            <w:pPr>
              <w:pStyle w:val="Tabletext"/>
              <w:jc w:val="right"/>
              <w:rPr>
                <w:rFonts w:cs="Preston"/>
                <w:b/>
                <w:bCs/>
                <w:szCs w:val="18"/>
              </w:rPr>
            </w:pPr>
          </w:p>
        </w:tc>
      </w:tr>
      <w:tr w:rsidR="009103CC" w:rsidRPr="001814D2" w14:paraId="3C901EFE" w14:textId="77777777" w:rsidTr="002718DF">
        <w:trPr>
          <w:cantSplit/>
          <w:trHeight w:hRule="exact" w:val="332"/>
        </w:trPr>
        <w:tc>
          <w:tcPr>
            <w:tcW w:w="1329" w:type="pct"/>
            <w:tcMar>
              <w:top w:w="0" w:type="dxa"/>
              <w:left w:w="0" w:type="dxa"/>
              <w:bottom w:w="0" w:type="dxa"/>
              <w:right w:w="0" w:type="dxa"/>
            </w:tcMar>
            <w:vAlign w:val="center"/>
          </w:tcPr>
          <w:p w14:paraId="05C75A2B" w14:textId="77777777" w:rsidR="009103CC" w:rsidRPr="001814D2" w:rsidRDefault="009103CC" w:rsidP="002718DF">
            <w:pPr>
              <w:pStyle w:val="Tabletext"/>
              <w:rPr>
                <w:rFonts w:cs="Preston"/>
                <w:szCs w:val="18"/>
              </w:rPr>
            </w:pPr>
            <w:r w:rsidRPr="001814D2">
              <w:rPr>
                <w:rFonts w:cs="Preston"/>
                <w:szCs w:val="18"/>
              </w:rPr>
              <w:t>Cash &amp; cash equivalents</w:t>
            </w:r>
          </w:p>
        </w:tc>
        <w:tc>
          <w:tcPr>
            <w:tcW w:w="235" w:type="pct"/>
            <w:tcMar>
              <w:top w:w="0" w:type="dxa"/>
              <w:left w:w="0" w:type="dxa"/>
              <w:bottom w:w="0" w:type="dxa"/>
              <w:right w:w="0" w:type="dxa"/>
            </w:tcMar>
            <w:vAlign w:val="center"/>
          </w:tcPr>
          <w:p w14:paraId="4BDAD0BA" w14:textId="77777777" w:rsidR="009103CC" w:rsidRPr="001814D2" w:rsidRDefault="009103CC" w:rsidP="002718DF">
            <w:pPr>
              <w:pStyle w:val="Tabletext"/>
              <w:rPr>
                <w:rFonts w:cs="Preston"/>
                <w:szCs w:val="18"/>
              </w:rPr>
            </w:pPr>
            <w:r w:rsidRPr="001814D2">
              <w:rPr>
                <w:rFonts w:cs="Preston"/>
                <w:szCs w:val="18"/>
              </w:rPr>
              <w:t>5</w:t>
            </w:r>
          </w:p>
        </w:tc>
        <w:tc>
          <w:tcPr>
            <w:tcW w:w="545" w:type="pct"/>
            <w:tcMar>
              <w:top w:w="0" w:type="dxa"/>
              <w:left w:w="0" w:type="dxa"/>
              <w:bottom w:w="0" w:type="dxa"/>
              <w:right w:w="0" w:type="dxa"/>
            </w:tcMar>
            <w:vAlign w:val="center"/>
          </w:tcPr>
          <w:p w14:paraId="248656C0" w14:textId="77777777" w:rsidR="009103CC" w:rsidRPr="001814D2" w:rsidRDefault="009103CC" w:rsidP="002718DF">
            <w:pPr>
              <w:pStyle w:val="Tabletext"/>
              <w:jc w:val="right"/>
              <w:rPr>
                <w:rFonts w:cs="Preston"/>
                <w:szCs w:val="18"/>
              </w:rPr>
            </w:pPr>
            <w:r w:rsidRPr="001814D2">
              <w:rPr>
                <w:rFonts w:cs="Preston"/>
                <w:szCs w:val="18"/>
              </w:rPr>
              <w:t>3,549</w:t>
            </w:r>
          </w:p>
        </w:tc>
        <w:tc>
          <w:tcPr>
            <w:tcW w:w="578" w:type="pct"/>
            <w:tcMar>
              <w:top w:w="0" w:type="dxa"/>
              <w:left w:w="0" w:type="dxa"/>
              <w:bottom w:w="0" w:type="dxa"/>
              <w:right w:w="0" w:type="dxa"/>
            </w:tcMar>
            <w:vAlign w:val="center"/>
          </w:tcPr>
          <w:p w14:paraId="50BABBCC" w14:textId="77777777" w:rsidR="009103CC" w:rsidRPr="001814D2" w:rsidRDefault="009103CC" w:rsidP="002718DF">
            <w:pPr>
              <w:pStyle w:val="Tabletext"/>
              <w:jc w:val="right"/>
              <w:rPr>
                <w:rFonts w:cs="Preston"/>
                <w:szCs w:val="18"/>
              </w:rPr>
            </w:pPr>
            <w:r w:rsidRPr="001814D2">
              <w:rPr>
                <w:rFonts w:cs="Preston"/>
                <w:szCs w:val="18"/>
              </w:rPr>
              <w:t>35</w:t>
            </w:r>
          </w:p>
        </w:tc>
        <w:tc>
          <w:tcPr>
            <w:tcW w:w="579" w:type="pct"/>
            <w:tcMar>
              <w:top w:w="0" w:type="dxa"/>
              <w:left w:w="0" w:type="dxa"/>
              <w:bottom w:w="0" w:type="dxa"/>
              <w:right w:w="0" w:type="dxa"/>
            </w:tcMar>
            <w:vAlign w:val="center"/>
          </w:tcPr>
          <w:p w14:paraId="26C355DB" w14:textId="77777777" w:rsidR="009103CC" w:rsidRPr="001814D2" w:rsidRDefault="009103CC" w:rsidP="002718DF">
            <w:pPr>
              <w:pStyle w:val="Tabletext"/>
              <w:jc w:val="right"/>
              <w:rPr>
                <w:rFonts w:cs="Preston"/>
                <w:szCs w:val="18"/>
              </w:rPr>
            </w:pPr>
            <w:r w:rsidRPr="001814D2">
              <w:rPr>
                <w:rFonts w:cs="Preston"/>
                <w:szCs w:val="18"/>
              </w:rPr>
              <w:t>35</w:t>
            </w:r>
          </w:p>
        </w:tc>
        <w:tc>
          <w:tcPr>
            <w:tcW w:w="579" w:type="pct"/>
            <w:tcMar>
              <w:top w:w="0" w:type="dxa"/>
              <w:left w:w="0" w:type="dxa"/>
              <w:bottom w:w="0" w:type="dxa"/>
              <w:right w:w="0" w:type="dxa"/>
            </w:tcMar>
            <w:vAlign w:val="center"/>
          </w:tcPr>
          <w:p w14:paraId="2EC176BF" w14:textId="77777777" w:rsidR="009103CC" w:rsidRPr="001814D2" w:rsidRDefault="009103CC" w:rsidP="002718DF">
            <w:pPr>
              <w:pStyle w:val="Tabletext"/>
              <w:jc w:val="right"/>
              <w:rPr>
                <w:rFonts w:cs="Preston"/>
                <w:szCs w:val="18"/>
              </w:rPr>
            </w:pPr>
            <w:r w:rsidRPr="001814D2">
              <w:rPr>
                <w:rFonts w:cs="Preston"/>
                <w:szCs w:val="18"/>
              </w:rPr>
              <w:t>3,479</w:t>
            </w:r>
          </w:p>
        </w:tc>
        <w:tc>
          <w:tcPr>
            <w:tcW w:w="578" w:type="pct"/>
            <w:tcMar>
              <w:top w:w="0" w:type="dxa"/>
              <w:left w:w="0" w:type="dxa"/>
              <w:bottom w:w="0" w:type="dxa"/>
              <w:right w:w="0" w:type="dxa"/>
            </w:tcMar>
            <w:vAlign w:val="center"/>
          </w:tcPr>
          <w:p w14:paraId="4EF53C1A" w14:textId="77777777" w:rsidR="009103CC" w:rsidRPr="001814D2" w:rsidRDefault="009103CC" w:rsidP="002718DF">
            <w:pPr>
              <w:pStyle w:val="Tabletext"/>
              <w:jc w:val="right"/>
              <w:rPr>
                <w:rFonts w:cs="Preston"/>
                <w:szCs w:val="18"/>
              </w:rPr>
            </w:pPr>
            <w:r w:rsidRPr="001814D2">
              <w:rPr>
                <w:rFonts w:cs="Preston"/>
                <w:szCs w:val="18"/>
              </w:rPr>
              <w:t>35</w:t>
            </w:r>
          </w:p>
        </w:tc>
        <w:tc>
          <w:tcPr>
            <w:tcW w:w="578" w:type="pct"/>
            <w:tcMar>
              <w:top w:w="0" w:type="dxa"/>
              <w:left w:w="0" w:type="dxa"/>
              <w:bottom w:w="0" w:type="dxa"/>
              <w:right w:w="0" w:type="dxa"/>
            </w:tcMar>
            <w:vAlign w:val="center"/>
          </w:tcPr>
          <w:p w14:paraId="310F8C8F" w14:textId="77777777" w:rsidR="009103CC" w:rsidRPr="001814D2" w:rsidRDefault="009103CC" w:rsidP="002718DF">
            <w:pPr>
              <w:pStyle w:val="Tabletext"/>
              <w:jc w:val="right"/>
              <w:rPr>
                <w:rFonts w:cs="Preston"/>
                <w:szCs w:val="18"/>
              </w:rPr>
            </w:pPr>
            <w:r w:rsidRPr="001814D2">
              <w:rPr>
                <w:rFonts w:cs="Preston"/>
                <w:szCs w:val="18"/>
              </w:rPr>
              <w:t>35</w:t>
            </w:r>
          </w:p>
        </w:tc>
      </w:tr>
      <w:tr w:rsidR="009103CC" w:rsidRPr="001814D2" w14:paraId="0BE0F994" w14:textId="77777777" w:rsidTr="002718DF">
        <w:trPr>
          <w:cantSplit/>
          <w:trHeight w:hRule="exact" w:val="332"/>
        </w:trPr>
        <w:tc>
          <w:tcPr>
            <w:tcW w:w="1329" w:type="pct"/>
            <w:tcMar>
              <w:top w:w="0" w:type="dxa"/>
              <w:left w:w="0" w:type="dxa"/>
              <w:bottom w:w="0" w:type="dxa"/>
              <w:right w:w="0" w:type="dxa"/>
            </w:tcMar>
            <w:vAlign w:val="center"/>
          </w:tcPr>
          <w:p w14:paraId="0001D656" w14:textId="77777777" w:rsidR="009103CC" w:rsidRPr="001814D2" w:rsidRDefault="009103CC" w:rsidP="002718DF">
            <w:pPr>
              <w:pStyle w:val="Tabletext"/>
              <w:rPr>
                <w:rFonts w:cs="Preston"/>
                <w:szCs w:val="18"/>
              </w:rPr>
            </w:pPr>
            <w:r w:rsidRPr="001814D2">
              <w:rPr>
                <w:rFonts w:cs="Preston"/>
                <w:szCs w:val="18"/>
              </w:rPr>
              <w:t>Term deposits</w:t>
            </w:r>
          </w:p>
        </w:tc>
        <w:tc>
          <w:tcPr>
            <w:tcW w:w="235" w:type="pct"/>
            <w:tcMar>
              <w:top w:w="0" w:type="dxa"/>
              <w:left w:w="0" w:type="dxa"/>
              <w:bottom w:w="0" w:type="dxa"/>
              <w:right w:w="0" w:type="dxa"/>
            </w:tcMar>
            <w:vAlign w:val="center"/>
          </w:tcPr>
          <w:p w14:paraId="61884F79" w14:textId="77777777" w:rsidR="009103CC" w:rsidRPr="001814D2" w:rsidRDefault="009103CC" w:rsidP="002718DF">
            <w:pPr>
              <w:pStyle w:val="Tabletext"/>
              <w:rPr>
                <w:rFonts w:cs="Preston"/>
                <w:szCs w:val="18"/>
              </w:rPr>
            </w:pPr>
            <w:r w:rsidRPr="001814D2">
              <w:rPr>
                <w:rFonts w:cs="Preston"/>
                <w:szCs w:val="18"/>
              </w:rPr>
              <w:t>8</w:t>
            </w:r>
          </w:p>
        </w:tc>
        <w:tc>
          <w:tcPr>
            <w:tcW w:w="545" w:type="pct"/>
            <w:tcMar>
              <w:top w:w="0" w:type="dxa"/>
              <w:left w:w="0" w:type="dxa"/>
              <w:bottom w:w="0" w:type="dxa"/>
              <w:right w:w="0" w:type="dxa"/>
            </w:tcMar>
            <w:vAlign w:val="center"/>
          </w:tcPr>
          <w:p w14:paraId="455DB192" w14:textId="77777777" w:rsidR="009103CC" w:rsidRPr="001814D2" w:rsidRDefault="009103CC" w:rsidP="002718DF">
            <w:pPr>
              <w:pStyle w:val="Tabletext"/>
              <w:jc w:val="right"/>
              <w:rPr>
                <w:rFonts w:cs="Preston"/>
                <w:szCs w:val="18"/>
              </w:rPr>
            </w:pPr>
            <w:r w:rsidRPr="001814D2">
              <w:rPr>
                <w:rFonts w:cs="Preston"/>
                <w:szCs w:val="18"/>
              </w:rPr>
              <w:t>750</w:t>
            </w:r>
          </w:p>
        </w:tc>
        <w:tc>
          <w:tcPr>
            <w:tcW w:w="578" w:type="pct"/>
            <w:tcMar>
              <w:top w:w="0" w:type="dxa"/>
              <w:left w:w="0" w:type="dxa"/>
              <w:bottom w:w="0" w:type="dxa"/>
              <w:right w:w="0" w:type="dxa"/>
            </w:tcMar>
            <w:vAlign w:val="center"/>
          </w:tcPr>
          <w:p w14:paraId="367202DC" w14:textId="77777777" w:rsidR="009103CC" w:rsidRPr="001814D2" w:rsidRDefault="009103CC" w:rsidP="002718DF">
            <w:pPr>
              <w:pStyle w:val="Tabletext"/>
              <w:jc w:val="right"/>
              <w:rPr>
                <w:rFonts w:cs="Preston"/>
                <w:szCs w:val="18"/>
              </w:rPr>
            </w:pPr>
            <w:r w:rsidRPr="001814D2">
              <w:rPr>
                <w:rFonts w:cs="Preston"/>
                <w:szCs w:val="18"/>
              </w:rPr>
              <w:t>8</w:t>
            </w:r>
          </w:p>
        </w:tc>
        <w:tc>
          <w:tcPr>
            <w:tcW w:w="579" w:type="pct"/>
            <w:tcMar>
              <w:top w:w="0" w:type="dxa"/>
              <w:left w:w="0" w:type="dxa"/>
              <w:bottom w:w="0" w:type="dxa"/>
              <w:right w:w="0" w:type="dxa"/>
            </w:tcMar>
            <w:vAlign w:val="center"/>
          </w:tcPr>
          <w:p w14:paraId="4EE47D13" w14:textId="77777777" w:rsidR="009103CC" w:rsidRPr="001814D2" w:rsidRDefault="009103CC" w:rsidP="002718DF">
            <w:pPr>
              <w:pStyle w:val="Tabletext"/>
              <w:jc w:val="right"/>
              <w:rPr>
                <w:rFonts w:cs="Preston"/>
                <w:szCs w:val="18"/>
              </w:rPr>
            </w:pPr>
            <w:r w:rsidRPr="001814D2">
              <w:rPr>
                <w:rFonts w:cs="Preston"/>
                <w:szCs w:val="18"/>
              </w:rPr>
              <w:t>8</w:t>
            </w:r>
          </w:p>
        </w:tc>
        <w:tc>
          <w:tcPr>
            <w:tcW w:w="579" w:type="pct"/>
            <w:tcMar>
              <w:top w:w="0" w:type="dxa"/>
              <w:left w:w="0" w:type="dxa"/>
              <w:bottom w:w="0" w:type="dxa"/>
              <w:right w:w="0" w:type="dxa"/>
            </w:tcMar>
            <w:vAlign w:val="center"/>
          </w:tcPr>
          <w:p w14:paraId="2E9F22DC" w14:textId="77777777" w:rsidR="009103CC" w:rsidRPr="001814D2" w:rsidRDefault="009103CC" w:rsidP="002718DF">
            <w:pPr>
              <w:pStyle w:val="Tabletext"/>
              <w:jc w:val="right"/>
              <w:rPr>
                <w:rFonts w:cs="Preston"/>
                <w:szCs w:val="18"/>
              </w:rPr>
            </w:pPr>
            <w:r w:rsidRPr="001814D2">
              <w:rPr>
                <w:rFonts w:cs="Preston"/>
                <w:szCs w:val="18"/>
              </w:rPr>
              <w:t>750</w:t>
            </w:r>
          </w:p>
        </w:tc>
        <w:tc>
          <w:tcPr>
            <w:tcW w:w="578" w:type="pct"/>
            <w:tcMar>
              <w:top w:w="0" w:type="dxa"/>
              <w:left w:w="0" w:type="dxa"/>
              <w:bottom w:w="0" w:type="dxa"/>
              <w:right w:w="0" w:type="dxa"/>
            </w:tcMar>
            <w:vAlign w:val="center"/>
          </w:tcPr>
          <w:p w14:paraId="2A092D69" w14:textId="77777777" w:rsidR="009103CC" w:rsidRPr="001814D2" w:rsidRDefault="009103CC" w:rsidP="002718DF">
            <w:pPr>
              <w:pStyle w:val="Tabletext"/>
              <w:jc w:val="right"/>
              <w:rPr>
                <w:rFonts w:cs="Preston"/>
                <w:szCs w:val="18"/>
              </w:rPr>
            </w:pPr>
            <w:r w:rsidRPr="001814D2">
              <w:rPr>
                <w:rFonts w:cs="Preston"/>
                <w:szCs w:val="18"/>
              </w:rPr>
              <w:t>8</w:t>
            </w:r>
          </w:p>
        </w:tc>
        <w:tc>
          <w:tcPr>
            <w:tcW w:w="578" w:type="pct"/>
            <w:tcMar>
              <w:top w:w="0" w:type="dxa"/>
              <w:left w:w="0" w:type="dxa"/>
              <w:bottom w:w="0" w:type="dxa"/>
              <w:right w:w="0" w:type="dxa"/>
            </w:tcMar>
            <w:vAlign w:val="center"/>
          </w:tcPr>
          <w:p w14:paraId="3D1FE6AB" w14:textId="77777777" w:rsidR="009103CC" w:rsidRPr="001814D2" w:rsidRDefault="009103CC" w:rsidP="002718DF">
            <w:pPr>
              <w:pStyle w:val="Tabletext"/>
              <w:jc w:val="right"/>
              <w:rPr>
                <w:rFonts w:cs="Preston"/>
                <w:szCs w:val="18"/>
              </w:rPr>
            </w:pPr>
            <w:r w:rsidRPr="001814D2">
              <w:rPr>
                <w:rFonts w:cs="Preston"/>
                <w:szCs w:val="18"/>
              </w:rPr>
              <w:t>8</w:t>
            </w:r>
          </w:p>
        </w:tc>
      </w:tr>
    </w:tbl>
    <w:p w14:paraId="50D352DE" w14:textId="77777777" w:rsidR="009103CC" w:rsidRPr="001814D2" w:rsidRDefault="009103CC" w:rsidP="009103CC">
      <w:pPr>
        <w:pStyle w:val="Tabletext"/>
      </w:pPr>
    </w:p>
    <w:p w14:paraId="561F0004" w14:textId="77777777" w:rsidR="009103CC" w:rsidRPr="005E6562" w:rsidRDefault="009103CC" w:rsidP="009103CC">
      <w:pPr>
        <w:pStyle w:val="ARbody"/>
        <w:rPr>
          <w:b/>
          <w:bCs/>
        </w:rPr>
      </w:pPr>
      <w:r w:rsidRPr="005E6562">
        <w:rPr>
          <w:b/>
          <w:bCs/>
        </w:rPr>
        <w:t>Unit price risk</w:t>
      </w:r>
    </w:p>
    <w:p w14:paraId="7E506C78" w14:textId="77777777" w:rsidR="009103CC" w:rsidRPr="001814D2" w:rsidRDefault="009103CC" w:rsidP="009103CC">
      <w:pPr>
        <w:pStyle w:val="ARbody"/>
      </w:pPr>
      <w:r w:rsidRPr="001814D2">
        <w:t>Unit price risk arises from fluctuations in the market values of financial investments. During the current financial year, global markets were impacted due to economic uncertainty caused by the Covid-19 pandemic. In response to the increased market volatility, the Gallery has invested any funding for the Sydney Modern project in TCorp's Short-Term Income Fund which is weighted heavily towards cash and other defensive assets.</w:t>
      </w:r>
    </w:p>
    <w:p w14:paraId="6E5E41AF" w14:textId="77777777" w:rsidR="009103CC" w:rsidRPr="001814D2" w:rsidRDefault="009103CC" w:rsidP="009103CC">
      <w:pPr>
        <w:pStyle w:val="ARbody"/>
      </w:pPr>
      <w:r w:rsidRPr="001814D2">
        <w:t xml:space="preserve">In accordance with the Gallery's Investment Policy and in line with NSW Treasurer’s Direction, the only equity based investments permitted are in TCorp, a government approved investment fund. The Gallery's investments are represented by a number of units in managed investments within the facilities. Each facility has different investment horizons and comprises a mix of asset classes appropriate to the investment horizon. </w:t>
      </w:r>
    </w:p>
    <w:p w14:paraId="310ACDC9" w14:textId="77777777" w:rsidR="009103CC" w:rsidRPr="001814D2" w:rsidRDefault="009103CC" w:rsidP="009103CC">
      <w:pPr>
        <w:pStyle w:val="ARbody"/>
      </w:pPr>
      <w:r w:rsidRPr="001814D2">
        <w:t xml:space="preserve">The value of these investments is determined by reference to quoted current bid prices at the close of business on the reporting date. Any change in unit price impacts directly on profit (rather than equity). The movement in the fair value the investments incorporates distributions as well as unrealised movements in fair value and is reported in the statement of profit or loss and other comprehensive income under the line item ‘Investment revenue’. </w:t>
      </w:r>
    </w:p>
    <w:p w14:paraId="06857190" w14:textId="77777777" w:rsidR="009103CC" w:rsidRPr="001814D2" w:rsidRDefault="009103CC" w:rsidP="009103CC">
      <w:pPr>
        <w:pStyle w:val="ARbody"/>
      </w:pPr>
      <w:r w:rsidRPr="001814D2">
        <w:t>The following table illustrates sensitivities to the Gallery's exposures to changes in the market. The table indicates the impact on how profit at the end of the reporting year would have been affected by changes in the market that management considers to be reasonably possible. These sensitivities assume that the movement in a particular variable is independent of other variables.</w:t>
      </w:r>
    </w:p>
    <w:tbl>
      <w:tblPr>
        <w:tblW w:w="5000" w:type="pct"/>
        <w:tblCellMar>
          <w:left w:w="0" w:type="dxa"/>
          <w:right w:w="0" w:type="dxa"/>
        </w:tblCellMar>
        <w:tblLook w:val="0000" w:firstRow="0" w:lastRow="0" w:firstColumn="0" w:lastColumn="0" w:noHBand="0" w:noVBand="0"/>
        <w:tblCaption w:val="Interest rate risk"/>
        <w:tblDescription w:val="This table provides figures for 2020 and 2021 for both the consolidated entity and parent entity."/>
      </w:tblPr>
      <w:tblGrid>
        <w:gridCol w:w="2560"/>
        <w:gridCol w:w="1085"/>
        <w:gridCol w:w="1085"/>
        <w:gridCol w:w="1085"/>
        <w:gridCol w:w="1085"/>
        <w:gridCol w:w="1085"/>
        <w:gridCol w:w="1085"/>
      </w:tblGrid>
      <w:tr w:rsidR="009103CC" w:rsidRPr="005E6562" w14:paraId="531269D5" w14:textId="77777777" w:rsidTr="002718DF">
        <w:trPr>
          <w:cantSplit/>
          <w:trHeight w:hRule="exact" w:val="332"/>
          <w:tblHeader/>
        </w:trPr>
        <w:tc>
          <w:tcPr>
            <w:tcW w:w="1412" w:type="pct"/>
            <w:tcBorders>
              <w:bottom w:val="single" w:sz="4" w:space="0" w:color="auto"/>
            </w:tcBorders>
            <w:tcMar>
              <w:top w:w="0" w:type="dxa"/>
              <w:left w:w="0" w:type="dxa"/>
              <w:bottom w:w="0" w:type="dxa"/>
              <w:right w:w="0" w:type="dxa"/>
            </w:tcMar>
            <w:vAlign w:val="center"/>
          </w:tcPr>
          <w:p w14:paraId="4862571C" w14:textId="77777777" w:rsidR="009103CC" w:rsidRPr="005E6562" w:rsidRDefault="009103CC" w:rsidP="002718DF">
            <w:pPr>
              <w:pStyle w:val="Tabletext"/>
              <w:jc w:val="center"/>
              <w:rPr>
                <w:b/>
                <w:bCs/>
              </w:rPr>
            </w:pPr>
          </w:p>
        </w:tc>
        <w:tc>
          <w:tcPr>
            <w:tcW w:w="1794" w:type="pct"/>
            <w:gridSpan w:val="3"/>
            <w:tcBorders>
              <w:bottom w:val="single" w:sz="4" w:space="0" w:color="auto"/>
            </w:tcBorders>
            <w:tcMar>
              <w:top w:w="0" w:type="dxa"/>
              <w:left w:w="0" w:type="dxa"/>
              <w:bottom w:w="0" w:type="dxa"/>
              <w:right w:w="0" w:type="dxa"/>
            </w:tcMar>
            <w:vAlign w:val="center"/>
          </w:tcPr>
          <w:p w14:paraId="7FB4B70B" w14:textId="77777777" w:rsidR="009103CC" w:rsidRPr="005E6562" w:rsidRDefault="009103CC" w:rsidP="002718DF">
            <w:pPr>
              <w:pStyle w:val="Tabletext"/>
              <w:jc w:val="center"/>
              <w:rPr>
                <w:rFonts w:cs="Preston"/>
                <w:b/>
                <w:bCs/>
                <w:szCs w:val="18"/>
              </w:rPr>
            </w:pPr>
            <w:r w:rsidRPr="005E6562">
              <w:rPr>
                <w:rFonts w:cs="Preston"/>
                <w:b/>
                <w:bCs/>
                <w:szCs w:val="18"/>
              </w:rPr>
              <w:t>Consolidated entity</w:t>
            </w:r>
          </w:p>
        </w:tc>
        <w:tc>
          <w:tcPr>
            <w:tcW w:w="1794" w:type="pct"/>
            <w:gridSpan w:val="3"/>
            <w:tcBorders>
              <w:bottom w:val="single" w:sz="4" w:space="0" w:color="auto"/>
            </w:tcBorders>
            <w:tcMar>
              <w:top w:w="0" w:type="dxa"/>
              <w:left w:w="0" w:type="dxa"/>
              <w:bottom w:w="0" w:type="dxa"/>
              <w:right w:w="0" w:type="dxa"/>
            </w:tcMar>
            <w:vAlign w:val="center"/>
          </w:tcPr>
          <w:p w14:paraId="52DF1416" w14:textId="77777777" w:rsidR="009103CC" w:rsidRPr="005E6562" w:rsidRDefault="009103CC" w:rsidP="002718DF">
            <w:pPr>
              <w:pStyle w:val="Tabletext"/>
              <w:jc w:val="center"/>
              <w:rPr>
                <w:rFonts w:cs="Preston"/>
                <w:b/>
                <w:bCs/>
                <w:szCs w:val="18"/>
              </w:rPr>
            </w:pPr>
            <w:r w:rsidRPr="005E6562">
              <w:rPr>
                <w:rFonts w:cs="Preston"/>
                <w:b/>
                <w:bCs/>
                <w:szCs w:val="18"/>
              </w:rPr>
              <w:t>Parent entity</w:t>
            </w:r>
          </w:p>
        </w:tc>
      </w:tr>
      <w:tr w:rsidR="009103CC" w:rsidRPr="005E6562" w14:paraId="12813FA7" w14:textId="77777777" w:rsidTr="002718DF">
        <w:trPr>
          <w:cantSplit/>
          <w:trHeight w:hRule="exact" w:val="553"/>
          <w:tblHeader/>
        </w:trPr>
        <w:tc>
          <w:tcPr>
            <w:tcW w:w="1412" w:type="pct"/>
            <w:tcBorders>
              <w:top w:val="single" w:sz="4" w:space="0" w:color="auto"/>
              <w:bottom w:val="single" w:sz="4" w:space="0" w:color="auto"/>
            </w:tcBorders>
            <w:tcMar>
              <w:top w:w="0" w:type="dxa"/>
              <w:left w:w="0" w:type="dxa"/>
              <w:bottom w:w="0" w:type="dxa"/>
              <w:right w:w="0" w:type="dxa"/>
            </w:tcMar>
            <w:vAlign w:val="center"/>
          </w:tcPr>
          <w:p w14:paraId="0472E20E" w14:textId="77777777" w:rsidR="009103CC" w:rsidRPr="005E6562" w:rsidRDefault="009103CC" w:rsidP="002718DF">
            <w:pPr>
              <w:pStyle w:val="Tabletext"/>
              <w:rPr>
                <w:rFonts w:cs="Preston"/>
                <w:b/>
                <w:bCs/>
                <w:szCs w:val="18"/>
              </w:rPr>
            </w:pPr>
            <w:r w:rsidRPr="005E6562">
              <w:rPr>
                <w:rFonts w:cs="Preston"/>
                <w:b/>
                <w:bCs/>
                <w:szCs w:val="18"/>
              </w:rPr>
              <w:t>Facility</w:t>
            </w:r>
          </w:p>
          <w:p w14:paraId="4656E61D" w14:textId="77777777" w:rsidR="009103CC" w:rsidRPr="005E6562" w:rsidRDefault="009103CC" w:rsidP="002718DF">
            <w:pPr>
              <w:pStyle w:val="Tabletext"/>
              <w:rPr>
                <w:rFonts w:cs="Preston"/>
                <w:b/>
                <w:bCs/>
                <w:szCs w:val="18"/>
              </w:rPr>
            </w:pPr>
          </w:p>
        </w:tc>
        <w:tc>
          <w:tcPr>
            <w:tcW w:w="598" w:type="pct"/>
            <w:tcBorders>
              <w:top w:val="single" w:sz="4" w:space="0" w:color="auto"/>
              <w:bottom w:val="single" w:sz="4" w:space="0" w:color="auto"/>
            </w:tcBorders>
            <w:tcMar>
              <w:top w:w="0" w:type="dxa"/>
              <w:left w:w="0" w:type="dxa"/>
              <w:bottom w:w="0" w:type="dxa"/>
              <w:right w:w="0" w:type="dxa"/>
            </w:tcMar>
            <w:vAlign w:val="center"/>
          </w:tcPr>
          <w:p w14:paraId="0EC6B4C3" w14:textId="77777777" w:rsidR="009103CC" w:rsidRPr="005E6562" w:rsidRDefault="009103CC" w:rsidP="002718DF">
            <w:pPr>
              <w:pStyle w:val="Tabletext"/>
              <w:jc w:val="right"/>
              <w:rPr>
                <w:rFonts w:cs="Preston"/>
                <w:b/>
                <w:bCs/>
                <w:szCs w:val="18"/>
              </w:rPr>
            </w:pPr>
            <w:r w:rsidRPr="005E6562">
              <w:rPr>
                <w:rFonts w:cs="Preston"/>
                <w:b/>
                <w:bCs/>
                <w:szCs w:val="18"/>
              </w:rPr>
              <w:t xml:space="preserve">Market </w:t>
            </w:r>
          </w:p>
          <w:p w14:paraId="78116897" w14:textId="77777777" w:rsidR="009103CC" w:rsidRPr="005E6562" w:rsidRDefault="009103CC" w:rsidP="002718DF">
            <w:pPr>
              <w:pStyle w:val="Tabletext"/>
              <w:jc w:val="right"/>
              <w:rPr>
                <w:rFonts w:cs="Preston"/>
                <w:b/>
                <w:bCs/>
                <w:szCs w:val="18"/>
              </w:rPr>
            </w:pPr>
            <w:r w:rsidRPr="005E6562">
              <w:rPr>
                <w:rFonts w:cs="Preston"/>
                <w:b/>
                <w:bCs/>
                <w:szCs w:val="18"/>
              </w:rPr>
              <w:t>value $'000</w:t>
            </w:r>
          </w:p>
        </w:tc>
        <w:tc>
          <w:tcPr>
            <w:tcW w:w="598" w:type="pct"/>
            <w:tcBorders>
              <w:top w:val="single" w:sz="4" w:space="0" w:color="auto"/>
              <w:bottom w:val="single" w:sz="4" w:space="0" w:color="auto"/>
            </w:tcBorders>
            <w:tcMar>
              <w:top w:w="0" w:type="dxa"/>
              <w:left w:w="0" w:type="dxa"/>
              <w:bottom w:w="0" w:type="dxa"/>
              <w:right w:w="0" w:type="dxa"/>
            </w:tcMar>
            <w:vAlign w:val="center"/>
          </w:tcPr>
          <w:p w14:paraId="4EE65B32" w14:textId="77777777" w:rsidR="009103CC" w:rsidRPr="005E6562" w:rsidRDefault="009103CC" w:rsidP="002718DF">
            <w:pPr>
              <w:pStyle w:val="Tabletext"/>
              <w:jc w:val="right"/>
              <w:rPr>
                <w:rFonts w:cs="Preston"/>
                <w:b/>
                <w:bCs/>
                <w:szCs w:val="18"/>
              </w:rPr>
            </w:pPr>
            <w:r w:rsidRPr="005E6562">
              <w:rPr>
                <w:rFonts w:cs="Preston"/>
                <w:b/>
                <w:bCs/>
                <w:szCs w:val="18"/>
              </w:rPr>
              <w:t xml:space="preserve">+ 10% </w:t>
            </w:r>
          </w:p>
          <w:p w14:paraId="76456E31" w14:textId="77777777" w:rsidR="009103CC" w:rsidRPr="005E6562" w:rsidRDefault="009103CC" w:rsidP="002718DF">
            <w:pPr>
              <w:pStyle w:val="Tabletext"/>
              <w:jc w:val="right"/>
              <w:rPr>
                <w:rFonts w:cs="Preston"/>
                <w:b/>
                <w:bCs/>
                <w:szCs w:val="18"/>
              </w:rPr>
            </w:pPr>
            <w:r w:rsidRPr="005E6562">
              <w:rPr>
                <w:rFonts w:cs="Preston"/>
                <w:b/>
                <w:bCs/>
                <w:szCs w:val="18"/>
              </w:rPr>
              <w:t>impact</w:t>
            </w:r>
          </w:p>
        </w:tc>
        <w:tc>
          <w:tcPr>
            <w:tcW w:w="598" w:type="pct"/>
            <w:tcBorders>
              <w:top w:val="single" w:sz="4" w:space="0" w:color="auto"/>
              <w:bottom w:val="single" w:sz="4" w:space="0" w:color="auto"/>
            </w:tcBorders>
            <w:tcMar>
              <w:top w:w="0" w:type="dxa"/>
              <w:left w:w="0" w:type="dxa"/>
              <w:bottom w:w="0" w:type="dxa"/>
              <w:right w:w="0" w:type="dxa"/>
            </w:tcMar>
            <w:vAlign w:val="center"/>
          </w:tcPr>
          <w:p w14:paraId="60A1569E" w14:textId="77777777" w:rsidR="009103CC" w:rsidRPr="005E6562" w:rsidRDefault="009103CC" w:rsidP="002718DF">
            <w:pPr>
              <w:pStyle w:val="Tabletext"/>
              <w:jc w:val="right"/>
              <w:rPr>
                <w:rFonts w:cs="Preston"/>
                <w:b/>
                <w:bCs/>
                <w:szCs w:val="18"/>
              </w:rPr>
            </w:pPr>
            <w:r w:rsidRPr="005E6562">
              <w:rPr>
                <w:rFonts w:cs="Preston"/>
                <w:b/>
                <w:bCs/>
                <w:szCs w:val="18"/>
              </w:rPr>
              <w:t xml:space="preserve">- 10% </w:t>
            </w:r>
          </w:p>
          <w:p w14:paraId="2884DF50" w14:textId="77777777" w:rsidR="009103CC" w:rsidRPr="005E6562" w:rsidRDefault="009103CC" w:rsidP="002718DF">
            <w:pPr>
              <w:pStyle w:val="Tabletext"/>
              <w:jc w:val="right"/>
              <w:rPr>
                <w:rFonts w:cs="Preston"/>
                <w:b/>
                <w:bCs/>
                <w:szCs w:val="18"/>
              </w:rPr>
            </w:pPr>
            <w:r w:rsidRPr="005E6562">
              <w:rPr>
                <w:rFonts w:cs="Preston"/>
                <w:b/>
                <w:bCs/>
                <w:szCs w:val="18"/>
              </w:rPr>
              <w:t>impact</w:t>
            </w:r>
          </w:p>
        </w:tc>
        <w:tc>
          <w:tcPr>
            <w:tcW w:w="598" w:type="pct"/>
            <w:tcBorders>
              <w:top w:val="single" w:sz="4" w:space="0" w:color="auto"/>
              <w:bottom w:val="single" w:sz="4" w:space="0" w:color="auto"/>
            </w:tcBorders>
            <w:tcMar>
              <w:top w:w="0" w:type="dxa"/>
              <w:left w:w="0" w:type="dxa"/>
              <w:bottom w:w="0" w:type="dxa"/>
              <w:right w:w="0" w:type="dxa"/>
            </w:tcMar>
            <w:vAlign w:val="center"/>
          </w:tcPr>
          <w:p w14:paraId="0C77D9D4" w14:textId="77777777" w:rsidR="009103CC" w:rsidRPr="005E6562" w:rsidRDefault="009103CC" w:rsidP="002718DF">
            <w:pPr>
              <w:pStyle w:val="Tabletext"/>
              <w:jc w:val="right"/>
              <w:rPr>
                <w:rFonts w:cs="Preston"/>
                <w:b/>
                <w:bCs/>
                <w:szCs w:val="18"/>
              </w:rPr>
            </w:pPr>
            <w:r w:rsidRPr="005E6562">
              <w:rPr>
                <w:rFonts w:cs="Preston"/>
                <w:b/>
                <w:bCs/>
                <w:szCs w:val="18"/>
              </w:rPr>
              <w:t xml:space="preserve">Market </w:t>
            </w:r>
          </w:p>
          <w:p w14:paraId="6CEC64B7" w14:textId="77777777" w:rsidR="009103CC" w:rsidRPr="005E6562" w:rsidRDefault="009103CC" w:rsidP="002718DF">
            <w:pPr>
              <w:pStyle w:val="Tabletext"/>
              <w:jc w:val="right"/>
              <w:rPr>
                <w:rFonts w:cs="Preston"/>
                <w:b/>
                <w:bCs/>
                <w:szCs w:val="18"/>
              </w:rPr>
            </w:pPr>
            <w:r w:rsidRPr="005E6562">
              <w:rPr>
                <w:rFonts w:cs="Preston"/>
                <w:b/>
                <w:bCs/>
                <w:szCs w:val="18"/>
              </w:rPr>
              <w:t>Value $'000</w:t>
            </w:r>
          </w:p>
        </w:tc>
        <w:tc>
          <w:tcPr>
            <w:tcW w:w="598" w:type="pct"/>
            <w:tcBorders>
              <w:top w:val="single" w:sz="4" w:space="0" w:color="auto"/>
              <w:bottom w:val="single" w:sz="4" w:space="0" w:color="auto"/>
            </w:tcBorders>
            <w:tcMar>
              <w:top w:w="0" w:type="dxa"/>
              <w:left w:w="0" w:type="dxa"/>
              <w:bottom w:w="0" w:type="dxa"/>
              <w:right w:w="0" w:type="dxa"/>
            </w:tcMar>
            <w:vAlign w:val="center"/>
          </w:tcPr>
          <w:p w14:paraId="43E0C45B" w14:textId="77777777" w:rsidR="009103CC" w:rsidRPr="005E6562" w:rsidRDefault="009103CC" w:rsidP="002718DF">
            <w:pPr>
              <w:pStyle w:val="Tabletext"/>
              <w:jc w:val="right"/>
              <w:rPr>
                <w:rFonts w:cs="Preston"/>
                <w:b/>
                <w:bCs/>
                <w:szCs w:val="18"/>
              </w:rPr>
            </w:pPr>
            <w:r w:rsidRPr="005E6562">
              <w:rPr>
                <w:rFonts w:cs="Preston"/>
                <w:b/>
                <w:bCs/>
                <w:szCs w:val="18"/>
              </w:rPr>
              <w:t xml:space="preserve">+ 10% </w:t>
            </w:r>
          </w:p>
          <w:p w14:paraId="20D9A4E9" w14:textId="77777777" w:rsidR="009103CC" w:rsidRPr="005E6562" w:rsidRDefault="009103CC" w:rsidP="002718DF">
            <w:pPr>
              <w:pStyle w:val="Tabletext"/>
              <w:jc w:val="right"/>
              <w:rPr>
                <w:rFonts w:cs="Preston"/>
                <w:b/>
                <w:bCs/>
                <w:szCs w:val="18"/>
              </w:rPr>
            </w:pPr>
            <w:r w:rsidRPr="005E6562">
              <w:rPr>
                <w:rFonts w:cs="Preston"/>
                <w:b/>
                <w:bCs/>
                <w:szCs w:val="18"/>
              </w:rPr>
              <w:t>impact</w:t>
            </w:r>
          </w:p>
        </w:tc>
        <w:tc>
          <w:tcPr>
            <w:tcW w:w="598" w:type="pct"/>
            <w:tcBorders>
              <w:top w:val="single" w:sz="4" w:space="0" w:color="auto"/>
              <w:bottom w:val="single" w:sz="4" w:space="0" w:color="auto"/>
            </w:tcBorders>
            <w:tcMar>
              <w:top w:w="0" w:type="dxa"/>
              <w:left w:w="0" w:type="dxa"/>
              <w:bottom w:w="0" w:type="dxa"/>
              <w:right w:w="0" w:type="dxa"/>
            </w:tcMar>
            <w:vAlign w:val="center"/>
          </w:tcPr>
          <w:p w14:paraId="58984DEB" w14:textId="77777777" w:rsidR="009103CC" w:rsidRPr="005E6562" w:rsidRDefault="009103CC" w:rsidP="002718DF">
            <w:pPr>
              <w:pStyle w:val="Tabletext"/>
              <w:jc w:val="right"/>
              <w:rPr>
                <w:rFonts w:cs="Preston"/>
                <w:b/>
                <w:bCs/>
                <w:szCs w:val="18"/>
              </w:rPr>
            </w:pPr>
            <w:r w:rsidRPr="005E6562">
              <w:rPr>
                <w:rFonts w:cs="Preston"/>
                <w:b/>
                <w:bCs/>
                <w:szCs w:val="18"/>
              </w:rPr>
              <w:t xml:space="preserve">- 10% </w:t>
            </w:r>
          </w:p>
          <w:p w14:paraId="65F210F4" w14:textId="77777777" w:rsidR="009103CC" w:rsidRPr="005E6562" w:rsidRDefault="009103CC" w:rsidP="002718DF">
            <w:pPr>
              <w:pStyle w:val="Tabletext"/>
              <w:jc w:val="right"/>
              <w:rPr>
                <w:rFonts w:cs="Preston"/>
                <w:b/>
                <w:bCs/>
                <w:szCs w:val="18"/>
              </w:rPr>
            </w:pPr>
            <w:r w:rsidRPr="005E6562">
              <w:rPr>
                <w:rFonts w:cs="Preston"/>
                <w:b/>
                <w:bCs/>
                <w:szCs w:val="18"/>
              </w:rPr>
              <w:t>impact</w:t>
            </w:r>
          </w:p>
        </w:tc>
      </w:tr>
      <w:tr w:rsidR="009103CC" w:rsidRPr="001814D2" w14:paraId="657543D4"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0373A970" w14:textId="77777777" w:rsidR="009103CC" w:rsidRPr="001814D2" w:rsidRDefault="009103CC" w:rsidP="002718DF">
            <w:pPr>
              <w:pStyle w:val="Tabletext"/>
              <w:rPr>
                <w:rFonts w:cs="Preston"/>
                <w:szCs w:val="18"/>
              </w:rPr>
            </w:pPr>
            <w:r w:rsidRPr="001814D2">
              <w:rPr>
                <w:rFonts w:cs="Preston"/>
                <w:szCs w:val="18"/>
              </w:rPr>
              <w:t>Short-term growth facility</w:t>
            </w:r>
          </w:p>
        </w:tc>
        <w:tc>
          <w:tcPr>
            <w:tcW w:w="598" w:type="pct"/>
            <w:tcBorders>
              <w:top w:val="single" w:sz="4" w:space="0" w:color="auto"/>
              <w:bottom w:val="single" w:sz="4" w:space="0" w:color="auto"/>
            </w:tcBorders>
            <w:tcMar>
              <w:top w:w="0" w:type="dxa"/>
              <w:left w:w="0" w:type="dxa"/>
              <w:bottom w:w="0" w:type="dxa"/>
              <w:right w:w="0" w:type="dxa"/>
            </w:tcMar>
            <w:vAlign w:val="center"/>
          </w:tcPr>
          <w:p w14:paraId="0737D0E8" w14:textId="77777777" w:rsidR="009103CC" w:rsidRPr="001814D2" w:rsidRDefault="009103CC" w:rsidP="002718DF">
            <w:pPr>
              <w:pStyle w:val="Tabletext"/>
              <w:jc w:val="right"/>
              <w:rPr>
                <w:rFonts w:cs="Preston"/>
                <w:szCs w:val="18"/>
              </w:rPr>
            </w:pPr>
            <w:r w:rsidRPr="001814D2">
              <w:rPr>
                <w:rFonts w:cs="Preston"/>
                <w:szCs w:val="18"/>
              </w:rPr>
              <w:t>92,476</w:t>
            </w:r>
          </w:p>
        </w:tc>
        <w:tc>
          <w:tcPr>
            <w:tcW w:w="598" w:type="pct"/>
            <w:tcBorders>
              <w:top w:val="single" w:sz="4" w:space="0" w:color="auto"/>
              <w:bottom w:val="single" w:sz="4" w:space="0" w:color="auto"/>
            </w:tcBorders>
            <w:tcMar>
              <w:top w:w="0" w:type="dxa"/>
              <w:left w:w="0" w:type="dxa"/>
              <w:bottom w:w="0" w:type="dxa"/>
              <w:right w:w="0" w:type="dxa"/>
            </w:tcMar>
            <w:vAlign w:val="center"/>
          </w:tcPr>
          <w:p w14:paraId="035615FF" w14:textId="77777777" w:rsidR="009103CC" w:rsidRPr="001814D2" w:rsidRDefault="009103CC" w:rsidP="002718DF">
            <w:pPr>
              <w:pStyle w:val="Tabletext"/>
              <w:jc w:val="right"/>
              <w:rPr>
                <w:rFonts w:cs="Preston"/>
                <w:szCs w:val="18"/>
              </w:rPr>
            </w:pPr>
            <w:r w:rsidRPr="001814D2">
              <w:rPr>
                <w:rFonts w:cs="Preston"/>
                <w:szCs w:val="18"/>
              </w:rPr>
              <w:t>9,248</w:t>
            </w:r>
          </w:p>
        </w:tc>
        <w:tc>
          <w:tcPr>
            <w:tcW w:w="598" w:type="pct"/>
            <w:tcBorders>
              <w:top w:val="single" w:sz="4" w:space="0" w:color="auto"/>
              <w:bottom w:val="single" w:sz="4" w:space="0" w:color="auto"/>
            </w:tcBorders>
            <w:tcMar>
              <w:top w:w="0" w:type="dxa"/>
              <w:left w:w="0" w:type="dxa"/>
              <w:bottom w:w="0" w:type="dxa"/>
              <w:right w:w="0" w:type="dxa"/>
            </w:tcMar>
            <w:vAlign w:val="center"/>
          </w:tcPr>
          <w:p w14:paraId="18969694" w14:textId="77777777" w:rsidR="009103CC" w:rsidRPr="001814D2" w:rsidRDefault="009103CC" w:rsidP="002718DF">
            <w:pPr>
              <w:pStyle w:val="Tabletext"/>
              <w:jc w:val="right"/>
              <w:rPr>
                <w:rFonts w:cs="Preston"/>
                <w:szCs w:val="18"/>
              </w:rPr>
            </w:pPr>
            <w:r w:rsidRPr="001814D2">
              <w:rPr>
                <w:rFonts w:cs="Preston"/>
                <w:szCs w:val="18"/>
              </w:rPr>
              <w:t>(9,248)</w:t>
            </w:r>
          </w:p>
        </w:tc>
        <w:tc>
          <w:tcPr>
            <w:tcW w:w="598" w:type="pct"/>
            <w:tcBorders>
              <w:top w:val="single" w:sz="4" w:space="0" w:color="auto"/>
              <w:bottom w:val="single" w:sz="4" w:space="0" w:color="auto"/>
            </w:tcBorders>
            <w:tcMar>
              <w:top w:w="0" w:type="dxa"/>
              <w:left w:w="0" w:type="dxa"/>
              <w:bottom w:w="0" w:type="dxa"/>
              <w:right w:w="0" w:type="dxa"/>
            </w:tcMar>
            <w:vAlign w:val="center"/>
          </w:tcPr>
          <w:p w14:paraId="641B756B" w14:textId="77777777" w:rsidR="009103CC" w:rsidRPr="001814D2" w:rsidRDefault="009103CC" w:rsidP="002718DF">
            <w:pPr>
              <w:pStyle w:val="Tabletext"/>
              <w:jc w:val="right"/>
              <w:rPr>
                <w:rFonts w:cs="Preston"/>
                <w:szCs w:val="18"/>
              </w:rPr>
            </w:pPr>
            <w:r w:rsidRPr="001814D2">
              <w:rPr>
                <w:rFonts w:cs="Preston"/>
                <w:szCs w:val="18"/>
              </w:rPr>
              <w:t>92,272</w:t>
            </w:r>
          </w:p>
        </w:tc>
        <w:tc>
          <w:tcPr>
            <w:tcW w:w="598" w:type="pct"/>
            <w:tcBorders>
              <w:top w:val="single" w:sz="4" w:space="0" w:color="auto"/>
              <w:bottom w:val="single" w:sz="4" w:space="0" w:color="auto"/>
            </w:tcBorders>
            <w:tcMar>
              <w:top w:w="0" w:type="dxa"/>
              <w:left w:w="0" w:type="dxa"/>
              <w:bottom w:w="0" w:type="dxa"/>
              <w:right w:w="0" w:type="dxa"/>
            </w:tcMar>
            <w:vAlign w:val="center"/>
          </w:tcPr>
          <w:p w14:paraId="0C7478EB" w14:textId="77777777" w:rsidR="009103CC" w:rsidRPr="001814D2" w:rsidRDefault="009103CC" w:rsidP="002718DF">
            <w:pPr>
              <w:pStyle w:val="Tabletext"/>
              <w:jc w:val="right"/>
              <w:rPr>
                <w:rFonts w:cs="Preston"/>
                <w:szCs w:val="18"/>
              </w:rPr>
            </w:pPr>
            <w:r w:rsidRPr="001814D2">
              <w:rPr>
                <w:rFonts w:cs="Preston"/>
                <w:szCs w:val="18"/>
              </w:rPr>
              <w:t>9,227</w:t>
            </w:r>
          </w:p>
        </w:tc>
        <w:tc>
          <w:tcPr>
            <w:tcW w:w="598" w:type="pct"/>
            <w:tcBorders>
              <w:top w:val="single" w:sz="4" w:space="0" w:color="auto"/>
              <w:bottom w:val="single" w:sz="4" w:space="0" w:color="auto"/>
            </w:tcBorders>
            <w:tcMar>
              <w:top w:w="0" w:type="dxa"/>
              <w:left w:w="0" w:type="dxa"/>
              <w:bottom w:w="0" w:type="dxa"/>
              <w:right w:w="0" w:type="dxa"/>
            </w:tcMar>
            <w:vAlign w:val="center"/>
          </w:tcPr>
          <w:p w14:paraId="6B4F8A30" w14:textId="77777777" w:rsidR="009103CC" w:rsidRPr="001814D2" w:rsidRDefault="009103CC" w:rsidP="002718DF">
            <w:pPr>
              <w:pStyle w:val="Tabletext"/>
              <w:jc w:val="right"/>
              <w:rPr>
                <w:rFonts w:cs="Preston"/>
                <w:szCs w:val="18"/>
              </w:rPr>
            </w:pPr>
            <w:r w:rsidRPr="001814D2">
              <w:rPr>
                <w:rFonts w:cs="Preston"/>
                <w:szCs w:val="18"/>
              </w:rPr>
              <w:t>(9,227)</w:t>
            </w:r>
          </w:p>
        </w:tc>
      </w:tr>
      <w:tr w:rsidR="009103CC" w:rsidRPr="001814D2" w14:paraId="16D9573A"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5EB80789" w14:textId="77777777" w:rsidR="009103CC" w:rsidRPr="001814D2" w:rsidRDefault="009103CC" w:rsidP="002718DF">
            <w:pPr>
              <w:pStyle w:val="Tabletext"/>
              <w:rPr>
                <w:rFonts w:cs="Preston"/>
                <w:szCs w:val="18"/>
              </w:rPr>
            </w:pPr>
            <w:r w:rsidRPr="001814D2">
              <w:rPr>
                <w:rFonts w:cs="Preston"/>
                <w:szCs w:val="18"/>
              </w:rPr>
              <w:t>Medium-term growth facility</w:t>
            </w:r>
          </w:p>
        </w:tc>
        <w:tc>
          <w:tcPr>
            <w:tcW w:w="598" w:type="pct"/>
            <w:tcBorders>
              <w:top w:val="single" w:sz="4" w:space="0" w:color="auto"/>
              <w:bottom w:val="single" w:sz="4" w:space="0" w:color="auto"/>
            </w:tcBorders>
            <w:tcMar>
              <w:top w:w="0" w:type="dxa"/>
              <w:left w:w="0" w:type="dxa"/>
              <w:bottom w:w="0" w:type="dxa"/>
              <w:right w:w="0" w:type="dxa"/>
            </w:tcMar>
            <w:vAlign w:val="center"/>
          </w:tcPr>
          <w:p w14:paraId="550605B5" w14:textId="77777777" w:rsidR="009103CC" w:rsidRPr="001814D2" w:rsidRDefault="009103CC" w:rsidP="002718DF">
            <w:pPr>
              <w:pStyle w:val="Tabletext"/>
              <w:jc w:val="right"/>
              <w:rPr>
                <w:rFonts w:cs="Preston"/>
                <w:szCs w:val="18"/>
              </w:rPr>
            </w:pPr>
            <w:r w:rsidRPr="001814D2">
              <w:rPr>
                <w:rFonts w:cs="Preston"/>
                <w:szCs w:val="18"/>
              </w:rPr>
              <w:t>17,961</w:t>
            </w:r>
          </w:p>
        </w:tc>
        <w:tc>
          <w:tcPr>
            <w:tcW w:w="598" w:type="pct"/>
            <w:tcBorders>
              <w:top w:val="single" w:sz="4" w:space="0" w:color="auto"/>
              <w:bottom w:val="single" w:sz="4" w:space="0" w:color="auto"/>
            </w:tcBorders>
            <w:tcMar>
              <w:top w:w="0" w:type="dxa"/>
              <w:left w:w="0" w:type="dxa"/>
              <w:bottom w:w="0" w:type="dxa"/>
              <w:right w:w="0" w:type="dxa"/>
            </w:tcMar>
            <w:vAlign w:val="center"/>
          </w:tcPr>
          <w:p w14:paraId="6315E305" w14:textId="77777777" w:rsidR="009103CC" w:rsidRPr="001814D2" w:rsidRDefault="009103CC" w:rsidP="002718DF">
            <w:pPr>
              <w:pStyle w:val="Tabletext"/>
              <w:jc w:val="right"/>
              <w:rPr>
                <w:rFonts w:cs="Preston"/>
                <w:szCs w:val="18"/>
              </w:rPr>
            </w:pPr>
            <w:r w:rsidRPr="001814D2">
              <w:rPr>
                <w:rFonts w:cs="Preston"/>
                <w:szCs w:val="18"/>
              </w:rPr>
              <w:t>1,796</w:t>
            </w:r>
          </w:p>
        </w:tc>
        <w:tc>
          <w:tcPr>
            <w:tcW w:w="598" w:type="pct"/>
            <w:tcBorders>
              <w:top w:val="single" w:sz="4" w:space="0" w:color="auto"/>
              <w:bottom w:val="single" w:sz="4" w:space="0" w:color="auto"/>
            </w:tcBorders>
            <w:tcMar>
              <w:top w:w="0" w:type="dxa"/>
              <w:left w:w="0" w:type="dxa"/>
              <w:bottom w:w="0" w:type="dxa"/>
              <w:right w:w="0" w:type="dxa"/>
            </w:tcMar>
            <w:vAlign w:val="center"/>
          </w:tcPr>
          <w:p w14:paraId="59B310BB" w14:textId="77777777" w:rsidR="009103CC" w:rsidRPr="001814D2" w:rsidRDefault="009103CC" w:rsidP="002718DF">
            <w:pPr>
              <w:pStyle w:val="Tabletext"/>
              <w:jc w:val="right"/>
              <w:rPr>
                <w:rFonts w:cs="Preston"/>
                <w:szCs w:val="18"/>
              </w:rPr>
            </w:pPr>
            <w:r w:rsidRPr="001814D2">
              <w:rPr>
                <w:rFonts w:cs="Preston"/>
                <w:szCs w:val="18"/>
              </w:rPr>
              <w:t>(1,796)</w:t>
            </w:r>
          </w:p>
        </w:tc>
        <w:tc>
          <w:tcPr>
            <w:tcW w:w="598" w:type="pct"/>
            <w:tcBorders>
              <w:top w:val="single" w:sz="4" w:space="0" w:color="auto"/>
              <w:bottom w:val="single" w:sz="4" w:space="0" w:color="auto"/>
            </w:tcBorders>
            <w:tcMar>
              <w:top w:w="0" w:type="dxa"/>
              <w:left w:w="0" w:type="dxa"/>
              <w:bottom w:w="0" w:type="dxa"/>
              <w:right w:w="0" w:type="dxa"/>
            </w:tcMar>
            <w:vAlign w:val="center"/>
          </w:tcPr>
          <w:p w14:paraId="4595AE93" w14:textId="77777777" w:rsidR="009103CC" w:rsidRPr="001814D2" w:rsidRDefault="009103CC" w:rsidP="002718DF">
            <w:pPr>
              <w:pStyle w:val="Tabletext"/>
              <w:jc w:val="right"/>
              <w:rPr>
                <w:rFonts w:cs="Preston"/>
                <w:szCs w:val="18"/>
              </w:rPr>
            </w:pPr>
            <w:r w:rsidRPr="001814D2">
              <w:rPr>
                <w:rFonts w:cs="Preston"/>
                <w:szCs w:val="18"/>
              </w:rPr>
              <w:t>16,696</w:t>
            </w:r>
          </w:p>
        </w:tc>
        <w:tc>
          <w:tcPr>
            <w:tcW w:w="598" w:type="pct"/>
            <w:tcBorders>
              <w:top w:val="single" w:sz="4" w:space="0" w:color="auto"/>
              <w:bottom w:val="single" w:sz="4" w:space="0" w:color="auto"/>
            </w:tcBorders>
            <w:tcMar>
              <w:top w:w="0" w:type="dxa"/>
              <w:left w:w="0" w:type="dxa"/>
              <w:bottom w:w="0" w:type="dxa"/>
              <w:right w:w="0" w:type="dxa"/>
            </w:tcMar>
            <w:vAlign w:val="center"/>
          </w:tcPr>
          <w:p w14:paraId="1A5712AC" w14:textId="77777777" w:rsidR="009103CC" w:rsidRPr="001814D2" w:rsidRDefault="009103CC" w:rsidP="002718DF">
            <w:pPr>
              <w:pStyle w:val="Tabletext"/>
              <w:jc w:val="right"/>
              <w:rPr>
                <w:rFonts w:cs="Preston"/>
                <w:szCs w:val="18"/>
              </w:rPr>
            </w:pPr>
            <w:r w:rsidRPr="001814D2">
              <w:rPr>
                <w:rFonts w:cs="Preston"/>
                <w:szCs w:val="18"/>
              </w:rPr>
              <w:t>1,670</w:t>
            </w:r>
          </w:p>
        </w:tc>
        <w:tc>
          <w:tcPr>
            <w:tcW w:w="598" w:type="pct"/>
            <w:tcBorders>
              <w:top w:val="single" w:sz="4" w:space="0" w:color="auto"/>
              <w:bottom w:val="single" w:sz="4" w:space="0" w:color="auto"/>
            </w:tcBorders>
            <w:tcMar>
              <w:top w:w="0" w:type="dxa"/>
              <w:left w:w="0" w:type="dxa"/>
              <w:bottom w:w="0" w:type="dxa"/>
              <w:right w:w="0" w:type="dxa"/>
            </w:tcMar>
            <w:vAlign w:val="center"/>
          </w:tcPr>
          <w:p w14:paraId="19741F16" w14:textId="77777777" w:rsidR="009103CC" w:rsidRPr="001814D2" w:rsidRDefault="009103CC" w:rsidP="002718DF">
            <w:pPr>
              <w:pStyle w:val="Tabletext"/>
              <w:jc w:val="right"/>
              <w:rPr>
                <w:rFonts w:cs="Preston"/>
                <w:szCs w:val="18"/>
              </w:rPr>
            </w:pPr>
            <w:r w:rsidRPr="001814D2">
              <w:rPr>
                <w:rFonts w:cs="Preston"/>
                <w:szCs w:val="18"/>
              </w:rPr>
              <w:t>(1,670)</w:t>
            </w:r>
          </w:p>
        </w:tc>
      </w:tr>
      <w:tr w:rsidR="009103CC" w:rsidRPr="001814D2" w14:paraId="26EC9F77"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2AF40372" w14:textId="77777777" w:rsidR="009103CC" w:rsidRPr="001814D2" w:rsidRDefault="009103CC" w:rsidP="002718DF">
            <w:pPr>
              <w:pStyle w:val="Tabletext"/>
              <w:rPr>
                <w:rFonts w:cs="Preston"/>
                <w:szCs w:val="18"/>
              </w:rPr>
            </w:pPr>
            <w:r w:rsidRPr="001814D2">
              <w:rPr>
                <w:rFonts w:cs="Preston"/>
                <w:szCs w:val="18"/>
              </w:rPr>
              <w:t>Long-term growth facility</w:t>
            </w:r>
          </w:p>
        </w:tc>
        <w:tc>
          <w:tcPr>
            <w:tcW w:w="598" w:type="pct"/>
            <w:tcBorders>
              <w:top w:val="single" w:sz="4" w:space="0" w:color="auto"/>
              <w:bottom w:val="single" w:sz="4" w:space="0" w:color="auto"/>
            </w:tcBorders>
            <w:tcMar>
              <w:top w:w="0" w:type="dxa"/>
              <w:left w:w="0" w:type="dxa"/>
              <w:bottom w:w="0" w:type="dxa"/>
              <w:right w:w="0" w:type="dxa"/>
            </w:tcMar>
            <w:vAlign w:val="center"/>
          </w:tcPr>
          <w:p w14:paraId="6E34E8CE" w14:textId="77777777" w:rsidR="009103CC" w:rsidRPr="001814D2" w:rsidRDefault="009103CC" w:rsidP="002718DF">
            <w:pPr>
              <w:pStyle w:val="Tabletext"/>
              <w:jc w:val="right"/>
              <w:rPr>
                <w:rFonts w:cs="Preston"/>
                <w:szCs w:val="18"/>
              </w:rPr>
            </w:pPr>
            <w:r w:rsidRPr="001814D2">
              <w:rPr>
                <w:rFonts w:cs="Preston"/>
                <w:szCs w:val="18"/>
              </w:rPr>
              <w:t>45,047</w:t>
            </w:r>
          </w:p>
        </w:tc>
        <w:tc>
          <w:tcPr>
            <w:tcW w:w="598" w:type="pct"/>
            <w:tcBorders>
              <w:top w:val="single" w:sz="4" w:space="0" w:color="auto"/>
              <w:bottom w:val="single" w:sz="4" w:space="0" w:color="auto"/>
            </w:tcBorders>
            <w:tcMar>
              <w:top w:w="0" w:type="dxa"/>
              <w:left w:w="0" w:type="dxa"/>
              <w:bottom w:w="0" w:type="dxa"/>
              <w:right w:w="0" w:type="dxa"/>
            </w:tcMar>
            <w:vAlign w:val="center"/>
          </w:tcPr>
          <w:p w14:paraId="7ED4101B" w14:textId="77777777" w:rsidR="009103CC" w:rsidRPr="001814D2" w:rsidRDefault="009103CC" w:rsidP="002718DF">
            <w:pPr>
              <w:pStyle w:val="Tabletext"/>
              <w:jc w:val="right"/>
              <w:rPr>
                <w:rFonts w:cs="Preston"/>
                <w:szCs w:val="18"/>
              </w:rPr>
            </w:pPr>
            <w:r w:rsidRPr="001814D2">
              <w:rPr>
                <w:rFonts w:cs="Preston"/>
                <w:szCs w:val="18"/>
              </w:rPr>
              <w:t>4,505</w:t>
            </w:r>
          </w:p>
        </w:tc>
        <w:tc>
          <w:tcPr>
            <w:tcW w:w="598" w:type="pct"/>
            <w:tcBorders>
              <w:top w:val="single" w:sz="4" w:space="0" w:color="auto"/>
              <w:bottom w:val="single" w:sz="4" w:space="0" w:color="auto"/>
            </w:tcBorders>
            <w:tcMar>
              <w:top w:w="0" w:type="dxa"/>
              <w:left w:w="0" w:type="dxa"/>
              <w:bottom w:w="0" w:type="dxa"/>
              <w:right w:w="0" w:type="dxa"/>
            </w:tcMar>
            <w:vAlign w:val="center"/>
          </w:tcPr>
          <w:p w14:paraId="287AE3F4" w14:textId="77777777" w:rsidR="009103CC" w:rsidRPr="001814D2" w:rsidRDefault="009103CC" w:rsidP="002718DF">
            <w:pPr>
              <w:pStyle w:val="Tabletext"/>
              <w:jc w:val="right"/>
              <w:rPr>
                <w:rFonts w:cs="Preston"/>
                <w:szCs w:val="18"/>
              </w:rPr>
            </w:pPr>
            <w:r w:rsidRPr="001814D2">
              <w:rPr>
                <w:rFonts w:cs="Preston"/>
                <w:szCs w:val="18"/>
              </w:rPr>
              <w:t>(4,505)</w:t>
            </w:r>
          </w:p>
        </w:tc>
        <w:tc>
          <w:tcPr>
            <w:tcW w:w="598" w:type="pct"/>
            <w:tcBorders>
              <w:top w:val="single" w:sz="4" w:space="0" w:color="auto"/>
              <w:bottom w:val="single" w:sz="4" w:space="0" w:color="auto"/>
            </w:tcBorders>
            <w:tcMar>
              <w:top w:w="0" w:type="dxa"/>
              <w:left w:w="0" w:type="dxa"/>
              <w:bottom w:w="0" w:type="dxa"/>
              <w:right w:w="0" w:type="dxa"/>
            </w:tcMar>
            <w:vAlign w:val="center"/>
          </w:tcPr>
          <w:p w14:paraId="0D87E322" w14:textId="77777777" w:rsidR="009103CC" w:rsidRPr="001814D2" w:rsidRDefault="009103CC" w:rsidP="002718DF">
            <w:pPr>
              <w:pStyle w:val="Tabletext"/>
              <w:jc w:val="right"/>
              <w:rPr>
                <w:rFonts w:cs="Preston"/>
                <w:szCs w:val="18"/>
              </w:rPr>
            </w:pPr>
            <w:r w:rsidRPr="001814D2">
              <w:rPr>
                <w:rFonts w:cs="Preston"/>
                <w:szCs w:val="18"/>
              </w:rPr>
              <w:t>45,047</w:t>
            </w:r>
          </w:p>
        </w:tc>
        <w:tc>
          <w:tcPr>
            <w:tcW w:w="598" w:type="pct"/>
            <w:tcBorders>
              <w:top w:val="single" w:sz="4" w:space="0" w:color="auto"/>
              <w:bottom w:val="single" w:sz="4" w:space="0" w:color="auto"/>
            </w:tcBorders>
            <w:tcMar>
              <w:top w:w="0" w:type="dxa"/>
              <w:left w:w="0" w:type="dxa"/>
              <w:bottom w:w="0" w:type="dxa"/>
              <w:right w:w="0" w:type="dxa"/>
            </w:tcMar>
            <w:vAlign w:val="center"/>
          </w:tcPr>
          <w:p w14:paraId="31213A83" w14:textId="77777777" w:rsidR="009103CC" w:rsidRPr="001814D2" w:rsidRDefault="009103CC" w:rsidP="002718DF">
            <w:pPr>
              <w:pStyle w:val="Tabletext"/>
              <w:jc w:val="right"/>
              <w:rPr>
                <w:rFonts w:cs="Preston"/>
                <w:szCs w:val="18"/>
              </w:rPr>
            </w:pPr>
            <w:r w:rsidRPr="001814D2">
              <w:rPr>
                <w:rFonts w:cs="Preston"/>
                <w:szCs w:val="18"/>
              </w:rPr>
              <w:t>4,505</w:t>
            </w:r>
          </w:p>
        </w:tc>
        <w:tc>
          <w:tcPr>
            <w:tcW w:w="598" w:type="pct"/>
            <w:tcBorders>
              <w:top w:val="single" w:sz="4" w:space="0" w:color="auto"/>
              <w:bottom w:val="single" w:sz="4" w:space="0" w:color="auto"/>
            </w:tcBorders>
            <w:tcMar>
              <w:top w:w="0" w:type="dxa"/>
              <w:left w:w="0" w:type="dxa"/>
              <w:bottom w:w="0" w:type="dxa"/>
              <w:right w:w="0" w:type="dxa"/>
            </w:tcMar>
            <w:vAlign w:val="center"/>
          </w:tcPr>
          <w:p w14:paraId="62CE7F0A" w14:textId="77777777" w:rsidR="009103CC" w:rsidRPr="001814D2" w:rsidRDefault="009103CC" w:rsidP="002718DF">
            <w:pPr>
              <w:pStyle w:val="Tabletext"/>
              <w:jc w:val="right"/>
              <w:rPr>
                <w:rFonts w:cs="Preston"/>
                <w:szCs w:val="18"/>
              </w:rPr>
            </w:pPr>
            <w:r w:rsidRPr="001814D2">
              <w:rPr>
                <w:rFonts w:cs="Preston"/>
                <w:szCs w:val="18"/>
              </w:rPr>
              <w:t>(4,505)</w:t>
            </w:r>
          </w:p>
        </w:tc>
      </w:tr>
      <w:tr w:rsidR="009103CC" w:rsidRPr="001814D2" w14:paraId="5053581B" w14:textId="77777777" w:rsidTr="002718DF">
        <w:trPr>
          <w:cantSplit/>
          <w:trHeight w:hRule="exact" w:val="332"/>
        </w:trPr>
        <w:tc>
          <w:tcPr>
            <w:tcW w:w="1412" w:type="pct"/>
            <w:tcBorders>
              <w:top w:val="single" w:sz="4" w:space="0" w:color="auto"/>
              <w:bottom w:val="single" w:sz="4" w:space="0" w:color="auto"/>
            </w:tcBorders>
            <w:tcMar>
              <w:top w:w="0" w:type="dxa"/>
              <w:left w:w="0" w:type="dxa"/>
              <w:bottom w:w="0" w:type="dxa"/>
              <w:right w:w="0" w:type="dxa"/>
            </w:tcMar>
            <w:vAlign w:val="center"/>
          </w:tcPr>
          <w:p w14:paraId="5EAE633B" w14:textId="77777777" w:rsidR="009103CC" w:rsidRPr="001814D2" w:rsidRDefault="009103CC" w:rsidP="002718DF">
            <w:pPr>
              <w:pStyle w:val="Tabletext"/>
              <w:rPr>
                <w:rFonts w:cs="Preston"/>
                <w:szCs w:val="18"/>
              </w:rPr>
            </w:pPr>
            <w:r w:rsidRPr="001814D2">
              <w:rPr>
                <w:rFonts w:cs="Preston"/>
                <w:szCs w:val="18"/>
              </w:rPr>
              <w:t>Total</w:t>
            </w:r>
          </w:p>
        </w:tc>
        <w:tc>
          <w:tcPr>
            <w:tcW w:w="598" w:type="pct"/>
            <w:tcBorders>
              <w:top w:val="single" w:sz="4" w:space="0" w:color="auto"/>
              <w:bottom w:val="single" w:sz="4" w:space="0" w:color="auto"/>
            </w:tcBorders>
            <w:tcMar>
              <w:top w:w="0" w:type="dxa"/>
              <w:left w:w="0" w:type="dxa"/>
              <w:bottom w:w="0" w:type="dxa"/>
              <w:right w:w="0" w:type="dxa"/>
            </w:tcMar>
            <w:vAlign w:val="center"/>
          </w:tcPr>
          <w:p w14:paraId="6321C7D1" w14:textId="77777777" w:rsidR="009103CC" w:rsidRPr="001814D2" w:rsidRDefault="009103CC" w:rsidP="002718DF">
            <w:pPr>
              <w:pStyle w:val="Tabletext"/>
              <w:jc w:val="right"/>
              <w:rPr>
                <w:rFonts w:cs="Preston"/>
                <w:szCs w:val="18"/>
              </w:rPr>
            </w:pPr>
            <w:r w:rsidRPr="001814D2">
              <w:rPr>
                <w:rFonts w:cs="Preston"/>
                <w:szCs w:val="18"/>
              </w:rPr>
              <w:t>155,484</w:t>
            </w:r>
          </w:p>
        </w:tc>
        <w:tc>
          <w:tcPr>
            <w:tcW w:w="598" w:type="pct"/>
            <w:tcBorders>
              <w:top w:val="single" w:sz="4" w:space="0" w:color="auto"/>
              <w:bottom w:val="single" w:sz="4" w:space="0" w:color="auto"/>
            </w:tcBorders>
            <w:tcMar>
              <w:top w:w="0" w:type="dxa"/>
              <w:left w:w="0" w:type="dxa"/>
              <w:bottom w:w="0" w:type="dxa"/>
              <w:right w:w="0" w:type="dxa"/>
            </w:tcMar>
            <w:vAlign w:val="center"/>
          </w:tcPr>
          <w:p w14:paraId="21FB80A8" w14:textId="77777777" w:rsidR="009103CC" w:rsidRPr="001814D2" w:rsidRDefault="009103CC" w:rsidP="002718DF">
            <w:pPr>
              <w:pStyle w:val="Tabletext"/>
              <w:jc w:val="right"/>
              <w:rPr>
                <w:rFonts w:cs="Preston"/>
                <w:szCs w:val="18"/>
              </w:rPr>
            </w:pPr>
            <w:r w:rsidRPr="001814D2">
              <w:rPr>
                <w:rFonts w:cs="Preston"/>
                <w:szCs w:val="18"/>
              </w:rPr>
              <w:t>15,549</w:t>
            </w:r>
          </w:p>
        </w:tc>
        <w:tc>
          <w:tcPr>
            <w:tcW w:w="598" w:type="pct"/>
            <w:tcBorders>
              <w:top w:val="single" w:sz="4" w:space="0" w:color="auto"/>
              <w:bottom w:val="single" w:sz="4" w:space="0" w:color="auto"/>
            </w:tcBorders>
            <w:tcMar>
              <w:top w:w="0" w:type="dxa"/>
              <w:left w:w="0" w:type="dxa"/>
              <w:bottom w:w="0" w:type="dxa"/>
              <w:right w:w="0" w:type="dxa"/>
            </w:tcMar>
            <w:vAlign w:val="center"/>
          </w:tcPr>
          <w:p w14:paraId="48837DCE" w14:textId="77777777" w:rsidR="009103CC" w:rsidRPr="001814D2" w:rsidRDefault="009103CC" w:rsidP="002718DF">
            <w:pPr>
              <w:pStyle w:val="Tabletext"/>
              <w:jc w:val="right"/>
              <w:rPr>
                <w:rFonts w:cs="Preston"/>
                <w:szCs w:val="18"/>
              </w:rPr>
            </w:pPr>
            <w:r w:rsidRPr="001814D2">
              <w:rPr>
                <w:rFonts w:cs="Preston"/>
                <w:szCs w:val="18"/>
              </w:rPr>
              <w:t>(15,549)</w:t>
            </w:r>
          </w:p>
        </w:tc>
        <w:tc>
          <w:tcPr>
            <w:tcW w:w="598" w:type="pct"/>
            <w:tcBorders>
              <w:top w:val="single" w:sz="4" w:space="0" w:color="auto"/>
              <w:bottom w:val="single" w:sz="4" w:space="0" w:color="auto"/>
            </w:tcBorders>
            <w:tcMar>
              <w:top w:w="0" w:type="dxa"/>
              <w:left w:w="0" w:type="dxa"/>
              <w:bottom w:w="0" w:type="dxa"/>
              <w:right w:w="0" w:type="dxa"/>
            </w:tcMar>
            <w:vAlign w:val="center"/>
          </w:tcPr>
          <w:p w14:paraId="777E1A54" w14:textId="77777777" w:rsidR="009103CC" w:rsidRPr="001814D2" w:rsidRDefault="009103CC" w:rsidP="002718DF">
            <w:pPr>
              <w:pStyle w:val="Tabletext"/>
              <w:jc w:val="right"/>
              <w:rPr>
                <w:rFonts w:cs="Preston"/>
                <w:szCs w:val="18"/>
              </w:rPr>
            </w:pPr>
            <w:r w:rsidRPr="001814D2">
              <w:rPr>
                <w:rFonts w:cs="Preston"/>
                <w:szCs w:val="18"/>
              </w:rPr>
              <w:t>154,015</w:t>
            </w:r>
          </w:p>
        </w:tc>
        <w:tc>
          <w:tcPr>
            <w:tcW w:w="598" w:type="pct"/>
            <w:tcBorders>
              <w:top w:val="single" w:sz="4" w:space="0" w:color="auto"/>
              <w:bottom w:val="single" w:sz="4" w:space="0" w:color="auto"/>
            </w:tcBorders>
            <w:tcMar>
              <w:top w:w="0" w:type="dxa"/>
              <w:left w:w="0" w:type="dxa"/>
              <w:bottom w:w="0" w:type="dxa"/>
              <w:right w:w="0" w:type="dxa"/>
            </w:tcMar>
            <w:vAlign w:val="center"/>
          </w:tcPr>
          <w:p w14:paraId="3BC50832" w14:textId="77777777" w:rsidR="009103CC" w:rsidRPr="001814D2" w:rsidRDefault="009103CC" w:rsidP="002718DF">
            <w:pPr>
              <w:pStyle w:val="Tabletext"/>
              <w:jc w:val="right"/>
              <w:rPr>
                <w:rFonts w:cs="Preston"/>
                <w:szCs w:val="18"/>
              </w:rPr>
            </w:pPr>
            <w:r w:rsidRPr="001814D2">
              <w:rPr>
                <w:rFonts w:cs="Preston"/>
                <w:szCs w:val="18"/>
              </w:rPr>
              <w:t>15,402</w:t>
            </w:r>
          </w:p>
        </w:tc>
        <w:tc>
          <w:tcPr>
            <w:tcW w:w="598" w:type="pct"/>
            <w:tcBorders>
              <w:top w:val="single" w:sz="4" w:space="0" w:color="auto"/>
              <w:bottom w:val="single" w:sz="4" w:space="0" w:color="auto"/>
            </w:tcBorders>
            <w:tcMar>
              <w:top w:w="0" w:type="dxa"/>
              <w:left w:w="0" w:type="dxa"/>
              <w:bottom w:w="0" w:type="dxa"/>
              <w:right w:w="0" w:type="dxa"/>
            </w:tcMar>
            <w:vAlign w:val="center"/>
          </w:tcPr>
          <w:p w14:paraId="10D82D6D" w14:textId="77777777" w:rsidR="009103CC" w:rsidRPr="001814D2" w:rsidRDefault="009103CC" w:rsidP="002718DF">
            <w:pPr>
              <w:pStyle w:val="Tabletext"/>
              <w:jc w:val="right"/>
              <w:rPr>
                <w:rFonts w:cs="Preston"/>
                <w:szCs w:val="18"/>
              </w:rPr>
            </w:pPr>
            <w:r w:rsidRPr="001814D2">
              <w:rPr>
                <w:rFonts w:cs="Preston"/>
                <w:szCs w:val="18"/>
              </w:rPr>
              <w:t>(15,402)</w:t>
            </w:r>
          </w:p>
        </w:tc>
      </w:tr>
    </w:tbl>
    <w:p w14:paraId="2867F5C7" w14:textId="77777777" w:rsidR="009103CC" w:rsidRPr="001814D2" w:rsidRDefault="009103CC" w:rsidP="009103CC">
      <w:pPr>
        <w:pStyle w:val="Tabletext"/>
      </w:pPr>
    </w:p>
    <w:p w14:paraId="374C9156" w14:textId="77777777" w:rsidR="009103CC" w:rsidRPr="005E6562" w:rsidRDefault="009103CC" w:rsidP="009103CC">
      <w:pPr>
        <w:pStyle w:val="ARbody"/>
        <w:rPr>
          <w:b/>
          <w:bCs/>
        </w:rPr>
      </w:pPr>
      <w:r w:rsidRPr="005E6562">
        <w:rPr>
          <w:b/>
          <w:bCs/>
        </w:rPr>
        <w:t>(iii) Liquidity risk</w:t>
      </w:r>
    </w:p>
    <w:p w14:paraId="0F705302" w14:textId="77777777" w:rsidR="009103CC" w:rsidRPr="001814D2" w:rsidRDefault="009103CC" w:rsidP="009103CC">
      <w:pPr>
        <w:pStyle w:val="ARbody"/>
      </w:pPr>
      <w:r w:rsidRPr="001814D2">
        <w:t>Liquidity risk is the risk that the Gallery will be unable to meet its payment obligations when they fall due. At all times, but particularly during the forced shut-down as a result of COVID-19, the Gallery's management team continuously monitor cash flows to ensure there are adequate holdings of high quality liquid assets at all times.</w:t>
      </w:r>
    </w:p>
    <w:p w14:paraId="632D2122" w14:textId="77777777" w:rsidR="009103CC" w:rsidRPr="001814D2" w:rsidRDefault="009103CC" w:rsidP="009103CC">
      <w:pPr>
        <w:pStyle w:val="ARbody"/>
      </w:pPr>
      <w:r w:rsidRPr="001814D2">
        <w:t>The Gallery has no loans or overdrafts and no assets have been pledged as collateral. An overdraft facility is not considered necessary as invested funds (including those held in the long term growth facility) are highly liquid and available at short notice if needed.</w:t>
      </w:r>
    </w:p>
    <w:p w14:paraId="555CF209" w14:textId="77777777" w:rsidR="009103CC" w:rsidRPr="001814D2" w:rsidRDefault="009103CC" w:rsidP="009103CC">
      <w:pPr>
        <w:pStyle w:val="ARbody"/>
      </w:pPr>
      <w:r w:rsidRPr="001814D2">
        <w:t>All trade and other payables are expected to be paid within 12 months.</w:t>
      </w:r>
    </w:p>
    <w:p w14:paraId="69BE378E" w14:textId="77777777" w:rsidR="009103CC" w:rsidRPr="005E6562" w:rsidRDefault="009103CC" w:rsidP="009103CC">
      <w:pPr>
        <w:pStyle w:val="ARbody"/>
        <w:rPr>
          <w:b/>
          <w:bCs/>
        </w:rPr>
      </w:pPr>
      <w:r w:rsidRPr="005E6562">
        <w:rPr>
          <w:b/>
          <w:bCs/>
        </w:rPr>
        <w:t>(iv) Currency risk</w:t>
      </w:r>
    </w:p>
    <w:p w14:paraId="41663F31" w14:textId="77777777" w:rsidR="009103CC" w:rsidRPr="001814D2" w:rsidRDefault="009103CC" w:rsidP="009103CC">
      <w:pPr>
        <w:pStyle w:val="ARbody"/>
      </w:pPr>
      <w:r w:rsidRPr="001814D2">
        <w:t>The Gallery is exposed to currency risk on purchases made in currencies other than Australian Dollars. The Gallery fully hedges any substantial future foreign currency purchases when contracted. The Gallery uses forward exchange contracts to hedge its currency risk, as soon as the liability arises.</w:t>
      </w:r>
    </w:p>
    <w:p w14:paraId="0A931744" w14:textId="77777777" w:rsidR="009103CC" w:rsidRPr="005E6562" w:rsidRDefault="009103CC" w:rsidP="009103CC">
      <w:pPr>
        <w:pStyle w:val="ARbody"/>
        <w:rPr>
          <w:b/>
          <w:bCs/>
        </w:rPr>
      </w:pPr>
      <w:r w:rsidRPr="005E6562">
        <w:rPr>
          <w:b/>
          <w:bCs/>
        </w:rPr>
        <w:t>(c) Fair value</w:t>
      </w:r>
    </w:p>
    <w:p w14:paraId="47F044B9" w14:textId="77777777" w:rsidR="009103CC" w:rsidRPr="001814D2" w:rsidRDefault="009103CC" w:rsidP="009103CC">
      <w:pPr>
        <w:pStyle w:val="ARbody"/>
      </w:pPr>
      <w:r w:rsidRPr="001814D2">
        <w:t>The fair value of payables and receivables approximate their carrying amount (i.e. amortised cost) due to their short term nature.</w:t>
      </w:r>
    </w:p>
    <w:p w14:paraId="67894FD0" w14:textId="77777777" w:rsidR="009103CC" w:rsidRPr="001814D2" w:rsidRDefault="009103CC" w:rsidP="009103CC">
      <w:pPr>
        <w:pStyle w:val="ARbody"/>
      </w:pPr>
      <w:r w:rsidRPr="001814D2">
        <w:t>The Gallery's investments in T-Corp facilities are measured at fair value, using the redemption unit price applied to the number of units held by the Gallery. This valuation method uses observable inputs, based on market data resulting in these investments being classified as Level 2 within the fair value hierarchy. There were no transfers between Level 1 and Level 2 during the financial year.</w:t>
      </w:r>
    </w:p>
    <w:p w14:paraId="19C7B9E7" w14:textId="77777777" w:rsidR="009103CC" w:rsidRPr="001814D2" w:rsidRDefault="009103CC" w:rsidP="009103CC">
      <w:pPr>
        <w:pStyle w:val="ARbody"/>
        <w:rPr>
          <w:rFonts w:cs="Preston"/>
        </w:rPr>
      </w:pPr>
      <w:r w:rsidRPr="001814D2">
        <w:t>All financial assets are reviewed annually for objective evidence of impairment. No assets have been impaired in the current financial year.</w:t>
      </w:r>
    </w:p>
    <w:p w14:paraId="1E339681" w14:textId="77777777" w:rsidR="009103CC" w:rsidRPr="005E6562" w:rsidRDefault="009103CC" w:rsidP="009103CC">
      <w:pPr>
        <w:pStyle w:val="ARbody"/>
        <w:rPr>
          <w:b/>
          <w:bCs/>
        </w:rPr>
      </w:pPr>
      <w:r w:rsidRPr="005E6562">
        <w:rPr>
          <w:b/>
          <w:bCs/>
        </w:rPr>
        <w:t>15 Related party disclosure</w:t>
      </w:r>
    </w:p>
    <w:p w14:paraId="3C21A68F" w14:textId="77777777" w:rsidR="009103CC" w:rsidRPr="001814D2" w:rsidRDefault="009103CC" w:rsidP="009103CC">
      <w:pPr>
        <w:pStyle w:val="ARbody"/>
      </w:pPr>
      <w:r w:rsidRPr="001814D2">
        <w:t>As per AASB 124 Related Party Disclosures a Key Management Personnel (KMP) is a person who has the authority and responsibility for planning, directing and controlling the activities of the Gallery, directly or indirectly.</w:t>
      </w:r>
    </w:p>
    <w:p w14:paraId="71FF91AA" w14:textId="77777777" w:rsidR="009103CC" w:rsidRDefault="009103CC" w:rsidP="009103CC">
      <w:pPr>
        <w:pStyle w:val="ARbody"/>
      </w:pPr>
      <w:r w:rsidRPr="001814D2">
        <w:t>The key management personnel of the Art Gallery of New South Wales are the Trustees and the senior executive members.</w:t>
      </w:r>
      <w:r>
        <w:t xml:space="preserve"> </w:t>
      </w:r>
      <w:r w:rsidRPr="001814D2">
        <w:t>The Trustees act in an honorary capacity and receive no compensation for their services.</w:t>
      </w:r>
    </w:p>
    <w:tbl>
      <w:tblPr>
        <w:tblW w:w="5000" w:type="pct"/>
        <w:tblBorders>
          <w:bottom w:val="single" w:sz="4" w:space="0" w:color="auto"/>
          <w:insideH w:val="single" w:sz="4" w:space="0" w:color="auto"/>
        </w:tblBorders>
        <w:tblCellMar>
          <w:left w:w="0" w:type="dxa"/>
          <w:right w:w="0" w:type="dxa"/>
        </w:tblCellMar>
        <w:tblLook w:val="0000" w:firstRow="0" w:lastRow="0" w:firstColumn="0" w:lastColumn="0" w:noHBand="0" w:noVBand="0"/>
        <w:tblCaption w:val="(a) Remuneration of key management personnel"/>
        <w:tblDescription w:val="This table provides figures for 2020 and 2021 for both the consolidated entity and parent entity."/>
      </w:tblPr>
      <w:tblGrid>
        <w:gridCol w:w="5326"/>
        <w:gridCol w:w="1872"/>
        <w:gridCol w:w="1872"/>
      </w:tblGrid>
      <w:tr w:rsidR="009103CC" w:rsidRPr="00142664" w14:paraId="15E05368" w14:textId="77777777" w:rsidTr="002718DF">
        <w:trPr>
          <w:cantSplit/>
          <w:trHeight w:hRule="exact" w:val="332"/>
          <w:tblHeader/>
        </w:trPr>
        <w:tc>
          <w:tcPr>
            <w:tcW w:w="2936" w:type="pct"/>
            <w:tcMar>
              <w:top w:w="0" w:type="dxa"/>
              <w:left w:w="0" w:type="dxa"/>
              <w:bottom w:w="0" w:type="dxa"/>
              <w:right w:w="0" w:type="dxa"/>
            </w:tcMar>
            <w:vAlign w:val="center"/>
          </w:tcPr>
          <w:p w14:paraId="74841F2A" w14:textId="77777777" w:rsidR="009103CC" w:rsidRPr="00142664" w:rsidRDefault="009103CC" w:rsidP="002718DF">
            <w:pPr>
              <w:pStyle w:val="Tabletext"/>
              <w:rPr>
                <w:b/>
                <w:bCs/>
              </w:rPr>
            </w:pPr>
            <w:r w:rsidRPr="00142664">
              <w:rPr>
                <w:b/>
                <w:bCs/>
              </w:rPr>
              <w:t>(a) Remuneration of key management personnel</w:t>
            </w:r>
          </w:p>
          <w:p w14:paraId="0BAC8A91" w14:textId="77777777" w:rsidR="009103CC" w:rsidRPr="00142664" w:rsidRDefault="009103CC" w:rsidP="002718DF">
            <w:pPr>
              <w:pStyle w:val="Tabletext"/>
              <w:rPr>
                <w:b/>
                <w:bCs/>
              </w:rPr>
            </w:pPr>
          </w:p>
        </w:tc>
        <w:tc>
          <w:tcPr>
            <w:tcW w:w="1032" w:type="pct"/>
            <w:tcMar>
              <w:top w:w="0" w:type="dxa"/>
              <w:left w:w="0" w:type="dxa"/>
              <w:bottom w:w="0" w:type="dxa"/>
              <w:right w:w="0" w:type="dxa"/>
            </w:tcMar>
            <w:vAlign w:val="center"/>
          </w:tcPr>
          <w:p w14:paraId="754C9D56" w14:textId="77777777" w:rsidR="009103CC" w:rsidRPr="00142664" w:rsidRDefault="009103CC" w:rsidP="002718DF">
            <w:pPr>
              <w:pStyle w:val="Tabletext"/>
              <w:rPr>
                <w:rFonts w:cstheme="minorBidi"/>
                <w:b/>
                <w:bCs/>
                <w:sz w:val="24"/>
                <w:szCs w:val="24"/>
              </w:rPr>
            </w:pPr>
          </w:p>
        </w:tc>
        <w:tc>
          <w:tcPr>
            <w:tcW w:w="1032" w:type="pct"/>
            <w:tcMar>
              <w:top w:w="0" w:type="dxa"/>
              <w:left w:w="0" w:type="dxa"/>
              <w:bottom w:w="0" w:type="dxa"/>
              <w:right w:w="0" w:type="dxa"/>
            </w:tcMar>
            <w:vAlign w:val="center"/>
          </w:tcPr>
          <w:p w14:paraId="173CE315" w14:textId="77777777" w:rsidR="009103CC" w:rsidRPr="00142664" w:rsidRDefault="009103CC" w:rsidP="002718DF">
            <w:pPr>
              <w:pStyle w:val="Tabletext"/>
              <w:rPr>
                <w:rFonts w:cstheme="minorBidi"/>
                <w:b/>
                <w:bCs/>
                <w:sz w:val="24"/>
                <w:szCs w:val="24"/>
              </w:rPr>
            </w:pPr>
          </w:p>
        </w:tc>
      </w:tr>
      <w:tr w:rsidR="009103CC" w:rsidRPr="00142664" w14:paraId="5968D1D4" w14:textId="77777777" w:rsidTr="002718DF">
        <w:trPr>
          <w:cantSplit/>
          <w:trHeight w:hRule="exact" w:val="553"/>
          <w:tblHeader/>
        </w:trPr>
        <w:tc>
          <w:tcPr>
            <w:tcW w:w="2936" w:type="pct"/>
            <w:tcMar>
              <w:top w:w="0" w:type="dxa"/>
              <w:left w:w="0" w:type="dxa"/>
              <w:bottom w:w="0" w:type="dxa"/>
              <w:right w:w="0" w:type="dxa"/>
            </w:tcMar>
            <w:vAlign w:val="center"/>
          </w:tcPr>
          <w:p w14:paraId="59EC67CA" w14:textId="77777777" w:rsidR="009103CC" w:rsidRPr="00142664" w:rsidRDefault="009103CC" w:rsidP="002718DF">
            <w:pPr>
              <w:pStyle w:val="Tabletext"/>
              <w:rPr>
                <w:rFonts w:cstheme="minorBidi"/>
                <w:b/>
                <w:bCs/>
                <w:sz w:val="24"/>
                <w:szCs w:val="24"/>
              </w:rPr>
            </w:pPr>
          </w:p>
        </w:tc>
        <w:tc>
          <w:tcPr>
            <w:tcW w:w="1032" w:type="pct"/>
            <w:tcMar>
              <w:top w:w="0" w:type="dxa"/>
              <w:left w:w="0" w:type="dxa"/>
              <w:bottom w:w="0" w:type="dxa"/>
              <w:right w:w="0" w:type="dxa"/>
            </w:tcMar>
            <w:vAlign w:val="center"/>
          </w:tcPr>
          <w:p w14:paraId="5D569443" w14:textId="77777777" w:rsidR="009103CC" w:rsidRPr="00142664" w:rsidRDefault="009103CC" w:rsidP="002718DF">
            <w:pPr>
              <w:pStyle w:val="Tabletext"/>
              <w:jc w:val="right"/>
              <w:rPr>
                <w:b/>
                <w:bCs/>
              </w:rPr>
            </w:pPr>
            <w:r w:rsidRPr="00142664">
              <w:rPr>
                <w:b/>
                <w:bCs/>
              </w:rPr>
              <w:t>2021</w:t>
            </w:r>
          </w:p>
          <w:p w14:paraId="5D82AD0C" w14:textId="77777777" w:rsidR="009103CC" w:rsidRPr="00142664" w:rsidRDefault="009103CC" w:rsidP="002718DF">
            <w:pPr>
              <w:pStyle w:val="Tabletext"/>
              <w:jc w:val="right"/>
              <w:rPr>
                <w:b/>
                <w:bCs/>
              </w:rPr>
            </w:pPr>
            <w:r w:rsidRPr="00142664">
              <w:rPr>
                <w:b/>
                <w:bCs/>
              </w:rPr>
              <w:t>$’000</w:t>
            </w:r>
          </w:p>
        </w:tc>
        <w:tc>
          <w:tcPr>
            <w:tcW w:w="1032" w:type="pct"/>
            <w:tcMar>
              <w:top w:w="0" w:type="dxa"/>
              <w:left w:w="0" w:type="dxa"/>
              <w:bottom w:w="0" w:type="dxa"/>
              <w:right w:w="0" w:type="dxa"/>
            </w:tcMar>
            <w:vAlign w:val="center"/>
          </w:tcPr>
          <w:p w14:paraId="793595F9" w14:textId="77777777" w:rsidR="009103CC" w:rsidRPr="00142664" w:rsidRDefault="009103CC" w:rsidP="002718DF">
            <w:pPr>
              <w:pStyle w:val="Tabletext"/>
              <w:jc w:val="right"/>
              <w:rPr>
                <w:b/>
                <w:bCs/>
              </w:rPr>
            </w:pPr>
            <w:r w:rsidRPr="00142664">
              <w:rPr>
                <w:b/>
                <w:bCs/>
              </w:rPr>
              <w:t>2020</w:t>
            </w:r>
          </w:p>
          <w:p w14:paraId="17C771E3" w14:textId="77777777" w:rsidR="009103CC" w:rsidRPr="00142664" w:rsidRDefault="009103CC" w:rsidP="002718DF">
            <w:pPr>
              <w:pStyle w:val="Tabletext"/>
              <w:jc w:val="right"/>
              <w:rPr>
                <w:b/>
                <w:bCs/>
              </w:rPr>
            </w:pPr>
            <w:r w:rsidRPr="00142664">
              <w:rPr>
                <w:b/>
                <w:bCs/>
              </w:rPr>
              <w:t>$’000</w:t>
            </w:r>
          </w:p>
        </w:tc>
      </w:tr>
      <w:tr w:rsidR="009103CC" w:rsidRPr="001814D2" w14:paraId="68CAC1EB" w14:textId="77777777" w:rsidTr="002718DF">
        <w:trPr>
          <w:cantSplit/>
          <w:trHeight w:hRule="exact" w:val="332"/>
        </w:trPr>
        <w:tc>
          <w:tcPr>
            <w:tcW w:w="2936" w:type="pct"/>
            <w:tcMar>
              <w:top w:w="0" w:type="dxa"/>
              <w:left w:w="0" w:type="dxa"/>
              <w:bottom w:w="0" w:type="dxa"/>
              <w:right w:w="0" w:type="dxa"/>
            </w:tcMar>
            <w:vAlign w:val="center"/>
          </w:tcPr>
          <w:p w14:paraId="25468CFB" w14:textId="77777777" w:rsidR="009103CC" w:rsidRPr="001814D2" w:rsidRDefault="009103CC" w:rsidP="002718DF">
            <w:pPr>
              <w:pStyle w:val="Tabletext"/>
            </w:pPr>
            <w:r w:rsidRPr="001814D2">
              <w:t>Short-term employee benefits</w:t>
            </w:r>
          </w:p>
        </w:tc>
        <w:tc>
          <w:tcPr>
            <w:tcW w:w="1032" w:type="pct"/>
            <w:tcMar>
              <w:top w:w="0" w:type="dxa"/>
              <w:left w:w="0" w:type="dxa"/>
              <w:bottom w:w="0" w:type="dxa"/>
              <w:right w:w="0" w:type="dxa"/>
            </w:tcMar>
            <w:vAlign w:val="center"/>
          </w:tcPr>
          <w:p w14:paraId="1E9B404B" w14:textId="77777777" w:rsidR="009103CC" w:rsidRPr="001814D2" w:rsidRDefault="009103CC" w:rsidP="002718DF">
            <w:pPr>
              <w:pStyle w:val="Tabletext"/>
              <w:jc w:val="right"/>
            </w:pPr>
            <w:r w:rsidRPr="001814D2">
              <w:t>1,657</w:t>
            </w:r>
          </w:p>
        </w:tc>
        <w:tc>
          <w:tcPr>
            <w:tcW w:w="1032" w:type="pct"/>
            <w:tcMar>
              <w:top w:w="0" w:type="dxa"/>
              <w:left w:w="0" w:type="dxa"/>
              <w:bottom w:w="0" w:type="dxa"/>
              <w:right w:w="0" w:type="dxa"/>
            </w:tcMar>
            <w:vAlign w:val="center"/>
          </w:tcPr>
          <w:p w14:paraId="44FE3F2F" w14:textId="77777777" w:rsidR="009103CC" w:rsidRPr="001814D2" w:rsidRDefault="009103CC" w:rsidP="002718DF">
            <w:pPr>
              <w:pStyle w:val="Tabletext"/>
              <w:jc w:val="right"/>
            </w:pPr>
            <w:r w:rsidRPr="001814D2">
              <w:t>1,562</w:t>
            </w:r>
          </w:p>
        </w:tc>
      </w:tr>
      <w:tr w:rsidR="009103CC" w:rsidRPr="001814D2" w14:paraId="144D5D38" w14:textId="77777777" w:rsidTr="002718DF">
        <w:trPr>
          <w:cantSplit/>
          <w:trHeight w:hRule="exact" w:val="332"/>
        </w:trPr>
        <w:tc>
          <w:tcPr>
            <w:tcW w:w="2936" w:type="pct"/>
            <w:tcMar>
              <w:top w:w="0" w:type="dxa"/>
              <w:left w:w="0" w:type="dxa"/>
              <w:bottom w:w="0" w:type="dxa"/>
              <w:right w:w="0" w:type="dxa"/>
            </w:tcMar>
            <w:vAlign w:val="center"/>
          </w:tcPr>
          <w:p w14:paraId="457E3807" w14:textId="77777777" w:rsidR="009103CC" w:rsidRPr="001814D2" w:rsidRDefault="009103CC" w:rsidP="002718DF">
            <w:pPr>
              <w:pStyle w:val="Tabletext"/>
            </w:pPr>
            <w:r w:rsidRPr="001814D2">
              <w:t>Post-employment benefits</w:t>
            </w:r>
          </w:p>
        </w:tc>
        <w:tc>
          <w:tcPr>
            <w:tcW w:w="1032" w:type="pct"/>
            <w:tcMar>
              <w:top w:w="0" w:type="dxa"/>
              <w:left w:w="0" w:type="dxa"/>
              <w:bottom w:w="0" w:type="dxa"/>
              <w:right w:w="0" w:type="dxa"/>
            </w:tcMar>
            <w:vAlign w:val="center"/>
          </w:tcPr>
          <w:p w14:paraId="16382E5A" w14:textId="77777777" w:rsidR="009103CC" w:rsidRPr="001814D2" w:rsidRDefault="009103CC" w:rsidP="002718DF">
            <w:pPr>
              <w:pStyle w:val="Tabletext"/>
              <w:jc w:val="right"/>
            </w:pPr>
            <w:r w:rsidRPr="001814D2">
              <w:t>105</w:t>
            </w:r>
          </w:p>
        </w:tc>
        <w:tc>
          <w:tcPr>
            <w:tcW w:w="1032" w:type="pct"/>
            <w:tcMar>
              <w:top w:w="0" w:type="dxa"/>
              <w:left w:w="0" w:type="dxa"/>
              <w:bottom w:w="0" w:type="dxa"/>
              <w:right w:w="0" w:type="dxa"/>
            </w:tcMar>
            <w:vAlign w:val="center"/>
          </w:tcPr>
          <w:p w14:paraId="0456E2F4" w14:textId="77777777" w:rsidR="009103CC" w:rsidRPr="001814D2" w:rsidRDefault="009103CC" w:rsidP="002718DF">
            <w:pPr>
              <w:pStyle w:val="Tabletext"/>
              <w:jc w:val="right"/>
            </w:pPr>
            <w:r w:rsidRPr="001814D2">
              <w:t>113</w:t>
            </w:r>
          </w:p>
        </w:tc>
      </w:tr>
      <w:tr w:rsidR="009103CC" w:rsidRPr="001814D2" w14:paraId="2794FEA2" w14:textId="77777777" w:rsidTr="002718DF">
        <w:trPr>
          <w:cantSplit/>
          <w:trHeight w:hRule="exact" w:val="332"/>
        </w:trPr>
        <w:tc>
          <w:tcPr>
            <w:tcW w:w="2936" w:type="pct"/>
            <w:tcMar>
              <w:top w:w="0" w:type="dxa"/>
              <w:left w:w="0" w:type="dxa"/>
              <w:bottom w:w="0" w:type="dxa"/>
              <w:right w:w="0" w:type="dxa"/>
            </w:tcMar>
            <w:vAlign w:val="center"/>
          </w:tcPr>
          <w:p w14:paraId="76FDF81F" w14:textId="77777777" w:rsidR="009103CC" w:rsidRPr="001814D2" w:rsidRDefault="009103CC" w:rsidP="002718DF">
            <w:pPr>
              <w:pStyle w:val="Tabletext"/>
            </w:pPr>
            <w:r w:rsidRPr="001814D2">
              <w:t>Long-term benefits</w:t>
            </w:r>
          </w:p>
        </w:tc>
        <w:tc>
          <w:tcPr>
            <w:tcW w:w="1032" w:type="pct"/>
            <w:tcMar>
              <w:top w:w="0" w:type="dxa"/>
              <w:left w:w="0" w:type="dxa"/>
              <w:bottom w:w="0" w:type="dxa"/>
              <w:right w:w="0" w:type="dxa"/>
            </w:tcMar>
            <w:vAlign w:val="center"/>
          </w:tcPr>
          <w:p w14:paraId="0824A1BF" w14:textId="77777777" w:rsidR="009103CC" w:rsidRPr="001814D2" w:rsidRDefault="009103CC" w:rsidP="002718DF">
            <w:pPr>
              <w:pStyle w:val="Tabletext"/>
              <w:jc w:val="right"/>
            </w:pPr>
            <w:r w:rsidRPr="001814D2">
              <w:t>283</w:t>
            </w:r>
          </w:p>
        </w:tc>
        <w:tc>
          <w:tcPr>
            <w:tcW w:w="1032" w:type="pct"/>
            <w:tcMar>
              <w:top w:w="0" w:type="dxa"/>
              <w:left w:w="0" w:type="dxa"/>
              <w:bottom w:w="0" w:type="dxa"/>
              <w:right w:w="0" w:type="dxa"/>
            </w:tcMar>
            <w:vAlign w:val="center"/>
          </w:tcPr>
          <w:p w14:paraId="005DBFD5" w14:textId="77777777" w:rsidR="009103CC" w:rsidRPr="001814D2" w:rsidRDefault="009103CC" w:rsidP="002718DF">
            <w:pPr>
              <w:pStyle w:val="Tabletext"/>
              <w:jc w:val="right"/>
            </w:pPr>
            <w:r w:rsidRPr="001814D2">
              <w:t>235</w:t>
            </w:r>
          </w:p>
        </w:tc>
      </w:tr>
      <w:tr w:rsidR="009103CC" w:rsidRPr="001814D2" w14:paraId="2D652DA2" w14:textId="77777777" w:rsidTr="002718DF">
        <w:trPr>
          <w:cantSplit/>
          <w:trHeight w:hRule="exact" w:val="332"/>
        </w:trPr>
        <w:tc>
          <w:tcPr>
            <w:tcW w:w="2936" w:type="pct"/>
            <w:tcMar>
              <w:top w:w="0" w:type="dxa"/>
              <w:left w:w="0" w:type="dxa"/>
              <w:bottom w:w="0" w:type="dxa"/>
              <w:right w:w="0" w:type="dxa"/>
            </w:tcMar>
            <w:vAlign w:val="center"/>
          </w:tcPr>
          <w:p w14:paraId="19F965CC" w14:textId="77777777" w:rsidR="009103CC" w:rsidRPr="001814D2" w:rsidRDefault="009103CC" w:rsidP="002718DF">
            <w:pPr>
              <w:pStyle w:val="Tabletext"/>
            </w:pPr>
            <w:r w:rsidRPr="001814D2">
              <w:t>Total compensation</w:t>
            </w:r>
          </w:p>
        </w:tc>
        <w:tc>
          <w:tcPr>
            <w:tcW w:w="1032" w:type="pct"/>
            <w:tcMar>
              <w:top w:w="0" w:type="dxa"/>
              <w:left w:w="0" w:type="dxa"/>
              <w:bottom w:w="0" w:type="dxa"/>
              <w:right w:w="0" w:type="dxa"/>
            </w:tcMar>
            <w:vAlign w:val="center"/>
          </w:tcPr>
          <w:p w14:paraId="0FC2F5EA" w14:textId="77777777" w:rsidR="009103CC" w:rsidRPr="001814D2" w:rsidRDefault="009103CC" w:rsidP="002718DF">
            <w:pPr>
              <w:pStyle w:val="Tabletext"/>
              <w:jc w:val="right"/>
            </w:pPr>
            <w:r w:rsidRPr="001814D2">
              <w:t>2,045</w:t>
            </w:r>
          </w:p>
        </w:tc>
        <w:tc>
          <w:tcPr>
            <w:tcW w:w="1032" w:type="pct"/>
            <w:tcMar>
              <w:top w:w="0" w:type="dxa"/>
              <w:left w:w="0" w:type="dxa"/>
              <w:bottom w:w="0" w:type="dxa"/>
              <w:right w:w="0" w:type="dxa"/>
            </w:tcMar>
            <w:vAlign w:val="center"/>
          </w:tcPr>
          <w:p w14:paraId="4560CB54" w14:textId="77777777" w:rsidR="009103CC" w:rsidRPr="001814D2" w:rsidRDefault="009103CC" w:rsidP="002718DF">
            <w:pPr>
              <w:pStyle w:val="Tabletext"/>
              <w:jc w:val="right"/>
            </w:pPr>
            <w:r w:rsidRPr="001814D2">
              <w:t>1,910</w:t>
            </w:r>
          </w:p>
        </w:tc>
      </w:tr>
      <w:tr w:rsidR="009103CC" w:rsidRPr="001814D2" w14:paraId="6E6A3B80" w14:textId="77777777" w:rsidTr="002718DF">
        <w:trPr>
          <w:cantSplit/>
          <w:trHeight w:hRule="exact" w:val="332"/>
        </w:trPr>
        <w:tc>
          <w:tcPr>
            <w:tcW w:w="2936" w:type="pct"/>
            <w:tcMar>
              <w:top w:w="0" w:type="dxa"/>
              <w:left w:w="0" w:type="dxa"/>
              <w:bottom w:w="0" w:type="dxa"/>
              <w:right w:w="0" w:type="dxa"/>
            </w:tcMar>
            <w:vAlign w:val="center"/>
          </w:tcPr>
          <w:p w14:paraId="1D946AB5" w14:textId="77777777" w:rsidR="009103CC" w:rsidRPr="001814D2" w:rsidRDefault="009103CC" w:rsidP="002718DF">
            <w:pPr>
              <w:pStyle w:val="Tabletext"/>
              <w:rPr>
                <w:rFonts w:cstheme="minorBidi"/>
                <w:sz w:val="24"/>
                <w:szCs w:val="24"/>
              </w:rPr>
            </w:pPr>
          </w:p>
        </w:tc>
        <w:tc>
          <w:tcPr>
            <w:tcW w:w="1032" w:type="pct"/>
            <w:tcMar>
              <w:top w:w="0" w:type="dxa"/>
              <w:left w:w="0" w:type="dxa"/>
              <w:bottom w:w="0" w:type="dxa"/>
              <w:right w:w="0" w:type="dxa"/>
            </w:tcMar>
            <w:vAlign w:val="center"/>
          </w:tcPr>
          <w:p w14:paraId="61CE66D6" w14:textId="77777777" w:rsidR="009103CC" w:rsidRPr="001814D2" w:rsidRDefault="009103CC" w:rsidP="002718DF">
            <w:pPr>
              <w:pStyle w:val="Tabletext"/>
              <w:jc w:val="right"/>
              <w:rPr>
                <w:rFonts w:cstheme="minorBidi"/>
                <w:sz w:val="24"/>
                <w:szCs w:val="24"/>
              </w:rPr>
            </w:pPr>
          </w:p>
        </w:tc>
        <w:tc>
          <w:tcPr>
            <w:tcW w:w="1032" w:type="pct"/>
            <w:tcMar>
              <w:top w:w="0" w:type="dxa"/>
              <w:left w:w="0" w:type="dxa"/>
              <w:bottom w:w="0" w:type="dxa"/>
              <w:right w:w="0" w:type="dxa"/>
            </w:tcMar>
            <w:vAlign w:val="center"/>
          </w:tcPr>
          <w:p w14:paraId="464C0BB7" w14:textId="77777777" w:rsidR="009103CC" w:rsidRPr="001814D2" w:rsidRDefault="009103CC" w:rsidP="002718DF">
            <w:pPr>
              <w:pStyle w:val="Tabletext"/>
              <w:jc w:val="right"/>
              <w:rPr>
                <w:rFonts w:cstheme="minorBidi"/>
                <w:sz w:val="24"/>
                <w:szCs w:val="24"/>
              </w:rPr>
            </w:pPr>
          </w:p>
        </w:tc>
      </w:tr>
    </w:tbl>
    <w:p w14:paraId="7C799D66" w14:textId="77777777" w:rsidR="009103CC" w:rsidRDefault="009103CC" w:rsidP="009103CC">
      <w:pPr>
        <w:pStyle w:val="Tabletext"/>
      </w:pPr>
    </w:p>
    <w:tbl>
      <w:tblPr>
        <w:tblW w:w="5000" w:type="pct"/>
        <w:tblBorders>
          <w:bottom w:val="single" w:sz="4" w:space="0" w:color="auto"/>
          <w:insideH w:val="single" w:sz="4" w:space="0" w:color="auto"/>
        </w:tblBorders>
        <w:tblCellMar>
          <w:left w:w="0" w:type="dxa"/>
          <w:right w:w="0" w:type="dxa"/>
        </w:tblCellMar>
        <w:tblLook w:val="0000" w:firstRow="0" w:lastRow="0" w:firstColumn="0" w:lastColumn="0" w:noHBand="0" w:noVBand="0"/>
        <w:tblCaption w:val="(b) Transaction with related parties"/>
        <w:tblDescription w:val="The table provides figures for revenue and expenses for transactions that occurred with related parties in 2020 and 2021."/>
      </w:tblPr>
      <w:tblGrid>
        <w:gridCol w:w="5326"/>
        <w:gridCol w:w="1872"/>
        <w:gridCol w:w="1872"/>
      </w:tblGrid>
      <w:tr w:rsidR="009103CC" w:rsidRPr="002B3451" w14:paraId="75A0D744" w14:textId="77777777" w:rsidTr="002718DF">
        <w:trPr>
          <w:cantSplit/>
          <w:trHeight w:hRule="exact" w:val="472"/>
          <w:tblHeader/>
        </w:trPr>
        <w:tc>
          <w:tcPr>
            <w:tcW w:w="2936" w:type="pct"/>
            <w:tcBorders>
              <w:bottom w:val="nil"/>
            </w:tcBorders>
            <w:tcMar>
              <w:top w:w="0" w:type="dxa"/>
              <w:left w:w="0" w:type="dxa"/>
              <w:bottom w:w="0" w:type="dxa"/>
              <w:right w:w="0" w:type="dxa"/>
            </w:tcMar>
            <w:vAlign w:val="center"/>
          </w:tcPr>
          <w:p w14:paraId="609854A7" w14:textId="77777777" w:rsidR="009103CC" w:rsidRPr="002B3451" w:rsidRDefault="009103CC" w:rsidP="002718DF">
            <w:pPr>
              <w:pStyle w:val="Tabletext"/>
              <w:rPr>
                <w:b/>
                <w:bCs/>
              </w:rPr>
            </w:pPr>
            <w:r w:rsidRPr="002B3451">
              <w:rPr>
                <w:b/>
                <w:bCs/>
              </w:rPr>
              <w:t>(b) Transaction with related parties</w:t>
            </w:r>
          </w:p>
        </w:tc>
        <w:tc>
          <w:tcPr>
            <w:tcW w:w="1032" w:type="pct"/>
            <w:tcBorders>
              <w:bottom w:val="nil"/>
            </w:tcBorders>
            <w:tcMar>
              <w:top w:w="0" w:type="dxa"/>
              <w:left w:w="0" w:type="dxa"/>
              <w:bottom w:w="0" w:type="dxa"/>
              <w:right w:w="0" w:type="dxa"/>
            </w:tcMar>
            <w:vAlign w:val="center"/>
          </w:tcPr>
          <w:p w14:paraId="4EF47B96" w14:textId="77777777" w:rsidR="009103CC" w:rsidRPr="002B3451" w:rsidRDefault="009103CC" w:rsidP="002718DF">
            <w:pPr>
              <w:pStyle w:val="Tabletext"/>
              <w:rPr>
                <w:rFonts w:cstheme="minorBidi"/>
                <w:b/>
                <w:bCs/>
                <w:sz w:val="24"/>
                <w:szCs w:val="24"/>
              </w:rPr>
            </w:pPr>
          </w:p>
        </w:tc>
        <w:tc>
          <w:tcPr>
            <w:tcW w:w="1032" w:type="pct"/>
            <w:tcBorders>
              <w:bottom w:val="nil"/>
            </w:tcBorders>
            <w:tcMar>
              <w:top w:w="0" w:type="dxa"/>
              <w:left w:w="0" w:type="dxa"/>
              <w:bottom w:w="0" w:type="dxa"/>
              <w:right w:w="0" w:type="dxa"/>
            </w:tcMar>
            <w:vAlign w:val="center"/>
          </w:tcPr>
          <w:p w14:paraId="1435F912" w14:textId="77777777" w:rsidR="009103CC" w:rsidRPr="002B3451" w:rsidRDefault="009103CC" w:rsidP="002718DF">
            <w:pPr>
              <w:pStyle w:val="Tabletext"/>
              <w:rPr>
                <w:rFonts w:cstheme="minorBidi"/>
                <w:b/>
                <w:bCs/>
                <w:sz w:val="24"/>
                <w:szCs w:val="24"/>
              </w:rPr>
            </w:pPr>
          </w:p>
        </w:tc>
      </w:tr>
      <w:tr w:rsidR="009103CC" w:rsidRPr="001814D2" w14:paraId="650DC87B" w14:textId="77777777" w:rsidTr="002718DF">
        <w:trPr>
          <w:cantSplit/>
          <w:trHeight w:hRule="exact" w:val="351"/>
          <w:tblHeader/>
        </w:trPr>
        <w:tc>
          <w:tcPr>
            <w:tcW w:w="5000" w:type="pct"/>
            <w:gridSpan w:val="3"/>
            <w:tcBorders>
              <w:top w:val="nil"/>
            </w:tcBorders>
            <w:tcMar>
              <w:top w:w="0" w:type="dxa"/>
              <w:left w:w="0" w:type="dxa"/>
              <w:bottom w:w="0" w:type="dxa"/>
              <w:right w:w="0" w:type="dxa"/>
            </w:tcMar>
            <w:vAlign w:val="center"/>
          </w:tcPr>
          <w:p w14:paraId="366F4098" w14:textId="77777777" w:rsidR="009103CC" w:rsidRPr="001814D2" w:rsidRDefault="009103CC" w:rsidP="002718DF">
            <w:pPr>
              <w:pStyle w:val="Tabletext"/>
              <w:rPr>
                <w:rFonts w:cstheme="minorBidi"/>
                <w:sz w:val="24"/>
                <w:szCs w:val="24"/>
              </w:rPr>
            </w:pPr>
            <w:r w:rsidRPr="001814D2">
              <w:t>The following transactions occurred with related parties in 2020 and 2021:</w:t>
            </w:r>
          </w:p>
        </w:tc>
      </w:tr>
      <w:tr w:rsidR="009103CC" w:rsidRPr="002B3451" w14:paraId="7F3F000C" w14:textId="77777777" w:rsidTr="002718DF">
        <w:trPr>
          <w:cantSplit/>
          <w:trHeight w:hRule="exact" w:val="553"/>
          <w:tblHeader/>
        </w:trPr>
        <w:tc>
          <w:tcPr>
            <w:tcW w:w="2936" w:type="pct"/>
            <w:tcBorders>
              <w:bottom w:val="nil"/>
            </w:tcBorders>
            <w:tcMar>
              <w:top w:w="0" w:type="dxa"/>
              <w:left w:w="0" w:type="dxa"/>
              <w:bottom w:w="0" w:type="dxa"/>
              <w:right w:w="0" w:type="dxa"/>
            </w:tcMar>
            <w:vAlign w:val="center"/>
          </w:tcPr>
          <w:p w14:paraId="5CD0F88A" w14:textId="77777777" w:rsidR="009103CC" w:rsidRPr="002B3451" w:rsidRDefault="009103CC" w:rsidP="002718DF">
            <w:pPr>
              <w:pStyle w:val="Tabletext"/>
              <w:rPr>
                <w:rFonts w:cstheme="minorBidi"/>
                <w:b/>
                <w:bCs/>
                <w:sz w:val="24"/>
                <w:szCs w:val="24"/>
              </w:rPr>
            </w:pPr>
          </w:p>
        </w:tc>
        <w:tc>
          <w:tcPr>
            <w:tcW w:w="1032" w:type="pct"/>
            <w:tcBorders>
              <w:bottom w:val="nil"/>
            </w:tcBorders>
            <w:tcMar>
              <w:top w:w="0" w:type="dxa"/>
              <w:left w:w="0" w:type="dxa"/>
              <w:bottom w:w="0" w:type="dxa"/>
              <w:right w:w="0" w:type="dxa"/>
            </w:tcMar>
            <w:vAlign w:val="center"/>
          </w:tcPr>
          <w:p w14:paraId="57DBA883" w14:textId="77777777" w:rsidR="009103CC" w:rsidRPr="002B3451" w:rsidRDefault="009103CC" w:rsidP="002718DF">
            <w:pPr>
              <w:pStyle w:val="Tabletext"/>
              <w:jc w:val="right"/>
              <w:rPr>
                <w:b/>
                <w:bCs/>
              </w:rPr>
            </w:pPr>
            <w:r w:rsidRPr="002B3451">
              <w:rPr>
                <w:b/>
                <w:bCs/>
              </w:rPr>
              <w:t xml:space="preserve">Revenue </w:t>
            </w:r>
          </w:p>
          <w:p w14:paraId="20DC9663" w14:textId="77777777" w:rsidR="009103CC" w:rsidRPr="002B3451" w:rsidRDefault="009103CC" w:rsidP="002718DF">
            <w:pPr>
              <w:pStyle w:val="Tabletext"/>
              <w:jc w:val="right"/>
              <w:rPr>
                <w:b/>
                <w:bCs/>
              </w:rPr>
            </w:pPr>
            <w:r w:rsidRPr="002B3451">
              <w:rPr>
                <w:b/>
                <w:bCs/>
              </w:rPr>
              <w:t>$’000</w:t>
            </w:r>
          </w:p>
        </w:tc>
        <w:tc>
          <w:tcPr>
            <w:tcW w:w="1032" w:type="pct"/>
            <w:tcBorders>
              <w:bottom w:val="nil"/>
            </w:tcBorders>
            <w:tcMar>
              <w:top w:w="0" w:type="dxa"/>
              <w:left w:w="0" w:type="dxa"/>
              <w:bottom w:w="0" w:type="dxa"/>
              <w:right w:w="0" w:type="dxa"/>
            </w:tcMar>
            <w:vAlign w:val="center"/>
          </w:tcPr>
          <w:p w14:paraId="498223EA" w14:textId="77777777" w:rsidR="009103CC" w:rsidRPr="002B3451" w:rsidRDefault="009103CC" w:rsidP="002718DF">
            <w:pPr>
              <w:pStyle w:val="Tabletext"/>
              <w:jc w:val="right"/>
              <w:rPr>
                <w:b/>
                <w:bCs/>
              </w:rPr>
            </w:pPr>
            <w:r w:rsidRPr="002B3451">
              <w:rPr>
                <w:b/>
                <w:bCs/>
              </w:rPr>
              <w:t xml:space="preserve">Expenses </w:t>
            </w:r>
          </w:p>
          <w:p w14:paraId="20A89A95" w14:textId="77777777" w:rsidR="009103CC" w:rsidRPr="002B3451" w:rsidRDefault="009103CC" w:rsidP="002718DF">
            <w:pPr>
              <w:pStyle w:val="Tabletext"/>
              <w:jc w:val="right"/>
              <w:rPr>
                <w:b/>
                <w:bCs/>
              </w:rPr>
            </w:pPr>
            <w:r w:rsidRPr="002B3451">
              <w:rPr>
                <w:b/>
                <w:bCs/>
              </w:rPr>
              <w:t>$’000</w:t>
            </w:r>
          </w:p>
        </w:tc>
      </w:tr>
      <w:tr w:rsidR="009103CC" w:rsidRPr="001814D2" w14:paraId="1C13CCFA" w14:textId="77777777" w:rsidTr="002718DF">
        <w:trPr>
          <w:cantSplit/>
          <w:trHeight w:hRule="exact" w:val="332"/>
        </w:trPr>
        <w:tc>
          <w:tcPr>
            <w:tcW w:w="2936" w:type="pct"/>
            <w:tcBorders>
              <w:top w:val="nil"/>
            </w:tcBorders>
            <w:tcMar>
              <w:top w:w="0" w:type="dxa"/>
              <w:left w:w="0" w:type="dxa"/>
              <w:bottom w:w="0" w:type="dxa"/>
              <w:right w:w="0" w:type="dxa"/>
            </w:tcMar>
            <w:vAlign w:val="center"/>
          </w:tcPr>
          <w:p w14:paraId="2EF1B5DC" w14:textId="77777777" w:rsidR="009103CC" w:rsidRPr="001814D2" w:rsidRDefault="009103CC" w:rsidP="002718DF">
            <w:pPr>
              <w:pStyle w:val="Tabletext"/>
            </w:pPr>
            <w:r w:rsidRPr="001814D2">
              <w:t>2020</w:t>
            </w:r>
          </w:p>
        </w:tc>
        <w:tc>
          <w:tcPr>
            <w:tcW w:w="1032" w:type="pct"/>
            <w:tcBorders>
              <w:top w:val="nil"/>
            </w:tcBorders>
            <w:tcMar>
              <w:top w:w="0" w:type="dxa"/>
              <w:left w:w="0" w:type="dxa"/>
              <w:bottom w:w="0" w:type="dxa"/>
              <w:right w:w="0" w:type="dxa"/>
            </w:tcMar>
            <w:vAlign w:val="center"/>
          </w:tcPr>
          <w:p w14:paraId="09DA892C" w14:textId="77777777" w:rsidR="009103CC" w:rsidRPr="001814D2" w:rsidRDefault="009103CC" w:rsidP="002718DF">
            <w:pPr>
              <w:pStyle w:val="Tabletext"/>
              <w:jc w:val="right"/>
              <w:rPr>
                <w:rFonts w:cstheme="minorBidi"/>
                <w:sz w:val="24"/>
                <w:szCs w:val="24"/>
              </w:rPr>
            </w:pPr>
          </w:p>
        </w:tc>
        <w:tc>
          <w:tcPr>
            <w:tcW w:w="1032" w:type="pct"/>
            <w:tcBorders>
              <w:top w:val="nil"/>
            </w:tcBorders>
            <w:tcMar>
              <w:top w:w="0" w:type="dxa"/>
              <w:left w:w="0" w:type="dxa"/>
              <w:bottom w:w="0" w:type="dxa"/>
              <w:right w:w="0" w:type="dxa"/>
            </w:tcMar>
            <w:vAlign w:val="center"/>
          </w:tcPr>
          <w:p w14:paraId="1FCD2511" w14:textId="77777777" w:rsidR="009103CC" w:rsidRPr="001814D2" w:rsidRDefault="009103CC" w:rsidP="002718DF">
            <w:pPr>
              <w:pStyle w:val="Tabletext"/>
              <w:jc w:val="right"/>
              <w:rPr>
                <w:rFonts w:cstheme="minorBidi"/>
                <w:sz w:val="24"/>
                <w:szCs w:val="24"/>
              </w:rPr>
            </w:pPr>
          </w:p>
        </w:tc>
      </w:tr>
      <w:tr w:rsidR="009103CC" w:rsidRPr="001814D2" w14:paraId="5258B984" w14:textId="77777777" w:rsidTr="002718DF">
        <w:trPr>
          <w:cantSplit/>
          <w:trHeight w:hRule="exact" w:val="332"/>
        </w:trPr>
        <w:tc>
          <w:tcPr>
            <w:tcW w:w="2936" w:type="pct"/>
            <w:tcMar>
              <w:top w:w="0" w:type="dxa"/>
              <w:left w:w="0" w:type="dxa"/>
              <w:bottom w:w="0" w:type="dxa"/>
              <w:right w:w="0" w:type="dxa"/>
            </w:tcMar>
            <w:vAlign w:val="center"/>
          </w:tcPr>
          <w:p w14:paraId="3EAB5774" w14:textId="77777777" w:rsidR="009103CC" w:rsidRPr="001814D2" w:rsidRDefault="009103CC" w:rsidP="002718DF">
            <w:pPr>
              <w:pStyle w:val="Tabletext"/>
            </w:pPr>
            <w:r w:rsidRPr="001814D2">
              <w:t>Cash donations received from Trustees</w:t>
            </w:r>
          </w:p>
        </w:tc>
        <w:tc>
          <w:tcPr>
            <w:tcW w:w="1032" w:type="pct"/>
            <w:tcMar>
              <w:top w:w="0" w:type="dxa"/>
              <w:left w:w="0" w:type="dxa"/>
              <w:bottom w:w="0" w:type="dxa"/>
              <w:right w:w="0" w:type="dxa"/>
            </w:tcMar>
            <w:vAlign w:val="center"/>
          </w:tcPr>
          <w:p w14:paraId="4E46E5AA" w14:textId="77777777" w:rsidR="009103CC" w:rsidRPr="001814D2" w:rsidRDefault="009103CC" w:rsidP="002718DF">
            <w:pPr>
              <w:pStyle w:val="Tabletext"/>
              <w:jc w:val="right"/>
            </w:pPr>
            <w:r w:rsidRPr="001814D2">
              <w:t>1,800</w:t>
            </w:r>
          </w:p>
        </w:tc>
        <w:tc>
          <w:tcPr>
            <w:tcW w:w="1032" w:type="pct"/>
            <w:tcMar>
              <w:top w:w="0" w:type="dxa"/>
              <w:left w:w="0" w:type="dxa"/>
              <w:bottom w:w="0" w:type="dxa"/>
              <w:right w:w="0" w:type="dxa"/>
            </w:tcMar>
            <w:vAlign w:val="center"/>
          </w:tcPr>
          <w:p w14:paraId="10E59383" w14:textId="77777777" w:rsidR="009103CC" w:rsidRPr="001814D2" w:rsidRDefault="009103CC" w:rsidP="002718DF">
            <w:pPr>
              <w:pStyle w:val="Tabletext"/>
              <w:jc w:val="right"/>
            </w:pPr>
            <w:r w:rsidRPr="001814D2">
              <w:t>-</w:t>
            </w:r>
          </w:p>
        </w:tc>
      </w:tr>
      <w:tr w:rsidR="009103CC" w:rsidRPr="001814D2" w14:paraId="4FB41508" w14:textId="77777777" w:rsidTr="002718DF">
        <w:trPr>
          <w:cantSplit/>
          <w:trHeight w:hRule="exact" w:val="332"/>
        </w:trPr>
        <w:tc>
          <w:tcPr>
            <w:tcW w:w="2936" w:type="pct"/>
            <w:tcMar>
              <w:top w:w="0" w:type="dxa"/>
              <w:left w:w="0" w:type="dxa"/>
              <w:bottom w:w="0" w:type="dxa"/>
              <w:right w:w="0" w:type="dxa"/>
            </w:tcMar>
            <w:vAlign w:val="center"/>
          </w:tcPr>
          <w:p w14:paraId="30D1EE3F" w14:textId="77777777" w:rsidR="009103CC" w:rsidRPr="001814D2" w:rsidRDefault="009103CC" w:rsidP="002718DF">
            <w:pPr>
              <w:pStyle w:val="Tabletext"/>
            </w:pPr>
            <w:r w:rsidRPr="001814D2">
              <w:t>ANZ sponsorship</w:t>
            </w:r>
          </w:p>
        </w:tc>
        <w:tc>
          <w:tcPr>
            <w:tcW w:w="1032" w:type="pct"/>
            <w:tcMar>
              <w:top w:w="0" w:type="dxa"/>
              <w:left w:w="0" w:type="dxa"/>
              <w:bottom w:w="0" w:type="dxa"/>
              <w:right w:w="0" w:type="dxa"/>
            </w:tcMar>
            <w:vAlign w:val="center"/>
          </w:tcPr>
          <w:p w14:paraId="00ADB2F1" w14:textId="77777777" w:rsidR="009103CC" w:rsidRPr="001814D2" w:rsidRDefault="009103CC" w:rsidP="002718DF">
            <w:pPr>
              <w:pStyle w:val="Tabletext"/>
              <w:jc w:val="right"/>
            </w:pPr>
            <w:r w:rsidRPr="001814D2">
              <w:t>490</w:t>
            </w:r>
          </w:p>
        </w:tc>
        <w:tc>
          <w:tcPr>
            <w:tcW w:w="1032" w:type="pct"/>
            <w:tcMar>
              <w:top w:w="0" w:type="dxa"/>
              <w:left w:w="0" w:type="dxa"/>
              <w:bottom w:w="0" w:type="dxa"/>
              <w:right w:w="0" w:type="dxa"/>
            </w:tcMar>
            <w:vAlign w:val="center"/>
          </w:tcPr>
          <w:p w14:paraId="22B6890A" w14:textId="77777777" w:rsidR="009103CC" w:rsidRPr="001814D2" w:rsidRDefault="009103CC" w:rsidP="002718DF">
            <w:pPr>
              <w:pStyle w:val="Tabletext"/>
              <w:jc w:val="right"/>
            </w:pPr>
            <w:r w:rsidRPr="001814D2">
              <w:t>-</w:t>
            </w:r>
          </w:p>
        </w:tc>
      </w:tr>
      <w:tr w:rsidR="009103CC" w:rsidRPr="001814D2" w14:paraId="4E38C02B" w14:textId="77777777" w:rsidTr="002718DF">
        <w:trPr>
          <w:cantSplit/>
          <w:trHeight w:hRule="exact" w:val="332"/>
        </w:trPr>
        <w:tc>
          <w:tcPr>
            <w:tcW w:w="2936" w:type="pct"/>
            <w:tcMar>
              <w:top w:w="0" w:type="dxa"/>
              <w:left w:w="0" w:type="dxa"/>
              <w:bottom w:w="0" w:type="dxa"/>
              <w:right w:w="0" w:type="dxa"/>
            </w:tcMar>
            <w:vAlign w:val="center"/>
          </w:tcPr>
          <w:p w14:paraId="4A97B56D" w14:textId="77777777" w:rsidR="009103CC" w:rsidRPr="001814D2" w:rsidRDefault="009103CC" w:rsidP="002718DF">
            <w:pPr>
              <w:pStyle w:val="Tabletext"/>
            </w:pPr>
            <w:r w:rsidRPr="001814D2">
              <w:t>Herbert Smith Freehills</w:t>
            </w:r>
          </w:p>
        </w:tc>
        <w:tc>
          <w:tcPr>
            <w:tcW w:w="1032" w:type="pct"/>
            <w:tcMar>
              <w:top w:w="0" w:type="dxa"/>
              <w:left w:w="0" w:type="dxa"/>
              <w:bottom w:w="0" w:type="dxa"/>
              <w:right w:w="0" w:type="dxa"/>
            </w:tcMar>
            <w:vAlign w:val="center"/>
          </w:tcPr>
          <w:p w14:paraId="3917ECC4" w14:textId="77777777" w:rsidR="009103CC" w:rsidRPr="001814D2" w:rsidRDefault="009103CC" w:rsidP="002718DF">
            <w:pPr>
              <w:pStyle w:val="Tabletext"/>
              <w:jc w:val="right"/>
            </w:pPr>
            <w:r w:rsidRPr="001814D2">
              <w:t>305</w:t>
            </w:r>
          </w:p>
        </w:tc>
        <w:tc>
          <w:tcPr>
            <w:tcW w:w="1032" w:type="pct"/>
            <w:tcMar>
              <w:top w:w="0" w:type="dxa"/>
              <w:left w:w="0" w:type="dxa"/>
              <w:bottom w:w="0" w:type="dxa"/>
              <w:right w:w="0" w:type="dxa"/>
            </w:tcMar>
            <w:vAlign w:val="center"/>
          </w:tcPr>
          <w:p w14:paraId="65E2F0B2" w14:textId="77777777" w:rsidR="009103CC" w:rsidRPr="001814D2" w:rsidRDefault="009103CC" w:rsidP="002718DF">
            <w:pPr>
              <w:pStyle w:val="Tabletext"/>
              <w:jc w:val="right"/>
            </w:pPr>
            <w:r w:rsidRPr="001814D2">
              <w:t>425</w:t>
            </w:r>
          </w:p>
        </w:tc>
      </w:tr>
      <w:tr w:rsidR="009103CC" w:rsidRPr="001814D2" w14:paraId="4DC17B5B" w14:textId="77777777" w:rsidTr="002718DF">
        <w:trPr>
          <w:cantSplit/>
          <w:trHeight w:hRule="exact" w:val="332"/>
        </w:trPr>
        <w:tc>
          <w:tcPr>
            <w:tcW w:w="2936" w:type="pct"/>
            <w:tcMar>
              <w:top w:w="0" w:type="dxa"/>
              <w:left w:w="0" w:type="dxa"/>
              <w:bottom w:w="0" w:type="dxa"/>
              <w:right w:w="0" w:type="dxa"/>
            </w:tcMar>
            <w:vAlign w:val="center"/>
          </w:tcPr>
          <w:p w14:paraId="723113D9" w14:textId="77777777" w:rsidR="009103CC" w:rsidRPr="001814D2" w:rsidRDefault="009103CC" w:rsidP="002718DF">
            <w:pPr>
              <w:pStyle w:val="Tabletext"/>
            </w:pPr>
            <w:r w:rsidRPr="001814D2">
              <w:t>Macquarie University</w:t>
            </w:r>
          </w:p>
        </w:tc>
        <w:tc>
          <w:tcPr>
            <w:tcW w:w="1032" w:type="pct"/>
            <w:tcMar>
              <w:top w:w="0" w:type="dxa"/>
              <w:left w:w="0" w:type="dxa"/>
              <w:bottom w:w="0" w:type="dxa"/>
              <w:right w:w="0" w:type="dxa"/>
            </w:tcMar>
            <w:vAlign w:val="center"/>
          </w:tcPr>
          <w:p w14:paraId="5FD3710E" w14:textId="77777777" w:rsidR="009103CC" w:rsidRPr="001814D2" w:rsidRDefault="009103CC" w:rsidP="002718DF">
            <w:pPr>
              <w:pStyle w:val="Tabletext"/>
              <w:jc w:val="right"/>
            </w:pPr>
            <w:r w:rsidRPr="001814D2">
              <w:t>250</w:t>
            </w:r>
          </w:p>
        </w:tc>
        <w:tc>
          <w:tcPr>
            <w:tcW w:w="1032" w:type="pct"/>
            <w:tcMar>
              <w:top w:w="0" w:type="dxa"/>
              <w:left w:w="0" w:type="dxa"/>
              <w:bottom w:w="0" w:type="dxa"/>
              <w:right w:w="0" w:type="dxa"/>
            </w:tcMar>
            <w:vAlign w:val="center"/>
          </w:tcPr>
          <w:p w14:paraId="4DA4FE6D" w14:textId="77777777" w:rsidR="009103CC" w:rsidRPr="001814D2" w:rsidRDefault="009103CC" w:rsidP="002718DF">
            <w:pPr>
              <w:pStyle w:val="Tabletext"/>
              <w:jc w:val="right"/>
            </w:pPr>
            <w:r w:rsidRPr="001814D2">
              <w:t>-</w:t>
            </w:r>
          </w:p>
        </w:tc>
      </w:tr>
      <w:tr w:rsidR="009103CC" w:rsidRPr="001814D2" w14:paraId="6327B549" w14:textId="77777777" w:rsidTr="002718DF">
        <w:trPr>
          <w:cantSplit/>
          <w:trHeight w:hRule="exact" w:val="332"/>
        </w:trPr>
        <w:tc>
          <w:tcPr>
            <w:tcW w:w="2936" w:type="pct"/>
            <w:tcBorders>
              <w:top w:val="nil"/>
            </w:tcBorders>
            <w:tcMar>
              <w:top w:w="0" w:type="dxa"/>
              <w:left w:w="0" w:type="dxa"/>
              <w:bottom w:w="0" w:type="dxa"/>
              <w:right w:w="0" w:type="dxa"/>
            </w:tcMar>
            <w:vAlign w:val="center"/>
          </w:tcPr>
          <w:p w14:paraId="12A63125" w14:textId="77777777" w:rsidR="009103CC" w:rsidRPr="001814D2" w:rsidRDefault="009103CC" w:rsidP="002718DF">
            <w:pPr>
              <w:pStyle w:val="Tabletext"/>
            </w:pPr>
            <w:r w:rsidRPr="001814D2">
              <w:t>2021</w:t>
            </w:r>
          </w:p>
        </w:tc>
        <w:tc>
          <w:tcPr>
            <w:tcW w:w="1032" w:type="pct"/>
            <w:tcBorders>
              <w:top w:val="nil"/>
            </w:tcBorders>
            <w:tcMar>
              <w:top w:w="0" w:type="dxa"/>
              <w:left w:w="0" w:type="dxa"/>
              <w:bottom w:w="0" w:type="dxa"/>
              <w:right w:w="0" w:type="dxa"/>
            </w:tcMar>
            <w:vAlign w:val="center"/>
          </w:tcPr>
          <w:p w14:paraId="0CB81F2D" w14:textId="77777777" w:rsidR="009103CC" w:rsidRPr="001814D2" w:rsidRDefault="009103CC" w:rsidP="002718DF">
            <w:pPr>
              <w:pStyle w:val="Tabletext"/>
              <w:jc w:val="right"/>
              <w:rPr>
                <w:rFonts w:cstheme="minorBidi"/>
                <w:sz w:val="24"/>
                <w:szCs w:val="24"/>
              </w:rPr>
            </w:pPr>
          </w:p>
        </w:tc>
        <w:tc>
          <w:tcPr>
            <w:tcW w:w="1032" w:type="pct"/>
            <w:tcBorders>
              <w:top w:val="nil"/>
            </w:tcBorders>
            <w:tcMar>
              <w:top w:w="0" w:type="dxa"/>
              <w:left w:w="0" w:type="dxa"/>
              <w:bottom w:w="0" w:type="dxa"/>
              <w:right w:w="0" w:type="dxa"/>
            </w:tcMar>
            <w:vAlign w:val="center"/>
          </w:tcPr>
          <w:p w14:paraId="0E90C6CF" w14:textId="77777777" w:rsidR="009103CC" w:rsidRPr="001814D2" w:rsidRDefault="009103CC" w:rsidP="002718DF">
            <w:pPr>
              <w:pStyle w:val="Tabletext"/>
              <w:jc w:val="right"/>
              <w:rPr>
                <w:rFonts w:cstheme="minorBidi"/>
                <w:sz w:val="24"/>
                <w:szCs w:val="24"/>
              </w:rPr>
            </w:pPr>
          </w:p>
        </w:tc>
      </w:tr>
      <w:tr w:rsidR="009103CC" w:rsidRPr="001814D2" w14:paraId="786709E3" w14:textId="77777777" w:rsidTr="002718DF">
        <w:trPr>
          <w:cantSplit/>
          <w:trHeight w:hRule="exact" w:val="332"/>
        </w:trPr>
        <w:tc>
          <w:tcPr>
            <w:tcW w:w="2936" w:type="pct"/>
            <w:tcMar>
              <w:top w:w="0" w:type="dxa"/>
              <w:left w:w="0" w:type="dxa"/>
              <w:bottom w:w="0" w:type="dxa"/>
              <w:right w:w="0" w:type="dxa"/>
            </w:tcMar>
            <w:vAlign w:val="center"/>
          </w:tcPr>
          <w:p w14:paraId="0562934E" w14:textId="77777777" w:rsidR="009103CC" w:rsidRPr="001814D2" w:rsidRDefault="009103CC" w:rsidP="002718DF">
            <w:pPr>
              <w:pStyle w:val="Tabletext"/>
            </w:pPr>
            <w:r w:rsidRPr="001814D2">
              <w:t>Cash donations received from Trustees</w:t>
            </w:r>
          </w:p>
        </w:tc>
        <w:tc>
          <w:tcPr>
            <w:tcW w:w="1032" w:type="pct"/>
            <w:tcMar>
              <w:top w:w="0" w:type="dxa"/>
              <w:left w:w="0" w:type="dxa"/>
              <w:bottom w:w="0" w:type="dxa"/>
              <w:right w:w="0" w:type="dxa"/>
            </w:tcMar>
            <w:vAlign w:val="center"/>
          </w:tcPr>
          <w:p w14:paraId="31B9CC63" w14:textId="77777777" w:rsidR="009103CC" w:rsidRPr="001814D2" w:rsidRDefault="009103CC" w:rsidP="002718DF">
            <w:pPr>
              <w:pStyle w:val="Tabletext"/>
              <w:jc w:val="right"/>
            </w:pPr>
            <w:r w:rsidRPr="001814D2">
              <w:t>3,669</w:t>
            </w:r>
          </w:p>
        </w:tc>
        <w:tc>
          <w:tcPr>
            <w:tcW w:w="1032" w:type="pct"/>
            <w:tcMar>
              <w:top w:w="0" w:type="dxa"/>
              <w:left w:w="0" w:type="dxa"/>
              <w:bottom w:w="0" w:type="dxa"/>
              <w:right w:w="0" w:type="dxa"/>
            </w:tcMar>
            <w:vAlign w:val="center"/>
          </w:tcPr>
          <w:p w14:paraId="3FE2BC85" w14:textId="77777777" w:rsidR="009103CC" w:rsidRPr="001814D2" w:rsidRDefault="009103CC" w:rsidP="002718DF">
            <w:pPr>
              <w:pStyle w:val="Tabletext"/>
              <w:jc w:val="right"/>
            </w:pPr>
            <w:r w:rsidRPr="001814D2">
              <w:t>-</w:t>
            </w:r>
          </w:p>
        </w:tc>
      </w:tr>
      <w:tr w:rsidR="009103CC" w:rsidRPr="001814D2" w14:paraId="20CB03B2" w14:textId="77777777" w:rsidTr="002718DF">
        <w:trPr>
          <w:cantSplit/>
          <w:trHeight w:hRule="exact" w:val="332"/>
        </w:trPr>
        <w:tc>
          <w:tcPr>
            <w:tcW w:w="2936" w:type="pct"/>
            <w:tcMar>
              <w:top w:w="0" w:type="dxa"/>
              <w:left w:w="0" w:type="dxa"/>
              <w:bottom w:w="0" w:type="dxa"/>
              <w:right w:w="0" w:type="dxa"/>
            </w:tcMar>
            <w:vAlign w:val="center"/>
          </w:tcPr>
          <w:p w14:paraId="23F345EC" w14:textId="77777777" w:rsidR="009103CC" w:rsidRPr="001814D2" w:rsidRDefault="009103CC" w:rsidP="002718DF">
            <w:pPr>
              <w:pStyle w:val="Tabletext"/>
            </w:pPr>
            <w:r w:rsidRPr="001814D2">
              <w:t>Artwork donations</w:t>
            </w:r>
          </w:p>
        </w:tc>
        <w:tc>
          <w:tcPr>
            <w:tcW w:w="1032" w:type="pct"/>
            <w:tcMar>
              <w:top w:w="0" w:type="dxa"/>
              <w:left w:w="0" w:type="dxa"/>
              <w:bottom w:w="0" w:type="dxa"/>
              <w:right w:w="0" w:type="dxa"/>
            </w:tcMar>
            <w:vAlign w:val="center"/>
          </w:tcPr>
          <w:p w14:paraId="46CE3D56" w14:textId="77777777" w:rsidR="009103CC" w:rsidRPr="001814D2" w:rsidRDefault="009103CC" w:rsidP="002718DF">
            <w:pPr>
              <w:pStyle w:val="Tabletext"/>
              <w:jc w:val="right"/>
            </w:pPr>
            <w:r w:rsidRPr="001814D2">
              <w:t>47</w:t>
            </w:r>
          </w:p>
        </w:tc>
        <w:tc>
          <w:tcPr>
            <w:tcW w:w="1032" w:type="pct"/>
            <w:tcMar>
              <w:top w:w="0" w:type="dxa"/>
              <w:left w:w="0" w:type="dxa"/>
              <w:bottom w:w="0" w:type="dxa"/>
              <w:right w:w="0" w:type="dxa"/>
            </w:tcMar>
            <w:vAlign w:val="center"/>
          </w:tcPr>
          <w:p w14:paraId="7113D478" w14:textId="77777777" w:rsidR="009103CC" w:rsidRPr="001814D2" w:rsidRDefault="009103CC" w:rsidP="002718DF">
            <w:pPr>
              <w:pStyle w:val="Tabletext"/>
              <w:jc w:val="right"/>
            </w:pPr>
            <w:r w:rsidRPr="001814D2">
              <w:t>-</w:t>
            </w:r>
          </w:p>
        </w:tc>
      </w:tr>
      <w:tr w:rsidR="009103CC" w:rsidRPr="001814D2" w14:paraId="6E7247A2" w14:textId="77777777" w:rsidTr="002718DF">
        <w:trPr>
          <w:cantSplit/>
          <w:trHeight w:hRule="exact" w:val="332"/>
        </w:trPr>
        <w:tc>
          <w:tcPr>
            <w:tcW w:w="2936" w:type="pct"/>
            <w:tcMar>
              <w:top w:w="0" w:type="dxa"/>
              <w:left w:w="0" w:type="dxa"/>
              <w:bottom w:w="0" w:type="dxa"/>
              <w:right w:w="0" w:type="dxa"/>
            </w:tcMar>
            <w:vAlign w:val="center"/>
          </w:tcPr>
          <w:p w14:paraId="27598022" w14:textId="77777777" w:rsidR="009103CC" w:rsidRPr="001814D2" w:rsidRDefault="009103CC" w:rsidP="002718DF">
            <w:pPr>
              <w:pStyle w:val="Tabletext"/>
            </w:pPr>
            <w:r w:rsidRPr="001814D2">
              <w:t>ANZ sponsorship</w:t>
            </w:r>
          </w:p>
        </w:tc>
        <w:tc>
          <w:tcPr>
            <w:tcW w:w="1032" w:type="pct"/>
            <w:tcMar>
              <w:top w:w="0" w:type="dxa"/>
              <w:left w:w="0" w:type="dxa"/>
              <w:bottom w:w="0" w:type="dxa"/>
              <w:right w:w="0" w:type="dxa"/>
            </w:tcMar>
            <w:vAlign w:val="center"/>
          </w:tcPr>
          <w:p w14:paraId="2F95623B" w14:textId="77777777" w:rsidR="009103CC" w:rsidRPr="001814D2" w:rsidRDefault="009103CC" w:rsidP="002718DF">
            <w:pPr>
              <w:pStyle w:val="Tabletext"/>
              <w:jc w:val="right"/>
            </w:pPr>
            <w:r w:rsidRPr="001814D2">
              <w:t>500</w:t>
            </w:r>
          </w:p>
        </w:tc>
        <w:tc>
          <w:tcPr>
            <w:tcW w:w="1032" w:type="pct"/>
            <w:tcMar>
              <w:top w:w="0" w:type="dxa"/>
              <w:left w:w="0" w:type="dxa"/>
              <w:bottom w:w="0" w:type="dxa"/>
              <w:right w:w="0" w:type="dxa"/>
            </w:tcMar>
            <w:vAlign w:val="center"/>
          </w:tcPr>
          <w:p w14:paraId="10E64F06" w14:textId="77777777" w:rsidR="009103CC" w:rsidRPr="001814D2" w:rsidRDefault="009103CC" w:rsidP="002718DF">
            <w:pPr>
              <w:pStyle w:val="Tabletext"/>
              <w:jc w:val="right"/>
            </w:pPr>
            <w:r w:rsidRPr="001814D2">
              <w:t>-</w:t>
            </w:r>
          </w:p>
        </w:tc>
      </w:tr>
      <w:tr w:rsidR="009103CC" w:rsidRPr="001814D2" w14:paraId="23AA8806" w14:textId="77777777" w:rsidTr="002718DF">
        <w:trPr>
          <w:cantSplit/>
          <w:trHeight w:hRule="exact" w:val="332"/>
        </w:trPr>
        <w:tc>
          <w:tcPr>
            <w:tcW w:w="2936" w:type="pct"/>
            <w:tcMar>
              <w:top w:w="0" w:type="dxa"/>
              <w:left w:w="0" w:type="dxa"/>
              <w:bottom w:w="0" w:type="dxa"/>
              <w:right w:w="0" w:type="dxa"/>
            </w:tcMar>
            <w:vAlign w:val="center"/>
          </w:tcPr>
          <w:p w14:paraId="3133035F" w14:textId="77777777" w:rsidR="009103CC" w:rsidRPr="001814D2" w:rsidRDefault="009103CC" w:rsidP="002718DF">
            <w:pPr>
              <w:pStyle w:val="Tabletext"/>
            </w:pPr>
            <w:r w:rsidRPr="001814D2">
              <w:t>Herbert Smith Freehills</w:t>
            </w:r>
          </w:p>
        </w:tc>
        <w:tc>
          <w:tcPr>
            <w:tcW w:w="1032" w:type="pct"/>
            <w:tcMar>
              <w:top w:w="0" w:type="dxa"/>
              <w:left w:w="0" w:type="dxa"/>
              <w:bottom w:w="0" w:type="dxa"/>
              <w:right w:w="0" w:type="dxa"/>
            </w:tcMar>
            <w:vAlign w:val="center"/>
          </w:tcPr>
          <w:p w14:paraId="0D150E2F" w14:textId="77777777" w:rsidR="009103CC" w:rsidRPr="001814D2" w:rsidRDefault="009103CC" w:rsidP="002718DF">
            <w:pPr>
              <w:pStyle w:val="Tabletext"/>
              <w:jc w:val="right"/>
            </w:pPr>
            <w:r w:rsidRPr="001814D2">
              <w:t>251</w:t>
            </w:r>
          </w:p>
        </w:tc>
        <w:tc>
          <w:tcPr>
            <w:tcW w:w="1032" w:type="pct"/>
            <w:tcMar>
              <w:top w:w="0" w:type="dxa"/>
              <w:left w:w="0" w:type="dxa"/>
              <w:bottom w:w="0" w:type="dxa"/>
              <w:right w:w="0" w:type="dxa"/>
            </w:tcMar>
            <w:vAlign w:val="center"/>
          </w:tcPr>
          <w:p w14:paraId="7BCDDD2A" w14:textId="77777777" w:rsidR="009103CC" w:rsidRPr="001814D2" w:rsidRDefault="009103CC" w:rsidP="002718DF">
            <w:pPr>
              <w:pStyle w:val="Tabletext"/>
              <w:jc w:val="right"/>
            </w:pPr>
            <w:r w:rsidRPr="001814D2">
              <w:t>222</w:t>
            </w:r>
          </w:p>
        </w:tc>
      </w:tr>
      <w:tr w:rsidR="009103CC" w:rsidRPr="001814D2" w14:paraId="7113A5FB" w14:textId="77777777" w:rsidTr="002718DF">
        <w:trPr>
          <w:cantSplit/>
          <w:trHeight w:hRule="exact" w:val="332"/>
        </w:trPr>
        <w:tc>
          <w:tcPr>
            <w:tcW w:w="2936" w:type="pct"/>
            <w:tcMar>
              <w:top w:w="0" w:type="dxa"/>
              <w:left w:w="0" w:type="dxa"/>
              <w:bottom w:w="0" w:type="dxa"/>
              <w:right w:w="0" w:type="dxa"/>
            </w:tcMar>
            <w:vAlign w:val="center"/>
          </w:tcPr>
          <w:p w14:paraId="60311A15" w14:textId="77777777" w:rsidR="009103CC" w:rsidRPr="001814D2" w:rsidRDefault="009103CC" w:rsidP="002718DF">
            <w:pPr>
              <w:pStyle w:val="Tabletext"/>
            </w:pPr>
            <w:r w:rsidRPr="001814D2">
              <w:t>Macquarie University</w:t>
            </w:r>
          </w:p>
        </w:tc>
        <w:tc>
          <w:tcPr>
            <w:tcW w:w="1032" w:type="pct"/>
            <w:tcMar>
              <w:top w:w="0" w:type="dxa"/>
              <w:left w:w="0" w:type="dxa"/>
              <w:bottom w:w="0" w:type="dxa"/>
              <w:right w:w="0" w:type="dxa"/>
            </w:tcMar>
            <w:vAlign w:val="center"/>
          </w:tcPr>
          <w:p w14:paraId="56C2718B" w14:textId="77777777" w:rsidR="009103CC" w:rsidRPr="001814D2" w:rsidRDefault="009103CC" w:rsidP="002718DF">
            <w:pPr>
              <w:pStyle w:val="Tabletext"/>
              <w:jc w:val="right"/>
            </w:pPr>
            <w:r w:rsidRPr="001814D2">
              <w:t>120</w:t>
            </w:r>
          </w:p>
        </w:tc>
        <w:tc>
          <w:tcPr>
            <w:tcW w:w="1032" w:type="pct"/>
            <w:tcMar>
              <w:top w:w="0" w:type="dxa"/>
              <w:left w:w="0" w:type="dxa"/>
              <w:bottom w:w="0" w:type="dxa"/>
              <w:right w:w="0" w:type="dxa"/>
            </w:tcMar>
            <w:vAlign w:val="center"/>
          </w:tcPr>
          <w:p w14:paraId="7C8ABA22" w14:textId="77777777" w:rsidR="009103CC" w:rsidRPr="001814D2" w:rsidRDefault="009103CC" w:rsidP="002718DF">
            <w:pPr>
              <w:pStyle w:val="Tabletext"/>
              <w:jc w:val="right"/>
            </w:pPr>
            <w:r w:rsidRPr="001814D2">
              <w:t>-</w:t>
            </w:r>
          </w:p>
        </w:tc>
      </w:tr>
    </w:tbl>
    <w:p w14:paraId="19D3834D" w14:textId="77777777" w:rsidR="009103CC" w:rsidRPr="001814D2" w:rsidRDefault="009103CC" w:rsidP="009103CC">
      <w:pPr>
        <w:pStyle w:val="Tabletext"/>
      </w:pPr>
    </w:p>
    <w:p w14:paraId="6260D0DA" w14:textId="77777777" w:rsidR="009103CC" w:rsidRDefault="009103CC" w:rsidP="009103CC">
      <w:pPr>
        <w:pStyle w:val="ARbody"/>
      </w:pPr>
      <w:r w:rsidRPr="001814D2">
        <w:t>During the year the Trust entered into transactions with other entities that are controlled/jointly controlled/significantly influenced by the NSW Government. These transactions, in aggregate, are a significant portion of the Gallery's rendering of services and receiving of services.</w:t>
      </w:r>
    </w:p>
    <w:p w14:paraId="373917A8" w14:textId="77777777" w:rsidR="009103CC" w:rsidRPr="00546E9D" w:rsidRDefault="009103CC" w:rsidP="009103CC">
      <w:pPr>
        <w:pStyle w:val="ARbody"/>
        <w:rPr>
          <w:b/>
          <w:bCs/>
        </w:rPr>
      </w:pPr>
      <w:r w:rsidRPr="00546E9D">
        <w:rPr>
          <w:b/>
          <w:bCs/>
        </w:rPr>
        <w:t>16 Commitments for expenditure</w:t>
      </w:r>
    </w:p>
    <w:p w14:paraId="244D676B" w14:textId="77777777" w:rsidR="009103CC" w:rsidRPr="001814D2" w:rsidRDefault="009103CC" w:rsidP="009103CC">
      <w:pPr>
        <w:pStyle w:val="ARbody"/>
      </w:pPr>
      <w:r w:rsidRPr="001814D2">
        <w:t>Included under current liabilities on the Statement of Financial Position are capital commitments of $19,117,095 (incl. GST) outstanding as at 30 June 2020. (2020 $7,278,998). This relates to construction costs incurred by Infrastructure NSW in relation to the Sydney Modern Project but not invoiced.</w:t>
      </w:r>
    </w:p>
    <w:p w14:paraId="4885301D" w14:textId="77777777" w:rsidR="009103CC" w:rsidRPr="002B3451" w:rsidRDefault="009103CC" w:rsidP="009103CC">
      <w:pPr>
        <w:pStyle w:val="ARbody"/>
        <w:rPr>
          <w:b/>
          <w:bCs/>
        </w:rPr>
      </w:pPr>
      <w:r w:rsidRPr="002B3451">
        <w:rPr>
          <w:b/>
          <w:bCs/>
        </w:rPr>
        <w:t>17 Budget review</w:t>
      </w:r>
    </w:p>
    <w:p w14:paraId="3893A3E0" w14:textId="77777777" w:rsidR="009103CC" w:rsidRPr="001814D2" w:rsidRDefault="009103CC" w:rsidP="009103CC">
      <w:pPr>
        <w:pStyle w:val="ARbody"/>
        <w:rPr>
          <w:rFonts w:cs="Preston"/>
          <w:b/>
          <w:bCs/>
        </w:rPr>
      </w:pPr>
      <w:r w:rsidRPr="001814D2">
        <w:rPr>
          <w:rFonts w:cs="Preston"/>
          <w:b/>
          <w:bCs/>
        </w:rPr>
        <w:t>Net result</w:t>
      </w:r>
    </w:p>
    <w:p w14:paraId="13028BF7" w14:textId="77777777" w:rsidR="009103CC" w:rsidRPr="001814D2" w:rsidRDefault="009103CC" w:rsidP="009103CC">
      <w:pPr>
        <w:pStyle w:val="ARbody"/>
        <w:rPr>
          <w:rFonts w:cs="Preston"/>
        </w:rPr>
      </w:pPr>
      <w:r w:rsidRPr="001814D2">
        <w:rPr>
          <w:rFonts w:cs="Preston"/>
        </w:rPr>
        <w:t>COVID-19 impact on the Gallery in current year revenues was offset by increased donations. Sydney Modern Project construction ramped up, evident by the increased funding compared to prior year. Expenditure likewise increased, particularly in relation to personnel costs with plans to increase headcount in the lead up to the opening of Sydney Modern. Net Investment returns also bolstered Gallery results as the market rallied during the year.</w:t>
      </w:r>
    </w:p>
    <w:p w14:paraId="63C0300F" w14:textId="77777777" w:rsidR="009103CC" w:rsidRPr="002B3451" w:rsidRDefault="009103CC" w:rsidP="009103CC">
      <w:pPr>
        <w:pStyle w:val="ARbody"/>
        <w:rPr>
          <w:b/>
          <w:bCs/>
        </w:rPr>
      </w:pPr>
      <w:r w:rsidRPr="002B3451">
        <w:rPr>
          <w:b/>
          <w:bCs/>
        </w:rPr>
        <w:t>Assets and liabilities</w:t>
      </w:r>
    </w:p>
    <w:p w14:paraId="5F00AB87" w14:textId="77777777" w:rsidR="009103CC" w:rsidRPr="001814D2" w:rsidRDefault="009103CC" w:rsidP="009103CC">
      <w:pPr>
        <w:pStyle w:val="ARbody"/>
      </w:pPr>
      <w:r w:rsidRPr="001814D2">
        <w:t>Net assets has increased as the construction of Sydney Modern continues. Receipt of private funding for the new building was also one of the main drivers of to increased investments held by the Gallery.</w:t>
      </w:r>
    </w:p>
    <w:p w14:paraId="37C15274" w14:textId="77777777" w:rsidR="009103CC" w:rsidRPr="00546E9D" w:rsidRDefault="009103CC" w:rsidP="009103CC">
      <w:pPr>
        <w:pStyle w:val="ARbody"/>
        <w:rPr>
          <w:b/>
          <w:bCs/>
        </w:rPr>
      </w:pPr>
      <w:r w:rsidRPr="00546E9D">
        <w:rPr>
          <w:b/>
          <w:bCs/>
        </w:rPr>
        <w:t>18 Events after the reporting period</w:t>
      </w:r>
    </w:p>
    <w:p w14:paraId="0E850203" w14:textId="77777777" w:rsidR="009103CC" w:rsidRPr="001814D2" w:rsidRDefault="009103CC" w:rsidP="009103CC">
      <w:pPr>
        <w:pStyle w:val="ARbody"/>
      </w:pPr>
      <w:r w:rsidRPr="001814D2">
        <w:t>In response to a community outbreak of COVID-19 and in accordance with NSW Government Health orders the Gallery closed its doors to the public on 25th June 2021. Plans to re-open will occur contingent to latest public health orders. The COVID-19 closures also extended to Greater Sydney construction sites for two weeks in July, which included the Sydney Modern Project site. Impact on the completion date continues to be monitored.</w:t>
      </w:r>
    </w:p>
    <w:p w14:paraId="1FAAE6B6" w14:textId="77777777" w:rsidR="009103CC" w:rsidRDefault="009103CC" w:rsidP="009103CC">
      <w:pPr>
        <w:pStyle w:val="ARbody"/>
      </w:pPr>
      <w:r w:rsidRPr="001814D2">
        <w:t>The Gallery's insurance claim on COVID impact on revenues is still being assessed. In line with guidance from Treasury, the Gallery has not recognised this as an asset on the balance sheet.</w:t>
      </w:r>
    </w:p>
    <w:p w14:paraId="7A61A1BD" w14:textId="77777777" w:rsidR="009103CC" w:rsidRPr="00546E9D" w:rsidRDefault="009103CC" w:rsidP="009103CC">
      <w:pPr>
        <w:pStyle w:val="ARbody"/>
        <w:rPr>
          <w:b/>
          <w:bCs/>
        </w:rPr>
      </w:pPr>
      <w:r w:rsidRPr="00546E9D">
        <w:rPr>
          <w:b/>
          <w:bCs/>
        </w:rPr>
        <w:t>19 Contingent liabilities</w:t>
      </w:r>
    </w:p>
    <w:p w14:paraId="0E86D6C2" w14:textId="77777777" w:rsidR="009103CC" w:rsidRPr="001814D2" w:rsidRDefault="009103CC" w:rsidP="009103CC">
      <w:pPr>
        <w:pStyle w:val="ARbody"/>
      </w:pPr>
      <w:r w:rsidRPr="001814D2">
        <w:t>The Treasury Managed Fund normally calculates hindsight premiums each year.</w:t>
      </w:r>
    </w:p>
    <w:p w14:paraId="65E99722" w14:textId="77777777" w:rsidR="009103CC" w:rsidRPr="001814D2" w:rsidRDefault="009103CC" w:rsidP="009103CC">
      <w:pPr>
        <w:pStyle w:val="ARbody"/>
      </w:pPr>
      <w:r w:rsidRPr="001814D2">
        <w:t>Management has initiated a review of superannuation payment obligations to performers engaged with the Gallery in line with the Australian Taxation Office Guidelines. The review will examine the last five years. No provision has been booked as the review is still ongoing. Management expect that the review will be completed in the next financial year.</w:t>
      </w:r>
    </w:p>
    <w:p w14:paraId="4D57D834" w14:textId="77777777" w:rsidR="009103CC" w:rsidRPr="001814D2" w:rsidRDefault="009103CC" w:rsidP="009103CC">
      <w:pPr>
        <w:pStyle w:val="ARbody"/>
      </w:pPr>
      <w:r w:rsidRPr="001814D2">
        <w:t>There are no other contingent liabilities (2020–nil).</w:t>
      </w:r>
    </w:p>
    <w:p w14:paraId="3E0E2F76" w14:textId="77777777" w:rsidR="009103CC" w:rsidRDefault="009103CC" w:rsidP="009103CC">
      <w:pPr>
        <w:pStyle w:val="ARbody"/>
      </w:pPr>
      <w:r w:rsidRPr="001814D2">
        <w:t>END OF AUDITED FINANCIAL STATEMENTS</w:t>
      </w:r>
    </w:p>
    <w:p w14:paraId="413FA346" w14:textId="77777777" w:rsidR="009103CC" w:rsidRDefault="009103CC" w:rsidP="009103CC">
      <w:pPr>
        <w:pStyle w:val="ARbody"/>
      </w:pPr>
      <w:r>
        <w:br w:type="page"/>
      </w:r>
    </w:p>
    <w:p w14:paraId="4167935D" w14:textId="77777777" w:rsidR="009103CC" w:rsidRPr="001814D2" w:rsidRDefault="009103CC" w:rsidP="009103CC">
      <w:pPr>
        <w:pStyle w:val="ARheading2"/>
        <w:rPr>
          <w:lang w:val="en-AU"/>
        </w:rPr>
      </w:pPr>
      <w:bookmarkStart w:id="22" w:name="_Toc90982538"/>
      <w:bookmarkStart w:id="23" w:name="_Toc92884947"/>
      <w:bookmarkStart w:id="24" w:name="_Toc92897867"/>
      <w:r w:rsidRPr="001814D2">
        <w:rPr>
          <w:lang w:val="en-AU"/>
        </w:rPr>
        <w:t>General access</w:t>
      </w:r>
      <w:bookmarkEnd w:id="22"/>
      <w:bookmarkEnd w:id="23"/>
      <w:bookmarkEnd w:id="24"/>
    </w:p>
    <w:p w14:paraId="3D8D35F2" w14:textId="77777777" w:rsidR="009103CC" w:rsidRPr="001814D2" w:rsidRDefault="009103CC" w:rsidP="009103CC">
      <w:pPr>
        <w:pStyle w:val="ARheading3"/>
      </w:pPr>
      <w:r w:rsidRPr="001814D2">
        <w:t>Access</w:t>
      </w:r>
    </w:p>
    <w:p w14:paraId="6D5B529D" w14:textId="77777777" w:rsidR="009103CC" w:rsidRPr="001814D2" w:rsidRDefault="009103CC" w:rsidP="009103CC">
      <w:pPr>
        <w:pStyle w:val="ARbody"/>
      </w:pPr>
      <w:r w:rsidRPr="001814D2">
        <w:t>The Art Gallery is open every day (except Easter Friday and Christmas Day) 10am–5pm and until 9pm every Wednesday for Art After Hours (except during the Christmas/New Year period). General admission is free.</w:t>
      </w:r>
    </w:p>
    <w:p w14:paraId="637D38BC" w14:textId="77777777" w:rsidR="009103CC" w:rsidRPr="001814D2" w:rsidRDefault="009103CC" w:rsidP="009103CC">
      <w:pPr>
        <w:pStyle w:val="ARbody"/>
      </w:pPr>
      <w:r w:rsidRPr="001814D2">
        <w:t>Charges apply for some major temporary exhibitions.</w:t>
      </w:r>
    </w:p>
    <w:p w14:paraId="55F66D1F" w14:textId="77777777" w:rsidR="009103CC" w:rsidRPr="001814D2" w:rsidRDefault="009103CC" w:rsidP="009103CC">
      <w:pPr>
        <w:pStyle w:val="ARheading3"/>
      </w:pPr>
      <w:r w:rsidRPr="001814D2">
        <w:t>Gallery Shop</w:t>
      </w:r>
    </w:p>
    <w:p w14:paraId="69C51C85" w14:textId="77777777" w:rsidR="009103CC" w:rsidRPr="001814D2" w:rsidRDefault="009103CC" w:rsidP="009103CC">
      <w:pPr>
        <w:pStyle w:val="ARbody"/>
      </w:pPr>
      <w:r w:rsidRPr="001814D2">
        <w:t>Open daily 10am–4.45pm and Wednesday until 8.45pm.</w:t>
      </w:r>
    </w:p>
    <w:p w14:paraId="49E4077D" w14:textId="77777777" w:rsidR="009103CC" w:rsidRPr="001814D2" w:rsidRDefault="009103CC" w:rsidP="009103CC">
      <w:pPr>
        <w:pStyle w:val="ARheading3"/>
      </w:pPr>
      <w:r w:rsidRPr="001814D2">
        <w:t>Study room</w:t>
      </w:r>
    </w:p>
    <w:p w14:paraId="4C0012D6" w14:textId="77777777" w:rsidR="009103CC" w:rsidRPr="001814D2" w:rsidRDefault="009103CC" w:rsidP="009103CC">
      <w:pPr>
        <w:pStyle w:val="ARbody"/>
      </w:pPr>
      <w:r w:rsidRPr="001814D2">
        <w:t>Open to the public Monday to Friday, 10am–4pm. Closed public holidays. Bookings recommended.</w:t>
      </w:r>
    </w:p>
    <w:p w14:paraId="39DF8012" w14:textId="77777777" w:rsidR="009103CC" w:rsidRPr="001814D2" w:rsidRDefault="009103CC" w:rsidP="009103CC">
      <w:pPr>
        <w:pStyle w:val="ARbody"/>
      </w:pPr>
      <w:r w:rsidRPr="001814D2">
        <w:t>Bookings and enquiries +61 2 9225 1758</w:t>
      </w:r>
    </w:p>
    <w:p w14:paraId="4E4114B2" w14:textId="77777777" w:rsidR="009103CC" w:rsidRPr="001814D2" w:rsidRDefault="009103CC" w:rsidP="009103CC">
      <w:pPr>
        <w:pStyle w:val="ARheading3"/>
      </w:pPr>
      <w:r w:rsidRPr="001814D2">
        <w:t>National Art Archive and Capon Research Library</w:t>
      </w:r>
    </w:p>
    <w:p w14:paraId="31C3C88E" w14:textId="77777777" w:rsidR="009103CC" w:rsidRPr="001814D2" w:rsidRDefault="009103CC" w:rsidP="009103CC">
      <w:pPr>
        <w:pStyle w:val="ARbody"/>
      </w:pPr>
      <w:r w:rsidRPr="001814D2">
        <w:t xml:space="preserve">Currently closed for major building works. Usual public opening hours to resume in 2022: Tuesday, Thursday and Friday 10am–4pm, Wednesday 10am–6.30pm and Saturday 12–4pm; no appointments necessary. </w:t>
      </w:r>
    </w:p>
    <w:p w14:paraId="3EF1CBE6" w14:textId="77777777" w:rsidR="009103CC" w:rsidRPr="001814D2" w:rsidRDefault="009103CC" w:rsidP="009103CC">
      <w:pPr>
        <w:pStyle w:val="ARbody"/>
      </w:pPr>
      <w:r w:rsidRPr="001814D2">
        <w:t xml:space="preserve">Enquiries +61 2 9225 1785 </w:t>
      </w:r>
      <w:r>
        <w:br/>
      </w:r>
      <w:r w:rsidRPr="001814D2">
        <w:t>Email library@ag.nsw.gov.au</w:t>
      </w:r>
    </w:p>
    <w:p w14:paraId="5D280800" w14:textId="77777777" w:rsidR="009103CC" w:rsidRPr="001814D2" w:rsidRDefault="009103CC" w:rsidP="009103CC">
      <w:pPr>
        <w:pStyle w:val="ARheading3"/>
      </w:pPr>
      <w:r w:rsidRPr="001814D2">
        <w:t>The Art Gallery Restaurant, Crafted by Matt Moran</w:t>
      </w:r>
    </w:p>
    <w:p w14:paraId="63C7D2D9" w14:textId="77777777" w:rsidR="009103CC" w:rsidRPr="002B3451" w:rsidRDefault="009103CC" w:rsidP="009103CC">
      <w:pPr>
        <w:pStyle w:val="ARbody"/>
      </w:pPr>
      <w:r w:rsidRPr="002B3451">
        <w:t>From Monday to Sunday 10am–4.30pm; and Wednesday dinner from 5pm–8pm. Subject to COVID-19 public health orders.</w:t>
      </w:r>
    </w:p>
    <w:p w14:paraId="03F0A96D" w14:textId="77777777" w:rsidR="009103CC" w:rsidRPr="001814D2" w:rsidRDefault="009103CC" w:rsidP="009103CC">
      <w:pPr>
        <w:pStyle w:val="ARbody"/>
      </w:pPr>
      <w:r w:rsidRPr="001814D2">
        <w:t>Bookings and enquiries +61 2 8587 5200</w:t>
      </w:r>
    </w:p>
    <w:p w14:paraId="42A05EDD" w14:textId="77777777" w:rsidR="009103CC" w:rsidRPr="001814D2" w:rsidRDefault="009103CC" w:rsidP="009103CC">
      <w:pPr>
        <w:pStyle w:val="ARheading3"/>
      </w:pPr>
      <w:r w:rsidRPr="001814D2">
        <w:t xml:space="preserve">Cafe </w:t>
      </w:r>
    </w:p>
    <w:p w14:paraId="1D641AD4" w14:textId="77777777" w:rsidR="009103CC" w:rsidRPr="001814D2" w:rsidRDefault="009103CC" w:rsidP="009103CC">
      <w:pPr>
        <w:pStyle w:val="ARbody"/>
      </w:pPr>
      <w:r w:rsidRPr="001814D2">
        <w:t>Open daily 10am–4pm and Wednesday until 8.30pm</w:t>
      </w:r>
      <w:r>
        <w:t xml:space="preserve">. </w:t>
      </w:r>
      <w:r w:rsidRPr="002B3451">
        <w:t>Subject to COVID-19 public health orders.</w:t>
      </w:r>
    </w:p>
    <w:p w14:paraId="246608FD" w14:textId="77777777" w:rsidR="009103CC" w:rsidRPr="001814D2" w:rsidRDefault="009103CC" w:rsidP="009103CC">
      <w:pPr>
        <w:pStyle w:val="ARheading3"/>
      </w:pPr>
      <w:r w:rsidRPr="001814D2">
        <w:t>Brett Whiteley Studio</w:t>
      </w:r>
    </w:p>
    <w:p w14:paraId="7973A0CE" w14:textId="77777777" w:rsidR="009103CC" w:rsidRPr="001814D2" w:rsidRDefault="009103CC" w:rsidP="009103CC">
      <w:pPr>
        <w:pStyle w:val="ARbody"/>
      </w:pPr>
      <w:r w:rsidRPr="001814D2">
        <w:t>Located at 2 Raper Street, Surry Hills, NSW, 2010.</w:t>
      </w:r>
    </w:p>
    <w:p w14:paraId="63ED094D" w14:textId="77777777" w:rsidR="009103CC" w:rsidRPr="001814D2" w:rsidRDefault="009103CC" w:rsidP="009103CC">
      <w:pPr>
        <w:pStyle w:val="ARbody"/>
      </w:pPr>
      <w:r w:rsidRPr="001814D2">
        <w:t>Open to the public Thursday to Sunday 10am–4pm.</w:t>
      </w:r>
    </w:p>
    <w:p w14:paraId="178AC297" w14:textId="77777777" w:rsidR="009103CC" w:rsidRPr="001814D2" w:rsidRDefault="009103CC" w:rsidP="009103CC">
      <w:pPr>
        <w:pStyle w:val="ARbody"/>
      </w:pPr>
      <w:r w:rsidRPr="001814D2">
        <w:t>Free admission is made possible by J.P. Morgan.</w:t>
      </w:r>
    </w:p>
    <w:p w14:paraId="4157D8BF" w14:textId="77777777" w:rsidR="009103CC" w:rsidRPr="001814D2" w:rsidRDefault="009103CC" w:rsidP="009103CC">
      <w:pPr>
        <w:pStyle w:val="ARbody"/>
      </w:pPr>
      <w:r w:rsidRPr="001814D2">
        <w:t>Open to education groups Tuesday and Wednesday. Charges apply.</w:t>
      </w:r>
    </w:p>
    <w:p w14:paraId="6222F293" w14:textId="77777777" w:rsidR="009103CC" w:rsidRPr="001814D2" w:rsidRDefault="009103CC" w:rsidP="009103CC">
      <w:pPr>
        <w:pStyle w:val="ARbody"/>
      </w:pPr>
      <w:r w:rsidRPr="002B3451">
        <w:t>Subject to COVID-19 public health orders.</w:t>
      </w:r>
    </w:p>
    <w:p w14:paraId="71C0CD69" w14:textId="77777777" w:rsidR="009103CC" w:rsidRPr="001814D2" w:rsidRDefault="009103CC" w:rsidP="009103CC">
      <w:pPr>
        <w:pStyle w:val="ARbody"/>
      </w:pPr>
      <w:r w:rsidRPr="001814D2">
        <w:t>Enquiries +61 2 9225 1740</w:t>
      </w:r>
    </w:p>
    <w:p w14:paraId="0C953773" w14:textId="77777777" w:rsidR="009103CC" w:rsidRPr="001814D2" w:rsidRDefault="009103CC" w:rsidP="009103CC">
      <w:pPr>
        <w:pStyle w:val="ARheading3"/>
      </w:pPr>
      <w:r w:rsidRPr="001814D2">
        <w:t>Access for all</w:t>
      </w:r>
    </w:p>
    <w:p w14:paraId="537CE575" w14:textId="77777777" w:rsidR="009103CC" w:rsidRPr="001814D2" w:rsidRDefault="009103CC" w:rsidP="009103CC">
      <w:pPr>
        <w:pStyle w:val="ARbody"/>
      </w:pPr>
      <w:r w:rsidRPr="001814D2">
        <w:t>The Art Gallery is committed to providing access to our collections and exhibitions for all audiences, including people living with disability.</w:t>
      </w:r>
    </w:p>
    <w:p w14:paraId="797B998F" w14:textId="77777777" w:rsidR="009103CC" w:rsidRPr="001814D2" w:rsidRDefault="009103CC" w:rsidP="009103CC">
      <w:pPr>
        <w:pStyle w:val="ARbody"/>
      </w:pPr>
      <w:r w:rsidRPr="001814D2">
        <w:t>For those requiring assisted entry or entrance at the rear of the building, we recommend you call before arrival +61 2 9225 1775.</w:t>
      </w:r>
    </w:p>
    <w:p w14:paraId="15BEFDE9" w14:textId="77777777" w:rsidR="009103CC" w:rsidRPr="001814D2" w:rsidRDefault="009103CC" w:rsidP="009103CC">
      <w:pPr>
        <w:pStyle w:val="ARbody"/>
      </w:pPr>
      <w:r w:rsidRPr="001814D2">
        <w:t>More information artgallery.nsw.gov.au/visit/access</w:t>
      </w:r>
    </w:p>
    <w:p w14:paraId="5B1F89F7" w14:textId="77777777" w:rsidR="009103CC" w:rsidRPr="001814D2" w:rsidRDefault="009103CC" w:rsidP="009103CC">
      <w:pPr>
        <w:pStyle w:val="ARheading3"/>
      </w:pPr>
      <w:r w:rsidRPr="001814D2">
        <w:t>Access program tours</w:t>
      </w:r>
    </w:p>
    <w:p w14:paraId="63FCBD04" w14:textId="77777777" w:rsidR="009103CC" w:rsidRPr="001814D2" w:rsidRDefault="009103CC" w:rsidP="009103CC">
      <w:pPr>
        <w:pStyle w:val="ARbody"/>
      </w:pPr>
      <w:r w:rsidRPr="001814D2">
        <w:t xml:space="preserve">We offer a range of access programs to engage diverse audiences. Programs include free Auslan interpreters, Deaf-led tours, sensory tours, audio-described tours, Art and Dementia program tours, and other tailored guided tours. </w:t>
      </w:r>
    </w:p>
    <w:p w14:paraId="71EC3F0E" w14:textId="77777777" w:rsidR="009103CC" w:rsidRPr="001814D2" w:rsidRDefault="009103CC" w:rsidP="009103CC">
      <w:pPr>
        <w:pStyle w:val="ARbody"/>
      </w:pPr>
      <w:r w:rsidRPr="001814D2">
        <w:t xml:space="preserve">Bookings and enquiries +61 2 9225 1740 </w:t>
      </w:r>
      <w:r w:rsidRPr="001814D2">
        <w:br/>
        <w:t>Email education@ag.nsw.gov.au</w:t>
      </w:r>
    </w:p>
    <w:p w14:paraId="0F3BFEEA" w14:textId="77777777" w:rsidR="009103CC" w:rsidRPr="001814D2" w:rsidRDefault="009103CC" w:rsidP="009103CC">
      <w:pPr>
        <w:pStyle w:val="ARbody"/>
      </w:pPr>
      <w:r w:rsidRPr="002B3451">
        <w:t>Subject to COVID-19 public health orders.</w:t>
      </w:r>
    </w:p>
    <w:p w14:paraId="0BAF102E" w14:textId="77777777" w:rsidR="009103CC" w:rsidRPr="001814D2" w:rsidRDefault="009103CC" w:rsidP="009103CC">
      <w:pPr>
        <w:pStyle w:val="ARheading3"/>
      </w:pPr>
      <w:r w:rsidRPr="001814D2">
        <w:t>Physical and postal address</w:t>
      </w:r>
    </w:p>
    <w:p w14:paraId="560C7EE4" w14:textId="77777777" w:rsidR="009103CC" w:rsidRPr="001814D2" w:rsidRDefault="009103CC" w:rsidP="009103CC">
      <w:pPr>
        <w:pStyle w:val="ARbody"/>
      </w:pPr>
      <w:r w:rsidRPr="001814D2">
        <w:t>Art Gallery of New South Wales</w:t>
      </w:r>
      <w:r w:rsidRPr="001814D2">
        <w:br/>
        <w:t>Art Gallery Road</w:t>
      </w:r>
      <w:r w:rsidRPr="001814D2">
        <w:br/>
        <w:t>The Domain</w:t>
      </w:r>
      <w:r w:rsidRPr="001814D2">
        <w:br/>
        <w:t>Sydney NSW 2000 Australia</w:t>
      </w:r>
    </w:p>
    <w:p w14:paraId="386CC3ED" w14:textId="77777777" w:rsidR="009103CC" w:rsidRPr="001814D2" w:rsidRDefault="009103CC" w:rsidP="009103CC">
      <w:pPr>
        <w:pStyle w:val="ARheading3"/>
      </w:pPr>
      <w:r w:rsidRPr="001814D2">
        <w:t>Contact the Art Gallery</w:t>
      </w:r>
    </w:p>
    <w:p w14:paraId="3FA51F6F" w14:textId="77777777" w:rsidR="009103CC" w:rsidRPr="001814D2" w:rsidRDefault="009103CC" w:rsidP="009103CC">
      <w:pPr>
        <w:pStyle w:val="ARbody"/>
      </w:pPr>
      <w:r w:rsidRPr="001814D2">
        <w:t>Australia-wide toll-free</w:t>
      </w:r>
      <w:r>
        <w:t xml:space="preserve"> </w:t>
      </w:r>
      <w:r w:rsidRPr="001814D2">
        <w:t>1800-NSW-ART (1800-679-278)</w:t>
      </w:r>
    </w:p>
    <w:p w14:paraId="3CB3B1FA" w14:textId="77777777" w:rsidR="009103CC" w:rsidRPr="001814D2" w:rsidRDefault="009103CC" w:rsidP="009103CC">
      <w:pPr>
        <w:pStyle w:val="ARbody"/>
      </w:pPr>
      <w:r w:rsidRPr="001814D2">
        <w:t>Information desk +61 2 9225 1744</w:t>
      </w:r>
    </w:p>
    <w:p w14:paraId="54BF96B1" w14:textId="77777777" w:rsidR="009103CC" w:rsidRPr="001814D2" w:rsidRDefault="009103CC" w:rsidP="009103CC">
      <w:pPr>
        <w:pStyle w:val="ARbody"/>
      </w:pPr>
      <w:r w:rsidRPr="001814D2">
        <w:t>General switchboard +61 2 9225 1700</w:t>
      </w:r>
    </w:p>
    <w:p w14:paraId="5504DA18" w14:textId="77777777" w:rsidR="009103CC" w:rsidRPr="001814D2" w:rsidRDefault="009103CC" w:rsidP="009103CC">
      <w:pPr>
        <w:pStyle w:val="ARbody"/>
      </w:pPr>
      <w:r w:rsidRPr="001814D2">
        <w:t>General fax</w:t>
      </w:r>
      <w:r>
        <w:t xml:space="preserve"> </w:t>
      </w:r>
      <w:r w:rsidRPr="001814D2">
        <w:t>+61 2 9225 1701</w:t>
      </w:r>
    </w:p>
    <w:p w14:paraId="362FA3BC" w14:textId="77777777" w:rsidR="009103CC" w:rsidRPr="001814D2" w:rsidRDefault="009103CC" w:rsidP="009103CC">
      <w:pPr>
        <w:pStyle w:val="ARbody"/>
      </w:pPr>
      <w:r w:rsidRPr="001814D2">
        <w:t>General email artmail@ag.nsw.gov.au</w:t>
      </w:r>
    </w:p>
    <w:p w14:paraId="5CA9350B" w14:textId="77777777" w:rsidR="009103CC" w:rsidRPr="001814D2" w:rsidRDefault="009103CC" w:rsidP="009103CC">
      <w:pPr>
        <w:pStyle w:val="ARheading3"/>
      </w:pPr>
      <w:r w:rsidRPr="001814D2">
        <w:t>Online</w:t>
      </w:r>
    </w:p>
    <w:p w14:paraId="6264C75A" w14:textId="77777777" w:rsidR="009103CC" w:rsidRDefault="009103CC" w:rsidP="009103CC">
      <w:pPr>
        <w:pStyle w:val="ARbody"/>
      </w:pPr>
      <w:r w:rsidRPr="001814D2">
        <w:t>artgallery.nsw.gov.au</w:t>
      </w:r>
      <w:r w:rsidRPr="001814D2">
        <w:br/>
        <w:t xml:space="preserve">artgallery.nsw.gov.au/instagram </w:t>
      </w:r>
      <w:r w:rsidRPr="001814D2">
        <w:br/>
        <w:t xml:space="preserve">artgallery.nsw.gov.au/facebook </w:t>
      </w:r>
      <w:r w:rsidRPr="001814D2">
        <w:br/>
        <w:t xml:space="preserve">artgallery.nsw.gov.au/twitter </w:t>
      </w:r>
      <w:r w:rsidRPr="001814D2">
        <w:br/>
        <w:t>artgallery.nsw.gov.au/youtube</w:t>
      </w:r>
      <w:r w:rsidRPr="001814D2">
        <w:br/>
        <w:t>artgallery.nsw.gov.au/linkedin</w:t>
      </w:r>
    </w:p>
    <w:p w14:paraId="4F40B829" w14:textId="77777777" w:rsidR="009103CC" w:rsidRDefault="009103CC" w:rsidP="009103CC">
      <w:pPr>
        <w:pStyle w:val="ARbody"/>
      </w:pPr>
      <w:r>
        <w:br w:type="page"/>
      </w:r>
    </w:p>
    <w:p w14:paraId="00E5EF64" w14:textId="77777777" w:rsidR="009103CC" w:rsidRPr="001814D2" w:rsidRDefault="009103CC" w:rsidP="009103CC">
      <w:pPr>
        <w:pStyle w:val="ARheading2"/>
        <w:rPr>
          <w:lang w:val="en-AU"/>
        </w:rPr>
      </w:pPr>
      <w:bookmarkStart w:id="25" w:name="_Toc90982539"/>
      <w:bookmarkStart w:id="26" w:name="_Toc92884948"/>
      <w:bookmarkStart w:id="27" w:name="_Toc92897868"/>
      <w:r w:rsidRPr="001814D2">
        <w:rPr>
          <w:lang w:val="en-AU"/>
        </w:rPr>
        <w:t>Thanks to our supporters</w:t>
      </w:r>
      <w:bookmarkEnd w:id="25"/>
      <w:bookmarkEnd w:id="26"/>
      <w:bookmarkEnd w:id="27"/>
    </w:p>
    <w:p w14:paraId="101D716C" w14:textId="77777777" w:rsidR="009103CC" w:rsidRPr="001814D2" w:rsidRDefault="009103CC" w:rsidP="009103CC">
      <w:pPr>
        <w:pStyle w:val="ARheading3"/>
      </w:pPr>
      <w:r w:rsidRPr="001814D2">
        <w:t>Strategic sponsors</w:t>
      </w:r>
    </w:p>
    <w:p w14:paraId="54950883" w14:textId="77777777" w:rsidR="009103CC" w:rsidRPr="001814D2" w:rsidRDefault="009103CC" w:rsidP="009103CC">
      <w:pPr>
        <w:pStyle w:val="ARbody"/>
      </w:pPr>
      <w:r w:rsidRPr="001814D2">
        <w:t>NSW Government, Destination NSW</w:t>
      </w:r>
    </w:p>
    <w:p w14:paraId="74746B7B" w14:textId="77777777" w:rsidR="009103CC" w:rsidRPr="001814D2" w:rsidRDefault="009103CC" w:rsidP="009103CC">
      <w:pPr>
        <w:pStyle w:val="ARheading3"/>
      </w:pPr>
      <w:r w:rsidRPr="001814D2">
        <w:t>Leadership partners</w:t>
      </w:r>
    </w:p>
    <w:p w14:paraId="314C46C5" w14:textId="77777777" w:rsidR="009103CC" w:rsidRPr="001814D2" w:rsidRDefault="009103CC" w:rsidP="009103CC">
      <w:pPr>
        <w:pStyle w:val="ARbody"/>
      </w:pPr>
      <w:r w:rsidRPr="001814D2">
        <w:t>ANZ, Aqualand</w:t>
      </w:r>
    </w:p>
    <w:p w14:paraId="5643BB6C" w14:textId="77777777" w:rsidR="009103CC" w:rsidRPr="001814D2" w:rsidRDefault="009103CC" w:rsidP="009103CC">
      <w:pPr>
        <w:pStyle w:val="ARheading3"/>
      </w:pPr>
      <w:r w:rsidRPr="001814D2">
        <w:t>Presenting partners and sponsors</w:t>
      </w:r>
    </w:p>
    <w:p w14:paraId="7F79FF7D" w14:textId="77777777" w:rsidR="009103CC" w:rsidRPr="001814D2" w:rsidRDefault="009103CC" w:rsidP="009103CC">
      <w:pPr>
        <w:pStyle w:val="ARbody"/>
      </w:pPr>
      <w:r w:rsidRPr="001814D2">
        <w:t>EY, Herbert Smith Freehills, JP Morgan, Macquarie Group, Macquarie University, UBS</w:t>
      </w:r>
    </w:p>
    <w:p w14:paraId="064B55C6" w14:textId="77777777" w:rsidR="009103CC" w:rsidRPr="001814D2" w:rsidRDefault="009103CC" w:rsidP="009103CC">
      <w:pPr>
        <w:pStyle w:val="ARheading3"/>
      </w:pPr>
      <w:r w:rsidRPr="001814D2">
        <w:t>Media partners</w:t>
      </w:r>
    </w:p>
    <w:p w14:paraId="13264E0C" w14:textId="77777777" w:rsidR="009103CC" w:rsidRPr="001814D2" w:rsidRDefault="009103CC" w:rsidP="009103CC">
      <w:pPr>
        <w:pStyle w:val="ARbody"/>
      </w:pPr>
      <w:r w:rsidRPr="001814D2">
        <w:t>JCDecaux, The Sydney Morning Herald</w:t>
      </w:r>
    </w:p>
    <w:p w14:paraId="3F8CCFEB" w14:textId="77777777" w:rsidR="009103CC" w:rsidRPr="001814D2" w:rsidRDefault="009103CC" w:rsidP="009103CC">
      <w:pPr>
        <w:pStyle w:val="ARheading3"/>
      </w:pPr>
      <w:r w:rsidRPr="001814D2">
        <w:t>Major partners</w:t>
      </w:r>
    </w:p>
    <w:p w14:paraId="18112EA2" w14:textId="77777777" w:rsidR="009103CC" w:rsidRPr="001814D2" w:rsidRDefault="009103CC" w:rsidP="009103CC">
      <w:pPr>
        <w:pStyle w:val="ARbody"/>
      </w:pPr>
      <w:r w:rsidRPr="001814D2">
        <w:t>Bank of China, Sofitel Sydney Wentworth</w:t>
      </w:r>
    </w:p>
    <w:p w14:paraId="6636C288" w14:textId="77777777" w:rsidR="009103CC" w:rsidRPr="001814D2" w:rsidRDefault="009103CC" w:rsidP="009103CC">
      <w:pPr>
        <w:pStyle w:val="ARheading3"/>
      </w:pPr>
      <w:r w:rsidRPr="001814D2">
        <w:t>Support partners</w:t>
      </w:r>
    </w:p>
    <w:p w14:paraId="5DD1D8C3" w14:textId="77777777" w:rsidR="009103CC" w:rsidRPr="001814D2" w:rsidRDefault="009103CC" w:rsidP="009103CC">
      <w:pPr>
        <w:pStyle w:val="ARbody"/>
      </w:pPr>
      <w:r w:rsidRPr="001814D2">
        <w:t>Crestone Wealth Management, Glenfiddich, Hendrick's Gin, Oroton, Porter's Original Paints, Robert Oatley Wines, S&amp;S Creative, Valiant Events</w:t>
      </w:r>
    </w:p>
    <w:p w14:paraId="56758642" w14:textId="77777777" w:rsidR="009103CC" w:rsidRPr="001814D2" w:rsidRDefault="009103CC" w:rsidP="009103CC">
      <w:pPr>
        <w:pStyle w:val="ARheading3"/>
      </w:pPr>
      <w:r w:rsidRPr="001814D2">
        <w:t>Government partner</w:t>
      </w:r>
    </w:p>
    <w:p w14:paraId="75AC6E83" w14:textId="77777777" w:rsidR="009103CC" w:rsidRPr="001814D2" w:rsidRDefault="009103CC" w:rsidP="009103CC">
      <w:pPr>
        <w:pStyle w:val="ARbody"/>
      </w:pPr>
      <w:r w:rsidRPr="001814D2">
        <w:t>City of Sydney</w:t>
      </w:r>
    </w:p>
    <w:p w14:paraId="73187DF0" w14:textId="77777777" w:rsidR="009103CC" w:rsidRPr="001814D2" w:rsidRDefault="009103CC" w:rsidP="009103CC">
      <w:pPr>
        <w:pStyle w:val="ARheading3"/>
      </w:pPr>
      <w:r w:rsidRPr="001814D2">
        <w:t>Art Gallery of New South Wales support partners</w:t>
      </w:r>
    </w:p>
    <w:p w14:paraId="0DA46530" w14:textId="77777777" w:rsidR="009103CC" w:rsidRPr="001814D2" w:rsidRDefault="009103CC" w:rsidP="009103CC">
      <w:pPr>
        <w:pStyle w:val="ARbody"/>
      </w:pPr>
      <w:r w:rsidRPr="001814D2">
        <w:t>Fearless, The Luxury Syndicate, President's Council, VisAsia</w:t>
      </w:r>
    </w:p>
    <w:p w14:paraId="7BCE65F1" w14:textId="77777777" w:rsidR="00BC77E0" w:rsidRDefault="00BC77E0" w:rsidP="009103CC"/>
    <w:sectPr w:rsidR="00BC77E0" w:rsidSect="009103CC">
      <w:footerReference w:type="even" r:id="rId7"/>
      <w:footerReference w:type="default" r:id="rId8"/>
      <w:footerReference w:type="first" r:id="rId9"/>
      <w:pgSz w:w="11906" w:h="16838"/>
      <w:pgMar w:top="1077" w:right="1418" w:bottom="1077" w:left="1418" w:header="62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2391" w14:textId="77777777" w:rsidR="00000000" w:rsidRDefault="00E103FD">
      <w:pPr>
        <w:spacing w:line="240" w:lineRule="auto"/>
      </w:pPr>
      <w:r>
        <w:separator/>
      </w:r>
    </w:p>
  </w:endnote>
  <w:endnote w:type="continuationSeparator" w:id="0">
    <w:p w14:paraId="22ACF78C" w14:textId="77777777" w:rsidR="00000000" w:rsidRDefault="00E103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reston">
    <w:altName w:val="﷽﷽﷽﷽﷽﷽﷽﷽"/>
    <w:panose1 w:val="00000000000000000000"/>
    <w:charset w:val="00"/>
    <w:family w:val="modern"/>
    <w:notTrueType/>
    <w:pitch w:val="variable"/>
    <w:sig w:usb0="A000003F" w:usb1="4200C47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Preston-Regular">
    <w:altName w:val="Calibri"/>
    <w:panose1 w:val="00000000000000000000"/>
    <w:charset w:val="00"/>
    <w:family w:val="auto"/>
    <w:notTrueType/>
    <w:pitch w:val="variable"/>
    <w:sig w:usb0="A000003F" w:usb1="4200C47A"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Pro-Regular">
    <w:panose1 w:val="02040503050201020203"/>
    <w:charset w:val="4D"/>
    <w:family w:val="auto"/>
    <w:pitch w:val="default"/>
    <w:sig w:usb0="00000003" w:usb1="00000000" w:usb2="00000000" w:usb3="00000000" w:csb0="00000001" w:csb1="00000000"/>
  </w:font>
  <w:font w:name="Preston Light">
    <w:altName w:val="Calibri"/>
    <w:panose1 w:val="00000000000000000000"/>
    <w:charset w:val="00"/>
    <w:family w:val="auto"/>
    <w:notTrueType/>
    <w:pitch w:val="variable"/>
    <w:sig w:usb0="A000003F" w:usb1="4200C47A" w:usb2="00000000" w:usb3="00000000" w:csb0="00000093" w:csb1="00000000"/>
  </w:font>
  <w:font w:name="HelveticaNeueLT Std Med">
    <w:altName w:val="Arial"/>
    <w:panose1 w:val="00000000000000000000"/>
    <w:charset w:val="00"/>
    <w:family w:val="swiss"/>
    <w:notTrueType/>
    <w:pitch w:val="variable"/>
    <w:sig w:usb0="800000AF" w:usb1="4000204A" w:usb2="00000000" w:usb3="00000000" w:csb0="00000001" w:csb1="00000000"/>
  </w:font>
  <w:font w:name="HelveticaNeueLT Std">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2855576"/>
      <w:docPartObj>
        <w:docPartGallery w:val="Page Numbers (Bottom of Page)"/>
        <w:docPartUnique/>
      </w:docPartObj>
    </w:sdtPr>
    <w:sdtEndPr>
      <w:rPr>
        <w:rStyle w:val="PageNumber"/>
      </w:rPr>
    </w:sdtEndPr>
    <w:sdtContent>
      <w:p w14:paraId="76CAA5CC" w14:textId="77777777" w:rsidR="00EE7D8A" w:rsidRDefault="009103CC" w:rsidP="00182DDC">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476843" w14:textId="77777777" w:rsidR="00EE7D8A" w:rsidRDefault="00E103FD" w:rsidP="00182DDC">
    <w:pPr>
      <w:pStyle w:val="Footer"/>
    </w:pPr>
  </w:p>
  <w:p w14:paraId="6977B492" w14:textId="77777777" w:rsidR="00D965D2" w:rsidRDefault="00E103F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06BF" w14:textId="77777777" w:rsidR="00EE7D8A" w:rsidRPr="00863F36" w:rsidRDefault="009103CC" w:rsidP="00A31599">
    <w:pPr>
      <w:pStyle w:val="Footer"/>
      <w:tabs>
        <w:tab w:val="clear" w:pos="9026"/>
        <w:tab w:val="right" w:pos="10318"/>
      </w:tabs>
      <w:rPr>
        <w:rFonts w:cs="Arial"/>
        <w:sz w:val="18"/>
        <w:szCs w:val="18"/>
      </w:rPr>
    </w:pPr>
    <w:r w:rsidRPr="00863F36">
      <w:rPr>
        <w:rFonts w:cs="Arial"/>
        <w:sz w:val="18"/>
        <w:szCs w:val="18"/>
      </w:rPr>
      <w:t>Art Gallery of New South Wales Annual Report 2020-21</w:t>
    </w:r>
    <w:sdt>
      <w:sdtPr>
        <w:rPr>
          <w:rStyle w:val="PageNumber"/>
          <w:rFonts w:cs="Arial"/>
        </w:rPr>
        <w:id w:val="1601755590"/>
        <w:docPartObj>
          <w:docPartGallery w:val="Page Numbers (Bottom of Page)"/>
          <w:docPartUnique/>
        </w:docPartObj>
      </w:sdtPr>
      <w:sdtEndPr>
        <w:rPr>
          <w:rStyle w:val="PageNumber"/>
        </w:rPr>
      </w:sdtEndPr>
      <w:sdtContent>
        <w:r w:rsidRPr="00863F36">
          <w:rPr>
            <w:rStyle w:val="PageNumber"/>
            <w:rFonts w:cs="Arial"/>
          </w:rPr>
          <w:tab/>
        </w:r>
        <w:r w:rsidRPr="00863F36">
          <w:rPr>
            <w:rStyle w:val="PageNumber"/>
            <w:rFonts w:cs="Arial"/>
          </w:rPr>
          <w:tab/>
        </w:r>
        <w:r w:rsidRPr="00863F36">
          <w:rPr>
            <w:rStyle w:val="PageNumber"/>
            <w:rFonts w:cs="Arial"/>
          </w:rPr>
          <w:fldChar w:fldCharType="begin"/>
        </w:r>
        <w:r w:rsidRPr="00863F36">
          <w:rPr>
            <w:rStyle w:val="PageNumber"/>
            <w:rFonts w:cs="Arial"/>
          </w:rPr>
          <w:instrText xml:space="preserve"> PAGE </w:instrText>
        </w:r>
        <w:r w:rsidRPr="00863F36">
          <w:rPr>
            <w:rStyle w:val="PageNumber"/>
            <w:rFonts w:cs="Arial"/>
          </w:rPr>
          <w:fldChar w:fldCharType="separate"/>
        </w:r>
        <w:r w:rsidRPr="00863F36">
          <w:rPr>
            <w:rStyle w:val="PageNumber"/>
            <w:rFonts w:cs="Arial"/>
          </w:rPr>
          <w:t>2</w:t>
        </w:r>
        <w:r w:rsidRPr="00863F36">
          <w:rPr>
            <w:rStyle w:val="PageNumber"/>
            <w:rFonts w:cs="Arial"/>
          </w:rPr>
          <w:fldChar w:fldCharType="end"/>
        </w:r>
      </w:sdtContent>
    </w:sdt>
  </w:p>
  <w:p w14:paraId="67549F35" w14:textId="77777777" w:rsidR="00D965D2" w:rsidRDefault="00E103F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691D" w14:textId="77777777" w:rsidR="00E616AB" w:rsidRPr="00E35FFD" w:rsidRDefault="009103CC" w:rsidP="00965D54">
    <w:pPr>
      <w:pStyle w:val="Footer"/>
      <w:tabs>
        <w:tab w:val="clear" w:pos="9026"/>
        <w:tab w:val="right" w:pos="10318"/>
      </w:tabs>
      <w:rPr>
        <w:rFonts w:cs="Arial"/>
        <w:sz w:val="18"/>
        <w:szCs w:val="18"/>
      </w:rPr>
    </w:pPr>
    <w:r w:rsidRPr="00E35FFD">
      <w:rPr>
        <w:rFonts w:cs="Arial"/>
        <w:sz w:val="18"/>
        <w:szCs w:val="18"/>
      </w:rPr>
      <w:t>Art Gallery of New South Wales Annual Report 2020-21</w:t>
    </w:r>
    <w:sdt>
      <w:sdtPr>
        <w:rPr>
          <w:rStyle w:val="PageNumber"/>
          <w:rFonts w:cs="Arial"/>
        </w:rPr>
        <w:id w:val="978107445"/>
        <w:docPartObj>
          <w:docPartGallery w:val="Page Numbers (Bottom of Page)"/>
          <w:docPartUnique/>
        </w:docPartObj>
      </w:sdtPr>
      <w:sdtEndPr>
        <w:rPr>
          <w:rStyle w:val="PageNumber"/>
        </w:rPr>
      </w:sdtEndPr>
      <w:sdtContent>
        <w:r w:rsidRPr="00E35FFD">
          <w:rPr>
            <w:rStyle w:val="PageNumber"/>
            <w:rFonts w:cs="Arial"/>
          </w:rPr>
          <w:tab/>
        </w:r>
        <w:r w:rsidRPr="00E35FFD">
          <w:rPr>
            <w:rStyle w:val="PageNumber"/>
            <w:rFonts w:cs="Arial"/>
          </w:rPr>
          <w:tab/>
        </w:r>
        <w:r w:rsidRPr="00E35FFD">
          <w:rPr>
            <w:rStyle w:val="PageNumber"/>
            <w:rFonts w:cs="Arial"/>
          </w:rPr>
          <w:fldChar w:fldCharType="begin"/>
        </w:r>
        <w:r w:rsidRPr="00E35FFD">
          <w:rPr>
            <w:rStyle w:val="PageNumber"/>
            <w:rFonts w:cs="Arial"/>
          </w:rPr>
          <w:instrText xml:space="preserve"> PAGE </w:instrText>
        </w:r>
        <w:r w:rsidRPr="00E35FFD">
          <w:rPr>
            <w:rStyle w:val="PageNumber"/>
            <w:rFonts w:cs="Arial"/>
          </w:rPr>
          <w:fldChar w:fldCharType="separate"/>
        </w:r>
        <w:r w:rsidRPr="00E35FFD">
          <w:rPr>
            <w:rStyle w:val="PageNumber"/>
            <w:rFonts w:cs="Arial"/>
          </w:rPr>
          <w:t>3</w:t>
        </w:r>
        <w:r w:rsidRPr="00E35FFD">
          <w:rPr>
            <w:rStyle w:val="PageNumber"/>
            <w:rFonts w:cs="Arial"/>
          </w:rPr>
          <w:fldChar w:fldCharType="end"/>
        </w:r>
      </w:sdtContent>
    </w:sdt>
  </w:p>
  <w:p w14:paraId="29624A0A" w14:textId="77777777" w:rsidR="00D965D2" w:rsidRDefault="00E103F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E9A74" w14:textId="77777777" w:rsidR="00000000" w:rsidRDefault="00E103FD">
      <w:pPr>
        <w:spacing w:line="240" w:lineRule="auto"/>
      </w:pPr>
      <w:r>
        <w:separator/>
      </w:r>
    </w:p>
  </w:footnote>
  <w:footnote w:type="continuationSeparator" w:id="0">
    <w:p w14:paraId="0F456C96" w14:textId="77777777" w:rsidR="00000000" w:rsidRDefault="00E103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12CFD"/>
    <w:multiLevelType w:val="hybridMultilevel"/>
    <w:tmpl w:val="266457E6"/>
    <w:lvl w:ilvl="0" w:tplc="D9B0D5D0">
      <w:start w:val="1"/>
      <w:numFmt w:val="bullet"/>
      <w:lvlText w:val=""/>
      <w:lvlJc w:val="left"/>
      <w:pPr>
        <w:ind w:left="72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6454E"/>
    <w:multiLevelType w:val="hybridMultilevel"/>
    <w:tmpl w:val="66AC6CBE"/>
    <w:lvl w:ilvl="0" w:tplc="24D08B86">
      <w:start w:val="1"/>
      <w:numFmt w:val="bullet"/>
      <w:pStyle w:val="ARlistparagraph"/>
      <w:lvlText w:val=""/>
      <w:lvlJc w:val="left"/>
      <w:pPr>
        <w:ind w:left="720" w:hanging="360"/>
      </w:pPr>
      <w:rPr>
        <w:rFonts w:ascii="Symbol" w:hAnsi="Symbol" w:hint="default"/>
      </w:rPr>
    </w:lvl>
    <w:lvl w:ilvl="1" w:tplc="D936934E">
      <w:start w:val="247"/>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FF6EDE"/>
    <w:multiLevelType w:val="multilevel"/>
    <w:tmpl w:val="C2724B96"/>
    <w:lvl w:ilvl="0">
      <w:numFmt w:val="bullet"/>
      <w:pStyle w:val="BodyBullets"/>
      <w:lvlText w:val="•"/>
      <w:lvlJc w:val="left"/>
      <w:pPr>
        <w:ind w:left="360" w:hanging="360"/>
      </w:pPr>
      <w:rPr>
        <w:rFonts w:ascii="Preston" w:hAnsi="Preston" w:hint="default"/>
        <w:b/>
        <w:color w:val="auto"/>
      </w:rPr>
    </w:lvl>
    <w:lvl w:ilvl="1">
      <w:start w:val="1"/>
      <w:numFmt w:val="decimal"/>
      <w:isLgl/>
      <w:lvlText w:val="%1.%2"/>
      <w:lvlJc w:val="left"/>
      <w:pPr>
        <w:ind w:left="786" w:hanging="360"/>
      </w:pPr>
      <w:rPr>
        <w:b w:val="0"/>
        <w:i w:val="0"/>
      </w:rPr>
    </w:lvl>
    <w:lvl w:ilvl="2">
      <w:start w:val="1"/>
      <w:numFmt w:val="decimal"/>
      <w:isLgl/>
      <w:lvlText w:val="%1.%2.%3"/>
      <w:lvlJc w:val="left"/>
      <w:pPr>
        <w:ind w:left="228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3" w15:restartNumberingAfterBreak="0">
    <w:nsid w:val="129E620D"/>
    <w:multiLevelType w:val="hybridMultilevel"/>
    <w:tmpl w:val="B28C3BA8"/>
    <w:lvl w:ilvl="0" w:tplc="87DEE198">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76E77"/>
    <w:multiLevelType w:val="multilevel"/>
    <w:tmpl w:val="32983E9E"/>
    <w:lvl w:ilvl="0">
      <w:start w:val="1"/>
      <w:numFmt w:val="bullet"/>
      <w:lvlText w:val=""/>
      <w:lvlJc w:val="left"/>
      <w:pPr>
        <w:ind w:left="284" w:hanging="284"/>
      </w:pPr>
      <w:rPr>
        <w:rFonts w:ascii="Symbol" w:hAnsi="Symbol" w:hint="default"/>
        <w:b/>
        <w:color w:val="auto"/>
      </w:rPr>
    </w:lvl>
    <w:lvl w:ilvl="1">
      <w:start w:val="1"/>
      <w:numFmt w:val="decimal"/>
      <w:isLgl/>
      <w:lvlText w:val="%1.%2"/>
      <w:lvlJc w:val="left"/>
      <w:pPr>
        <w:ind w:left="786" w:hanging="360"/>
      </w:pPr>
      <w:rPr>
        <w:b w:val="0"/>
        <w:i w:val="0"/>
      </w:rPr>
    </w:lvl>
    <w:lvl w:ilvl="2">
      <w:start w:val="1"/>
      <w:numFmt w:val="decimal"/>
      <w:isLgl/>
      <w:lvlText w:val="%1.%2.%3"/>
      <w:lvlJc w:val="left"/>
      <w:pPr>
        <w:ind w:left="228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5" w15:restartNumberingAfterBreak="0">
    <w:nsid w:val="2D71011D"/>
    <w:multiLevelType w:val="multilevel"/>
    <w:tmpl w:val="F99C6AE2"/>
    <w:lvl w:ilvl="0">
      <w:start w:val="1"/>
      <w:numFmt w:val="decimal"/>
      <w:pStyle w:val="BodyBoldNumbers"/>
      <w:lvlText w:val="%1"/>
      <w:lvlJc w:val="left"/>
      <w:pPr>
        <w:ind w:left="4548" w:hanging="720"/>
      </w:pPr>
      <w:rPr>
        <w:b/>
      </w:rPr>
    </w:lvl>
    <w:lvl w:ilvl="1">
      <w:start w:val="1"/>
      <w:numFmt w:val="decimal"/>
      <w:pStyle w:val="11BodyNumbers"/>
      <w:isLgl/>
      <w:lvlText w:val="%1.%2"/>
      <w:lvlJc w:val="left"/>
      <w:pPr>
        <w:ind w:left="786" w:hanging="360"/>
      </w:pPr>
      <w:rPr>
        <w:b w:val="0"/>
        <w:i w:val="0"/>
      </w:rPr>
    </w:lvl>
    <w:lvl w:ilvl="2">
      <w:start w:val="1"/>
      <w:numFmt w:val="decimal"/>
      <w:pStyle w:val="111BodyNumbers"/>
      <w:isLgl/>
      <w:lvlText w:val="%1.%2.%3"/>
      <w:lvlJc w:val="left"/>
      <w:pPr>
        <w:ind w:left="228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6" w15:restartNumberingAfterBreak="0">
    <w:nsid w:val="3274480A"/>
    <w:multiLevelType w:val="hybridMultilevel"/>
    <w:tmpl w:val="D8804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DA4E8A"/>
    <w:multiLevelType w:val="multilevel"/>
    <w:tmpl w:val="A5762164"/>
    <w:lvl w:ilvl="0">
      <w:start w:val="1"/>
      <w:numFmt w:val="bullet"/>
      <w:lvlText w:val=""/>
      <w:lvlJc w:val="left"/>
      <w:pPr>
        <w:ind w:left="284" w:hanging="284"/>
      </w:pPr>
      <w:rPr>
        <w:rFonts w:ascii="Symbol" w:hAnsi="Symbol" w:hint="default"/>
        <w:b/>
      </w:rPr>
    </w:lvl>
    <w:lvl w:ilvl="1">
      <w:start w:val="1"/>
      <w:numFmt w:val="decimal"/>
      <w:isLgl/>
      <w:lvlText w:val="%1.%2"/>
      <w:lvlJc w:val="left"/>
      <w:pPr>
        <w:ind w:left="786" w:hanging="360"/>
      </w:pPr>
      <w:rPr>
        <w:b w:val="0"/>
        <w:i w:val="0"/>
      </w:rPr>
    </w:lvl>
    <w:lvl w:ilvl="2">
      <w:start w:val="1"/>
      <w:numFmt w:val="decimal"/>
      <w:isLgl/>
      <w:lvlText w:val="%1.%2.%3"/>
      <w:lvlJc w:val="left"/>
      <w:pPr>
        <w:ind w:left="228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8" w15:restartNumberingAfterBreak="0">
    <w:nsid w:val="45325C83"/>
    <w:multiLevelType w:val="hybridMultilevel"/>
    <w:tmpl w:val="AB1E0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D6330"/>
    <w:multiLevelType w:val="hybridMultilevel"/>
    <w:tmpl w:val="F314DC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C77082"/>
    <w:multiLevelType w:val="hybridMultilevel"/>
    <w:tmpl w:val="E1C6E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D701045"/>
    <w:multiLevelType w:val="hybridMultilevel"/>
    <w:tmpl w:val="E6BC53C6"/>
    <w:lvl w:ilvl="0" w:tplc="41CED294">
      <w:start w:val="1"/>
      <w:numFmt w:val="decimal"/>
      <w:pStyle w:val="1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3"/>
  </w:num>
  <w:num w:numId="5">
    <w:abstractNumId w:val="7"/>
  </w:num>
  <w:num w:numId="6">
    <w:abstractNumId w:val="4"/>
  </w:num>
  <w:num w:numId="7">
    <w:abstractNumId w:val="2"/>
  </w:num>
  <w:num w:numId="8">
    <w:abstractNumId w:val="11"/>
  </w:num>
  <w:num w:numId="9">
    <w:abstractNumId w:val="6"/>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documentProtection w:edit="readOnly" w:enforcement="1" w:cryptProviderType="rsaAES" w:cryptAlgorithmClass="hash" w:cryptAlgorithmType="typeAny" w:cryptAlgorithmSid="14" w:cryptSpinCount="100000" w:hash="dQdRE8eyTyPuUHdC8oRH67XGA1b0RnUWkCHZBGj+IphU179UE98MsveXKOUQ1HLYj0ykf1rd+Lpgeqv+RkegDw==" w:salt="lthT/H6UTdCiWIrwrQ0Nm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3CC"/>
    <w:rsid w:val="005B3ED2"/>
    <w:rsid w:val="009103CC"/>
    <w:rsid w:val="00BC77E0"/>
    <w:rsid w:val="00E10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A1C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CC"/>
    <w:pPr>
      <w:spacing w:after="0" w:line="360" w:lineRule="auto"/>
    </w:pPr>
    <w:rPr>
      <w:rFonts w:ascii="Arial" w:hAnsi="Arial"/>
    </w:rPr>
  </w:style>
  <w:style w:type="paragraph" w:styleId="Heading1">
    <w:name w:val="heading 1"/>
    <w:basedOn w:val="Normal"/>
    <w:next w:val="Normal"/>
    <w:link w:val="Heading1Char"/>
    <w:uiPriority w:val="9"/>
    <w:qFormat/>
    <w:rsid w:val="009103CC"/>
    <w:pPr>
      <w:widowControl w:val="0"/>
      <w:autoSpaceDE w:val="0"/>
      <w:autoSpaceDN w:val="0"/>
      <w:adjustRightInd w:val="0"/>
      <w:spacing w:after="1000" w:line="240" w:lineRule="auto"/>
      <w:ind w:right="-28"/>
      <w:textAlignment w:val="center"/>
      <w:outlineLvl w:val="0"/>
    </w:pPr>
    <w:rPr>
      <w:rFonts w:eastAsia="MS Mincho" w:cs="Preston"/>
      <w:color w:val="0A279C"/>
      <w:sz w:val="40"/>
      <w:szCs w:val="40"/>
      <w:lang w:val="en-US"/>
    </w:rPr>
  </w:style>
  <w:style w:type="paragraph" w:styleId="Heading2">
    <w:name w:val="heading 2"/>
    <w:basedOn w:val="Normal"/>
    <w:next w:val="ARbody"/>
    <w:link w:val="Heading2Char"/>
    <w:uiPriority w:val="9"/>
    <w:unhideWhenUsed/>
    <w:qFormat/>
    <w:rsid w:val="009103CC"/>
    <w:pPr>
      <w:widowControl w:val="0"/>
      <w:autoSpaceDE w:val="0"/>
      <w:autoSpaceDN w:val="0"/>
      <w:adjustRightInd w:val="0"/>
      <w:spacing w:after="200" w:line="240" w:lineRule="auto"/>
      <w:textAlignment w:val="center"/>
      <w:outlineLvl w:val="1"/>
    </w:pPr>
    <w:rPr>
      <w:rFonts w:eastAsia="MS Mincho" w:cs="Preston"/>
      <w:b/>
      <w:sz w:val="40"/>
      <w:szCs w:val="32"/>
      <w:lang w:val="en-US"/>
    </w:rPr>
  </w:style>
  <w:style w:type="paragraph" w:styleId="Heading3">
    <w:name w:val="heading 3"/>
    <w:basedOn w:val="Normal"/>
    <w:next w:val="Normal"/>
    <w:link w:val="Heading3Char"/>
    <w:uiPriority w:val="9"/>
    <w:unhideWhenUsed/>
    <w:qFormat/>
    <w:rsid w:val="009103CC"/>
    <w:pPr>
      <w:widowControl w:val="0"/>
      <w:suppressAutoHyphens/>
      <w:autoSpaceDE w:val="0"/>
      <w:autoSpaceDN w:val="0"/>
      <w:adjustRightInd w:val="0"/>
      <w:spacing w:line="240" w:lineRule="auto"/>
      <w:textAlignment w:val="center"/>
      <w:outlineLvl w:val="2"/>
    </w:pPr>
    <w:rPr>
      <w:rFonts w:eastAsia="MS Mincho" w:cs="Preston-Regular"/>
      <w:color w:val="0A279C"/>
      <w:sz w:val="24"/>
      <w:szCs w:val="24"/>
      <w:lang w:val="en-US"/>
    </w:rPr>
  </w:style>
  <w:style w:type="paragraph" w:styleId="Heading4">
    <w:name w:val="heading 4"/>
    <w:basedOn w:val="BodyBold"/>
    <w:next w:val="Normal"/>
    <w:link w:val="Heading4Char"/>
    <w:uiPriority w:val="9"/>
    <w:unhideWhenUsed/>
    <w:qFormat/>
    <w:rsid w:val="009103CC"/>
    <w:pPr>
      <w:outlineLvl w:val="3"/>
    </w:pPr>
    <w:rPr>
      <w:color w:val="0A279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3CC"/>
    <w:rPr>
      <w:rFonts w:ascii="Arial" w:eastAsia="MS Mincho" w:hAnsi="Arial" w:cs="Preston"/>
      <w:color w:val="0A279C"/>
      <w:sz w:val="40"/>
      <w:szCs w:val="40"/>
      <w:lang w:val="en-US"/>
    </w:rPr>
  </w:style>
  <w:style w:type="character" w:customStyle="1" w:styleId="Heading2Char">
    <w:name w:val="Heading 2 Char"/>
    <w:basedOn w:val="DefaultParagraphFont"/>
    <w:link w:val="Heading2"/>
    <w:uiPriority w:val="9"/>
    <w:rsid w:val="009103CC"/>
    <w:rPr>
      <w:rFonts w:ascii="Arial" w:eastAsia="MS Mincho" w:hAnsi="Arial" w:cs="Preston"/>
      <w:b/>
      <w:sz w:val="40"/>
      <w:szCs w:val="32"/>
      <w:lang w:val="en-US"/>
    </w:rPr>
  </w:style>
  <w:style w:type="character" w:customStyle="1" w:styleId="Heading3Char">
    <w:name w:val="Heading 3 Char"/>
    <w:basedOn w:val="DefaultParagraphFont"/>
    <w:link w:val="Heading3"/>
    <w:uiPriority w:val="9"/>
    <w:rsid w:val="009103CC"/>
    <w:rPr>
      <w:rFonts w:ascii="Arial" w:eastAsia="MS Mincho" w:hAnsi="Arial" w:cs="Preston-Regular"/>
      <w:color w:val="0A279C"/>
      <w:sz w:val="24"/>
      <w:szCs w:val="24"/>
      <w:lang w:val="en-US"/>
    </w:rPr>
  </w:style>
  <w:style w:type="character" w:customStyle="1" w:styleId="Heading4Char">
    <w:name w:val="Heading 4 Char"/>
    <w:basedOn w:val="DefaultParagraphFont"/>
    <w:link w:val="Heading4"/>
    <w:uiPriority w:val="9"/>
    <w:rsid w:val="009103CC"/>
    <w:rPr>
      <w:rFonts w:ascii="Arial" w:eastAsia="MS Mincho" w:hAnsi="Arial" w:cs="Preston-Regular"/>
      <w:b/>
      <w:bCs/>
      <w:color w:val="0A279C"/>
      <w:sz w:val="18"/>
      <w:szCs w:val="18"/>
      <w:lang w:val="en-US"/>
    </w:rPr>
  </w:style>
  <w:style w:type="paragraph" w:styleId="Quote">
    <w:name w:val="Quote"/>
    <w:aliases w:val="Body Italics"/>
    <w:basedOn w:val="Body"/>
    <w:next w:val="Normal"/>
    <w:link w:val="QuoteChar"/>
    <w:uiPriority w:val="29"/>
    <w:qFormat/>
    <w:rsid w:val="009103CC"/>
    <w:rPr>
      <w:i/>
      <w:iCs/>
    </w:rPr>
  </w:style>
  <w:style w:type="character" w:customStyle="1" w:styleId="QuoteChar">
    <w:name w:val="Quote Char"/>
    <w:aliases w:val="Body Italics Char"/>
    <w:basedOn w:val="DefaultParagraphFont"/>
    <w:link w:val="Quote"/>
    <w:uiPriority w:val="29"/>
    <w:rsid w:val="009103CC"/>
    <w:rPr>
      <w:rFonts w:ascii="Arial" w:eastAsia="MS Mincho" w:hAnsi="Arial" w:cs="Preston-Regular"/>
      <w:i/>
      <w:iCs/>
      <w:color w:val="000000"/>
      <w:sz w:val="18"/>
      <w:szCs w:val="18"/>
      <w:lang w:val="en-GB"/>
    </w:rPr>
  </w:style>
  <w:style w:type="paragraph" w:styleId="Header">
    <w:name w:val="header"/>
    <w:basedOn w:val="Normal"/>
    <w:link w:val="HeaderChar"/>
    <w:uiPriority w:val="99"/>
    <w:unhideWhenUsed/>
    <w:rsid w:val="009103CC"/>
    <w:pPr>
      <w:widowControl w:val="0"/>
      <w:tabs>
        <w:tab w:val="center" w:pos="4513"/>
        <w:tab w:val="right" w:pos="9026"/>
      </w:tabs>
      <w:suppressAutoHyphens/>
      <w:autoSpaceDE w:val="0"/>
      <w:autoSpaceDN w:val="0"/>
      <w:adjustRightInd w:val="0"/>
      <w:spacing w:line="192" w:lineRule="auto"/>
      <w:textAlignment w:val="center"/>
    </w:pPr>
    <w:rPr>
      <w:rFonts w:eastAsia="MS Mincho" w:cs="Preston-Regular"/>
      <w:color w:val="000000"/>
      <w:sz w:val="24"/>
      <w:szCs w:val="24"/>
      <w:lang w:val="en-US"/>
    </w:rPr>
  </w:style>
  <w:style w:type="character" w:customStyle="1" w:styleId="HeaderChar">
    <w:name w:val="Header Char"/>
    <w:basedOn w:val="DefaultParagraphFont"/>
    <w:link w:val="Header"/>
    <w:uiPriority w:val="99"/>
    <w:rsid w:val="009103CC"/>
    <w:rPr>
      <w:rFonts w:ascii="Arial" w:eastAsia="MS Mincho" w:hAnsi="Arial" w:cs="Preston-Regular"/>
      <w:color w:val="000000"/>
      <w:sz w:val="24"/>
      <w:szCs w:val="24"/>
      <w:lang w:val="en-US"/>
    </w:rPr>
  </w:style>
  <w:style w:type="paragraph" w:styleId="Footer">
    <w:name w:val="footer"/>
    <w:basedOn w:val="Normal"/>
    <w:link w:val="FooterChar"/>
    <w:uiPriority w:val="99"/>
    <w:unhideWhenUsed/>
    <w:rsid w:val="009103CC"/>
    <w:pPr>
      <w:widowControl w:val="0"/>
      <w:tabs>
        <w:tab w:val="center" w:pos="4513"/>
        <w:tab w:val="right" w:pos="9026"/>
      </w:tabs>
      <w:suppressAutoHyphens/>
      <w:autoSpaceDE w:val="0"/>
      <w:autoSpaceDN w:val="0"/>
      <w:adjustRightInd w:val="0"/>
      <w:spacing w:line="240" w:lineRule="auto"/>
      <w:textAlignment w:val="center"/>
    </w:pPr>
    <w:rPr>
      <w:rFonts w:eastAsia="MS Mincho" w:cs="Preston-Regular"/>
      <w:color w:val="000000" w:themeColor="text1"/>
      <w:sz w:val="16"/>
      <w:szCs w:val="16"/>
      <w:lang w:val="en-US"/>
    </w:rPr>
  </w:style>
  <w:style w:type="character" w:customStyle="1" w:styleId="FooterChar">
    <w:name w:val="Footer Char"/>
    <w:basedOn w:val="DefaultParagraphFont"/>
    <w:link w:val="Footer"/>
    <w:uiPriority w:val="99"/>
    <w:rsid w:val="009103CC"/>
    <w:rPr>
      <w:rFonts w:ascii="Arial" w:eastAsia="MS Mincho" w:hAnsi="Arial" w:cs="Preston-Regular"/>
      <w:color w:val="000000" w:themeColor="text1"/>
      <w:sz w:val="16"/>
      <w:szCs w:val="16"/>
      <w:lang w:val="en-US"/>
    </w:rPr>
  </w:style>
  <w:style w:type="character" w:styleId="PageNumber">
    <w:name w:val="page number"/>
    <w:basedOn w:val="DefaultParagraphFont"/>
    <w:uiPriority w:val="99"/>
    <w:semiHidden/>
    <w:unhideWhenUsed/>
    <w:rsid w:val="009103CC"/>
  </w:style>
  <w:style w:type="table" w:styleId="TableGrid">
    <w:name w:val="Table Grid"/>
    <w:basedOn w:val="TableNormal"/>
    <w:rsid w:val="009103CC"/>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qFormat/>
    <w:rsid w:val="009103CC"/>
    <w:pPr>
      <w:widowControl w:val="0"/>
      <w:suppressAutoHyphens/>
      <w:autoSpaceDE w:val="0"/>
      <w:autoSpaceDN w:val="0"/>
      <w:adjustRightInd w:val="0"/>
      <w:spacing w:line="240" w:lineRule="auto"/>
      <w:textAlignment w:val="center"/>
    </w:pPr>
    <w:rPr>
      <w:rFonts w:eastAsia="MS Mincho" w:cs="Preston-Regular"/>
      <w:color w:val="000000"/>
      <w:sz w:val="18"/>
      <w:szCs w:val="18"/>
      <w:lang w:val="en-GB"/>
    </w:rPr>
  </w:style>
  <w:style w:type="paragraph" w:customStyle="1" w:styleId="BodyBoldNumbers">
    <w:name w:val="Body Bold Numbers"/>
    <w:basedOn w:val="Normal"/>
    <w:qFormat/>
    <w:rsid w:val="009103CC"/>
    <w:pPr>
      <w:widowControl w:val="0"/>
      <w:numPr>
        <w:numId w:val="1"/>
      </w:numPr>
      <w:suppressAutoHyphens/>
      <w:autoSpaceDE w:val="0"/>
      <w:autoSpaceDN w:val="0"/>
      <w:adjustRightInd w:val="0"/>
      <w:ind w:left="426" w:hanging="426"/>
      <w:textAlignment w:val="center"/>
    </w:pPr>
    <w:rPr>
      <w:rFonts w:eastAsia="MS Mincho" w:cs="Preston-Regular"/>
      <w:b/>
      <w:bCs/>
      <w:color w:val="000000" w:themeColor="text1"/>
      <w:sz w:val="21"/>
      <w:szCs w:val="21"/>
      <w:lang w:val="en-US"/>
    </w:rPr>
  </w:style>
  <w:style w:type="paragraph" w:customStyle="1" w:styleId="BodyBold">
    <w:name w:val="Body Bold"/>
    <w:basedOn w:val="Normal"/>
    <w:qFormat/>
    <w:rsid w:val="009103CC"/>
    <w:pPr>
      <w:widowControl w:val="0"/>
      <w:suppressAutoHyphens/>
      <w:autoSpaceDE w:val="0"/>
      <w:autoSpaceDN w:val="0"/>
      <w:adjustRightInd w:val="0"/>
      <w:spacing w:line="264" w:lineRule="auto"/>
      <w:textAlignment w:val="center"/>
    </w:pPr>
    <w:rPr>
      <w:rFonts w:eastAsia="MS Mincho" w:cs="Preston-Regular"/>
      <w:b/>
      <w:bCs/>
      <w:color w:val="000000" w:themeColor="text1"/>
      <w:sz w:val="18"/>
      <w:szCs w:val="18"/>
      <w:lang w:val="en-US"/>
    </w:rPr>
  </w:style>
  <w:style w:type="paragraph" w:customStyle="1" w:styleId="BodyBullets">
    <w:name w:val="Body Bullets"/>
    <w:basedOn w:val="BodyBoldNumbers"/>
    <w:qFormat/>
    <w:rsid w:val="009103CC"/>
    <w:pPr>
      <w:numPr>
        <w:numId w:val="7"/>
      </w:numPr>
      <w:suppressAutoHyphens w:val="0"/>
      <w:autoSpaceDE/>
      <w:autoSpaceDN/>
      <w:adjustRightInd/>
      <w:spacing w:line="240" w:lineRule="auto"/>
      <w:textAlignment w:val="auto"/>
    </w:pPr>
    <w:rPr>
      <w:rFonts w:cstheme="minorBidi"/>
      <w:b w:val="0"/>
      <w:sz w:val="18"/>
      <w:szCs w:val="18"/>
      <w:lang w:val="en-AU"/>
    </w:rPr>
  </w:style>
  <w:style w:type="paragraph" w:customStyle="1" w:styleId="11BodyNumbers">
    <w:name w:val="1.1 Body Numbers"/>
    <w:basedOn w:val="Normal"/>
    <w:qFormat/>
    <w:rsid w:val="009103CC"/>
    <w:pPr>
      <w:widowControl w:val="0"/>
      <w:numPr>
        <w:ilvl w:val="1"/>
        <w:numId w:val="1"/>
      </w:numPr>
      <w:tabs>
        <w:tab w:val="right" w:pos="8789"/>
      </w:tabs>
      <w:suppressAutoHyphens/>
      <w:autoSpaceDE w:val="0"/>
      <w:autoSpaceDN w:val="0"/>
      <w:adjustRightInd w:val="0"/>
      <w:ind w:left="851" w:right="-188" w:hanging="426"/>
      <w:textAlignment w:val="center"/>
    </w:pPr>
    <w:rPr>
      <w:rFonts w:eastAsia="MS Mincho" w:cs="Preston-Regular"/>
      <w:color w:val="000000" w:themeColor="text1"/>
      <w:szCs w:val="20"/>
      <w:lang w:val="en-US"/>
    </w:rPr>
  </w:style>
  <w:style w:type="paragraph" w:customStyle="1" w:styleId="111BodyNumbers">
    <w:name w:val="1.1.1 Body Numbers"/>
    <w:basedOn w:val="Normal"/>
    <w:qFormat/>
    <w:rsid w:val="009103CC"/>
    <w:pPr>
      <w:widowControl w:val="0"/>
      <w:numPr>
        <w:ilvl w:val="2"/>
        <w:numId w:val="1"/>
      </w:numPr>
      <w:tabs>
        <w:tab w:val="right" w:pos="8789"/>
      </w:tabs>
      <w:suppressAutoHyphens/>
      <w:autoSpaceDE w:val="0"/>
      <w:autoSpaceDN w:val="0"/>
      <w:adjustRightInd w:val="0"/>
      <w:ind w:hanging="1146"/>
      <w:textAlignment w:val="center"/>
    </w:pPr>
    <w:rPr>
      <w:rFonts w:eastAsia="MS Mincho" w:cs="Preston-Regular"/>
      <w:color w:val="000000" w:themeColor="text1"/>
      <w:szCs w:val="20"/>
      <w:lang w:val="en-US"/>
    </w:rPr>
  </w:style>
  <w:style w:type="paragraph" w:customStyle="1" w:styleId="MajorHeading">
    <w:name w:val="Major Heading"/>
    <w:basedOn w:val="Normal"/>
    <w:qFormat/>
    <w:rsid w:val="009103CC"/>
    <w:pPr>
      <w:widowControl w:val="0"/>
      <w:suppressAutoHyphens/>
      <w:autoSpaceDE w:val="0"/>
      <w:autoSpaceDN w:val="0"/>
      <w:adjustRightInd w:val="0"/>
      <w:spacing w:line="240" w:lineRule="auto"/>
      <w:textAlignment w:val="center"/>
    </w:pPr>
    <w:rPr>
      <w:rFonts w:eastAsia="MS Mincho"/>
      <w:bCs/>
      <w:color w:val="FFFFFF" w:themeColor="background1"/>
      <w:sz w:val="48"/>
      <w:szCs w:val="56"/>
    </w:rPr>
  </w:style>
  <w:style w:type="character" w:styleId="Emphasis">
    <w:name w:val="Emphasis"/>
    <w:basedOn w:val="DefaultParagraphFont"/>
    <w:uiPriority w:val="20"/>
    <w:qFormat/>
    <w:rsid w:val="009103CC"/>
    <w:rPr>
      <w:b/>
      <w:bCs/>
      <w:i/>
      <w:iCs/>
    </w:rPr>
  </w:style>
  <w:style w:type="paragraph" w:customStyle="1" w:styleId="SubHeading">
    <w:name w:val="Sub Heading"/>
    <w:basedOn w:val="BodyBold"/>
    <w:qFormat/>
    <w:rsid w:val="009103CC"/>
    <w:rPr>
      <w:color w:val="FFFFFF" w:themeColor="background1"/>
      <w:sz w:val="24"/>
      <w:szCs w:val="24"/>
    </w:rPr>
  </w:style>
  <w:style w:type="paragraph" w:styleId="TOCHeading">
    <w:name w:val="TOC Heading"/>
    <w:basedOn w:val="Heading1"/>
    <w:next w:val="Normal"/>
    <w:uiPriority w:val="39"/>
    <w:unhideWhenUsed/>
    <w:qFormat/>
    <w:rsid w:val="009103CC"/>
    <w:pPr>
      <w:keepNext/>
      <w:keepLines/>
      <w:autoSpaceDE/>
      <w:autoSpaceDN/>
      <w:adjustRightInd/>
      <w:spacing w:before="480" w:after="0" w:line="276" w:lineRule="auto"/>
      <w:textAlignment w:val="auto"/>
      <w:outlineLvl w:val="9"/>
    </w:pPr>
    <w:rPr>
      <w:rFonts w:asciiTheme="majorHAnsi" w:eastAsiaTheme="majorEastAsia" w:hAnsiTheme="majorHAnsi" w:cstheme="majorBidi"/>
      <w:b/>
      <w:bCs/>
      <w:color w:val="2F5496" w:themeColor="accent1" w:themeShade="BF"/>
      <w:sz w:val="28"/>
      <w:szCs w:val="28"/>
    </w:rPr>
  </w:style>
  <w:style w:type="paragraph" w:styleId="TOC1">
    <w:name w:val="toc 1"/>
    <w:basedOn w:val="ARbody"/>
    <w:next w:val="ARbody"/>
    <w:autoRedefine/>
    <w:uiPriority w:val="39"/>
    <w:unhideWhenUsed/>
    <w:rsid w:val="009103CC"/>
    <w:pPr>
      <w:autoSpaceDE w:val="0"/>
      <w:autoSpaceDN w:val="0"/>
      <w:adjustRightInd w:val="0"/>
      <w:spacing w:before="360" w:after="0"/>
      <w:textAlignment w:val="center"/>
    </w:pPr>
    <w:rPr>
      <w:rFonts w:asciiTheme="majorHAnsi" w:eastAsia="MS Mincho" w:hAnsiTheme="majorHAnsi" w:cstheme="majorHAnsi"/>
      <w:b/>
      <w:bCs/>
      <w:caps/>
      <w:color w:val="000000"/>
      <w:sz w:val="24"/>
      <w:szCs w:val="24"/>
      <w:lang w:val="en-US"/>
    </w:rPr>
  </w:style>
  <w:style w:type="paragraph" w:styleId="TOC2">
    <w:name w:val="toc 2"/>
    <w:basedOn w:val="Normal"/>
    <w:next w:val="Normal"/>
    <w:autoRedefine/>
    <w:uiPriority w:val="39"/>
    <w:unhideWhenUsed/>
    <w:rsid w:val="009103CC"/>
    <w:pPr>
      <w:widowControl w:val="0"/>
      <w:suppressAutoHyphens/>
      <w:autoSpaceDE w:val="0"/>
      <w:autoSpaceDN w:val="0"/>
      <w:adjustRightInd w:val="0"/>
      <w:textAlignment w:val="center"/>
    </w:pPr>
    <w:rPr>
      <w:rFonts w:eastAsia="MS Mincho" w:cstheme="minorHAnsi"/>
      <w:bCs/>
      <w:color w:val="000000"/>
      <w:szCs w:val="20"/>
      <w:lang w:val="en-US"/>
    </w:rPr>
  </w:style>
  <w:style w:type="paragraph" w:styleId="TOC3">
    <w:name w:val="toc 3"/>
    <w:basedOn w:val="Normal"/>
    <w:next w:val="Normal"/>
    <w:autoRedefine/>
    <w:uiPriority w:val="39"/>
    <w:unhideWhenUsed/>
    <w:rsid w:val="009103CC"/>
    <w:pPr>
      <w:widowControl w:val="0"/>
      <w:suppressAutoHyphens/>
      <w:autoSpaceDE w:val="0"/>
      <w:autoSpaceDN w:val="0"/>
      <w:adjustRightInd w:val="0"/>
      <w:ind w:left="220"/>
      <w:textAlignment w:val="center"/>
    </w:pPr>
    <w:rPr>
      <w:rFonts w:asciiTheme="minorHAnsi" w:eastAsia="MS Mincho" w:hAnsiTheme="minorHAnsi" w:cstheme="minorHAnsi"/>
      <w:color w:val="000000"/>
      <w:sz w:val="20"/>
      <w:szCs w:val="20"/>
      <w:lang w:val="en-US"/>
    </w:rPr>
  </w:style>
  <w:style w:type="character" w:styleId="Hyperlink">
    <w:name w:val="Hyperlink"/>
    <w:basedOn w:val="DefaultParagraphFont"/>
    <w:uiPriority w:val="99"/>
    <w:unhideWhenUsed/>
    <w:rsid w:val="009103CC"/>
    <w:rPr>
      <w:color w:val="0563C1" w:themeColor="hyperlink"/>
      <w:u w:val="single"/>
    </w:rPr>
  </w:style>
  <w:style w:type="paragraph" w:styleId="TOC4">
    <w:name w:val="toc 4"/>
    <w:basedOn w:val="Normal"/>
    <w:next w:val="Normal"/>
    <w:autoRedefine/>
    <w:uiPriority w:val="39"/>
    <w:unhideWhenUsed/>
    <w:rsid w:val="009103CC"/>
    <w:pPr>
      <w:widowControl w:val="0"/>
      <w:suppressAutoHyphens/>
      <w:autoSpaceDE w:val="0"/>
      <w:autoSpaceDN w:val="0"/>
      <w:adjustRightInd w:val="0"/>
      <w:ind w:left="440"/>
      <w:textAlignment w:val="center"/>
    </w:pPr>
    <w:rPr>
      <w:rFonts w:asciiTheme="minorHAnsi" w:eastAsia="MS Mincho" w:hAnsiTheme="minorHAnsi" w:cstheme="minorHAnsi"/>
      <w:color w:val="000000"/>
      <w:sz w:val="20"/>
      <w:szCs w:val="20"/>
      <w:lang w:val="en-US"/>
    </w:rPr>
  </w:style>
  <w:style w:type="paragraph" w:styleId="TOC5">
    <w:name w:val="toc 5"/>
    <w:basedOn w:val="Normal"/>
    <w:next w:val="Normal"/>
    <w:autoRedefine/>
    <w:uiPriority w:val="39"/>
    <w:unhideWhenUsed/>
    <w:rsid w:val="009103CC"/>
    <w:pPr>
      <w:widowControl w:val="0"/>
      <w:suppressAutoHyphens/>
      <w:autoSpaceDE w:val="0"/>
      <w:autoSpaceDN w:val="0"/>
      <w:adjustRightInd w:val="0"/>
      <w:ind w:left="660"/>
      <w:textAlignment w:val="center"/>
    </w:pPr>
    <w:rPr>
      <w:rFonts w:asciiTheme="minorHAnsi" w:eastAsia="MS Mincho" w:hAnsiTheme="minorHAnsi" w:cstheme="minorHAnsi"/>
      <w:color w:val="000000"/>
      <w:sz w:val="20"/>
      <w:szCs w:val="20"/>
      <w:lang w:val="en-US"/>
    </w:rPr>
  </w:style>
  <w:style w:type="paragraph" w:styleId="TOC6">
    <w:name w:val="toc 6"/>
    <w:basedOn w:val="Normal"/>
    <w:next w:val="Normal"/>
    <w:autoRedefine/>
    <w:uiPriority w:val="39"/>
    <w:unhideWhenUsed/>
    <w:rsid w:val="009103CC"/>
    <w:pPr>
      <w:widowControl w:val="0"/>
      <w:suppressAutoHyphens/>
      <w:autoSpaceDE w:val="0"/>
      <w:autoSpaceDN w:val="0"/>
      <w:adjustRightInd w:val="0"/>
      <w:ind w:left="880"/>
      <w:textAlignment w:val="center"/>
    </w:pPr>
    <w:rPr>
      <w:rFonts w:asciiTheme="minorHAnsi" w:eastAsia="MS Mincho" w:hAnsiTheme="minorHAnsi" w:cstheme="minorHAnsi"/>
      <w:color w:val="000000"/>
      <w:sz w:val="20"/>
      <w:szCs w:val="20"/>
      <w:lang w:val="en-US"/>
    </w:rPr>
  </w:style>
  <w:style w:type="paragraph" w:styleId="TOC7">
    <w:name w:val="toc 7"/>
    <w:basedOn w:val="Normal"/>
    <w:next w:val="Normal"/>
    <w:autoRedefine/>
    <w:uiPriority w:val="39"/>
    <w:unhideWhenUsed/>
    <w:rsid w:val="009103CC"/>
    <w:pPr>
      <w:widowControl w:val="0"/>
      <w:suppressAutoHyphens/>
      <w:autoSpaceDE w:val="0"/>
      <w:autoSpaceDN w:val="0"/>
      <w:adjustRightInd w:val="0"/>
      <w:ind w:left="1100"/>
      <w:textAlignment w:val="center"/>
    </w:pPr>
    <w:rPr>
      <w:rFonts w:asciiTheme="minorHAnsi" w:eastAsia="MS Mincho" w:hAnsiTheme="minorHAnsi" w:cstheme="minorHAnsi"/>
      <w:color w:val="000000"/>
      <w:sz w:val="20"/>
      <w:szCs w:val="20"/>
      <w:lang w:val="en-US"/>
    </w:rPr>
  </w:style>
  <w:style w:type="paragraph" w:styleId="TOC8">
    <w:name w:val="toc 8"/>
    <w:basedOn w:val="Normal"/>
    <w:next w:val="Normal"/>
    <w:autoRedefine/>
    <w:uiPriority w:val="39"/>
    <w:unhideWhenUsed/>
    <w:rsid w:val="009103CC"/>
    <w:pPr>
      <w:widowControl w:val="0"/>
      <w:suppressAutoHyphens/>
      <w:autoSpaceDE w:val="0"/>
      <w:autoSpaceDN w:val="0"/>
      <w:adjustRightInd w:val="0"/>
      <w:ind w:left="1320"/>
      <w:textAlignment w:val="center"/>
    </w:pPr>
    <w:rPr>
      <w:rFonts w:asciiTheme="minorHAnsi" w:eastAsia="MS Mincho" w:hAnsiTheme="minorHAnsi" w:cstheme="minorHAnsi"/>
      <w:color w:val="000000"/>
      <w:sz w:val="20"/>
      <w:szCs w:val="20"/>
      <w:lang w:val="en-US"/>
    </w:rPr>
  </w:style>
  <w:style w:type="paragraph" w:styleId="TOC9">
    <w:name w:val="toc 9"/>
    <w:basedOn w:val="Normal"/>
    <w:next w:val="Normal"/>
    <w:autoRedefine/>
    <w:uiPriority w:val="39"/>
    <w:unhideWhenUsed/>
    <w:rsid w:val="009103CC"/>
    <w:pPr>
      <w:widowControl w:val="0"/>
      <w:suppressAutoHyphens/>
      <w:autoSpaceDE w:val="0"/>
      <w:autoSpaceDN w:val="0"/>
      <w:adjustRightInd w:val="0"/>
      <w:ind w:left="1540"/>
      <w:textAlignment w:val="center"/>
    </w:pPr>
    <w:rPr>
      <w:rFonts w:asciiTheme="minorHAnsi" w:eastAsia="MS Mincho" w:hAnsiTheme="minorHAnsi" w:cstheme="minorHAnsi"/>
      <w:color w:val="000000"/>
      <w:sz w:val="20"/>
      <w:szCs w:val="20"/>
      <w:lang w:val="en-US"/>
    </w:rPr>
  </w:style>
  <w:style w:type="character" w:customStyle="1" w:styleId="A3">
    <w:name w:val="A3"/>
    <w:uiPriority w:val="99"/>
    <w:rsid w:val="009103CC"/>
    <w:rPr>
      <w:rFonts w:cs="Helvetica"/>
      <w:color w:val="A49A95"/>
      <w:sz w:val="41"/>
      <w:szCs w:val="41"/>
    </w:rPr>
  </w:style>
  <w:style w:type="character" w:customStyle="1" w:styleId="A4">
    <w:name w:val="A4"/>
    <w:uiPriority w:val="99"/>
    <w:rsid w:val="009103CC"/>
    <w:rPr>
      <w:rFonts w:cs="Helvetica"/>
      <w:color w:val="221E1F"/>
      <w:sz w:val="29"/>
      <w:szCs w:val="29"/>
    </w:rPr>
  </w:style>
  <w:style w:type="paragraph" w:customStyle="1" w:styleId="Preston532855255pt">
    <w:name w:val="Preston — 53.285/52.55 pt"/>
    <w:basedOn w:val="Normal"/>
    <w:uiPriority w:val="99"/>
    <w:rsid w:val="009103CC"/>
    <w:pPr>
      <w:widowControl w:val="0"/>
      <w:suppressAutoHyphens/>
      <w:autoSpaceDE w:val="0"/>
      <w:autoSpaceDN w:val="0"/>
      <w:adjustRightInd w:val="0"/>
      <w:spacing w:line="1051" w:lineRule="atLeast"/>
      <w:ind w:right="403"/>
      <w:textAlignment w:val="center"/>
    </w:pPr>
    <w:rPr>
      <w:rFonts w:eastAsia="MS Mincho" w:cs="Preston"/>
      <w:color w:val="000000"/>
      <w:spacing w:val="-11"/>
      <w:sz w:val="107"/>
      <w:szCs w:val="107"/>
      <w:lang w:val="en-GB"/>
    </w:rPr>
  </w:style>
  <w:style w:type="paragraph" w:customStyle="1" w:styleId="Preston923211078pt">
    <w:name w:val="Preston — 9.232/11.078 pt"/>
    <w:basedOn w:val="Normal"/>
    <w:uiPriority w:val="99"/>
    <w:rsid w:val="009103CC"/>
    <w:pPr>
      <w:widowControl w:val="0"/>
      <w:tabs>
        <w:tab w:val="left" w:pos="331"/>
        <w:tab w:val="left" w:pos="580"/>
      </w:tabs>
      <w:suppressAutoHyphens/>
      <w:autoSpaceDE w:val="0"/>
      <w:autoSpaceDN w:val="0"/>
      <w:adjustRightInd w:val="0"/>
      <w:textAlignment w:val="center"/>
    </w:pPr>
    <w:rPr>
      <w:rFonts w:eastAsia="MS Mincho" w:cs="Preston"/>
      <w:color w:val="000000"/>
      <w:sz w:val="18"/>
      <w:szCs w:val="18"/>
      <w:lang w:val="en-GB"/>
    </w:rPr>
  </w:style>
  <w:style w:type="character" w:customStyle="1" w:styleId="RegularItalic">
    <w:name w:val="Regular Italic"/>
    <w:uiPriority w:val="99"/>
    <w:rsid w:val="009103CC"/>
    <w:rPr>
      <w:i/>
      <w:iCs/>
      <w:color w:val="000000"/>
    </w:rPr>
  </w:style>
  <w:style w:type="paragraph" w:customStyle="1" w:styleId="Preston2097622156ptHeadlineBlue">
    <w:name w:val="Preston — 20.976/22.156 pt (Headline Blue)"/>
    <w:basedOn w:val="Preston923211078pt"/>
    <w:uiPriority w:val="99"/>
    <w:rsid w:val="009103CC"/>
    <w:pPr>
      <w:spacing w:line="443" w:lineRule="atLeast"/>
    </w:pPr>
    <w:rPr>
      <w:color w:val="0A279C"/>
      <w:sz w:val="42"/>
      <w:szCs w:val="42"/>
    </w:rPr>
  </w:style>
  <w:style w:type="character" w:customStyle="1" w:styleId="Medium">
    <w:name w:val="Medium"/>
    <w:uiPriority w:val="99"/>
    <w:rsid w:val="009103CC"/>
  </w:style>
  <w:style w:type="paragraph" w:customStyle="1" w:styleId="Preston3692736927pt">
    <w:name w:val="Preston — 36.927/36.927 pt"/>
    <w:basedOn w:val="Preston923211078pt"/>
    <w:uiPriority w:val="99"/>
    <w:rsid w:val="009103CC"/>
    <w:pPr>
      <w:spacing w:line="739" w:lineRule="atLeast"/>
    </w:pPr>
    <w:rPr>
      <w:spacing w:val="-7"/>
      <w:sz w:val="74"/>
      <w:szCs w:val="74"/>
    </w:rPr>
  </w:style>
  <w:style w:type="paragraph" w:customStyle="1" w:styleId="1Heading1">
    <w:name w:val="1. Heading 1"/>
    <w:basedOn w:val="Heading1"/>
    <w:qFormat/>
    <w:rsid w:val="009103CC"/>
    <w:pPr>
      <w:numPr>
        <w:numId w:val="8"/>
      </w:numPr>
      <w:ind w:hanging="720"/>
    </w:pPr>
  </w:style>
  <w:style w:type="paragraph" w:customStyle="1" w:styleId="Preston923211078ptUnderline">
    <w:name w:val="Preston — 9.232/11.078 pt (Underline)"/>
    <w:basedOn w:val="Preston923211078pt"/>
    <w:uiPriority w:val="99"/>
    <w:rsid w:val="009103CC"/>
    <w:pPr>
      <w:pBdr>
        <w:bottom w:val="single" w:sz="6" w:space="7" w:color="auto"/>
      </w:pBdr>
    </w:pPr>
    <w:rPr>
      <w:color w:val="0A279C"/>
    </w:rPr>
  </w:style>
  <w:style w:type="paragraph" w:customStyle="1" w:styleId="NoParagraphStyle">
    <w:name w:val="[No Paragraph Style]"/>
    <w:rsid w:val="009103CC"/>
    <w:pPr>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US"/>
    </w:rPr>
  </w:style>
  <w:style w:type="character" w:customStyle="1" w:styleId="MediumItalic">
    <w:name w:val="Medium Italic"/>
    <w:uiPriority w:val="99"/>
    <w:rsid w:val="009103CC"/>
    <w:rPr>
      <w:i/>
      <w:iCs/>
    </w:rPr>
  </w:style>
  <w:style w:type="paragraph" w:customStyle="1" w:styleId="Preston923211078ptIndent">
    <w:name w:val="Preston — 9.232/11.078 pt (Indent)"/>
    <w:basedOn w:val="Preston923211078pt"/>
    <w:uiPriority w:val="99"/>
    <w:rsid w:val="009103CC"/>
    <w:pPr>
      <w:tabs>
        <w:tab w:val="clear" w:pos="331"/>
        <w:tab w:val="clear" w:pos="580"/>
        <w:tab w:val="left" w:pos="567"/>
      </w:tabs>
      <w:ind w:firstLine="239"/>
    </w:pPr>
  </w:style>
  <w:style w:type="paragraph" w:customStyle="1" w:styleId="PrestonLight61547385ptTable">
    <w:name w:val="Preston Light — 6.154/7.385 pt (Table)"/>
    <w:basedOn w:val="Normal"/>
    <w:uiPriority w:val="99"/>
    <w:rsid w:val="009103CC"/>
    <w:pPr>
      <w:widowControl w:val="0"/>
      <w:tabs>
        <w:tab w:val="left" w:pos="331"/>
        <w:tab w:val="left" w:pos="800"/>
      </w:tabs>
      <w:suppressAutoHyphens/>
      <w:autoSpaceDE w:val="0"/>
      <w:autoSpaceDN w:val="0"/>
      <w:adjustRightInd w:val="0"/>
      <w:textAlignment w:val="center"/>
    </w:pPr>
    <w:rPr>
      <w:rFonts w:ascii="Preston Light" w:eastAsia="MS Mincho" w:hAnsi="Preston Light" w:cs="Preston Light"/>
      <w:color w:val="000000"/>
      <w:sz w:val="12"/>
      <w:szCs w:val="12"/>
      <w:lang w:val="en-GB"/>
    </w:rPr>
  </w:style>
  <w:style w:type="paragraph" w:customStyle="1" w:styleId="PrestonLight61547385pt">
    <w:name w:val="Preston Light — 6.154/7.385 pt"/>
    <w:basedOn w:val="Preston923211078pt"/>
    <w:uiPriority w:val="99"/>
    <w:rsid w:val="009103CC"/>
    <w:pPr>
      <w:tabs>
        <w:tab w:val="clear" w:pos="580"/>
        <w:tab w:val="left" w:pos="800"/>
      </w:tabs>
    </w:pPr>
    <w:rPr>
      <w:rFonts w:ascii="Preston Light" w:hAnsi="Preston Light" w:cs="Preston Light"/>
      <w:sz w:val="12"/>
      <w:szCs w:val="12"/>
    </w:rPr>
  </w:style>
  <w:style w:type="character" w:customStyle="1" w:styleId="White">
    <w:name w:val="White"/>
    <w:uiPriority w:val="99"/>
    <w:rsid w:val="009103CC"/>
    <w:rPr>
      <w:outline/>
    </w:rPr>
  </w:style>
  <w:style w:type="paragraph" w:customStyle="1" w:styleId="Preston2097622156pt">
    <w:name w:val="Preston — 20.976/22.156 pt"/>
    <w:basedOn w:val="Preston2097622156ptHeadlineBlue"/>
    <w:uiPriority w:val="99"/>
    <w:rsid w:val="009103CC"/>
    <w:rPr>
      <w:color w:val="000000"/>
    </w:rPr>
  </w:style>
  <w:style w:type="paragraph" w:customStyle="1" w:styleId="Listitemasbodytext">
    <w:name w:val="List item as body text"/>
    <w:basedOn w:val="Body"/>
    <w:rsid w:val="009103CC"/>
    <w:rPr>
      <w:lang w:val="en-AU"/>
    </w:rPr>
  </w:style>
  <w:style w:type="paragraph" w:customStyle="1" w:styleId="Listitemasbody">
    <w:name w:val="List item as body"/>
    <w:basedOn w:val="ARbody"/>
    <w:qFormat/>
    <w:rsid w:val="009103CC"/>
  </w:style>
  <w:style w:type="paragraph" w:customStyle="1" w:styleId="Tabletext">
    <w:name w:val="Table_text"/>
    <w:basedOn w:val="NoParagraphStyle"/>
    <w:uiPriority w:val="99"/>
    <w:rsid w:val="009103CC"/>
    <w:pPr>
      <w:tabs>
        <w:tab w:val="right" w:pos="2380"/>
        <w:tab w:val="right" w:pos="3420"/>
        <w:tab w:val="right" w:pos="4620"/>
        <w:tab w:val="right" w:pos="5720"/>
        <w:tab w:val="right" w:pos="6800"/>
        <w:tab w:val="right" w:pos="7100"/>
        <w:tab w:val="right" w:pos="8120"/>
        <w:tab w:val="right" w:pos="8980"/>
        <w:tab w:val="right" w:pos="9840"/>
      </w:tabs>
      <w:suppressAutoHyphens/>
      <w:spacing w:after="57" w:line="216" w:lineRule="atLeast"/>
    </w:pPr>
    <w:rPr>
      <w:rFonts w:ascii="Arial" w:eastAsiaTheme="minorHAnsi" w:hAnsi="Arial" w:cs="HelveticaNeueLT Std"/>
      <w:color w:val="auto"/>
      <w:sz w:val="18"/>
      <w:szCs w:val="16"/>
      <w:lang w:val="en-AU"/>
    </w:rPr>
  </w:style>
  <w:style w:type="character" w:customStyle="1" w:styleId="Bodytextmedium">
    <w:name w:val="Body text medium"/>
    <w:uiPriority w:val="99"/>
    <w:rsid w:val="009103CC"/>
  </w:style>
  <w:style w:type="paragraph" w:customStyle="1" w:styleId="ARbody">
    <w:name w:val="AR body"/>
    <w:basedOn w:val="Normal"/>
    <w:link w:val="ARbodyChar"/>
    <w:qFormat/>
    <w:rsid w:val="009103CC"/>
    <w:pPr>
      <w:widowControl w:val="0"/>
      <w:suppressAutoHyphens/>
      <w:spacing w:after="220"/>
    </w:pPr>
    <w:rPr>
      <w:rFonts w:cs="HelveticaNeueLT Std Med"/>
      <w:color w:val="000000" w:themeColor="text1"/>
    </w:rPr>
  </w:style>
  <w:style w:type="character" w:customStyle="1" w:styleId="ARbodyChar">
    <w:name w:val="AR body Char"/>
    <w:basedOn w:val="DefaultParagraphFont"/>
    <w:link w:val="ARbody"/>
    <w:rsid w:val="009103CC"/>
    <w:rPr>
      <w:rFonts w:ascii="Arial" w:hAnsi="Arial" w:cs="HelveticaNeueLT Std Med"/>
      <w:color w:val="000000" w:themeColor="text1"/>
    </w:rPr>
  </w:style>
  <w:style w:type="paragraph" w:customStyle="1" w:styleId="ARheading4">
    <w:name w:val="AR heading 4"/>
    <w:basedOn w:val="ARbody"/>
    <w:next w:val="NoParagraphStyle"/>
    <w:link w:val="ARheading4Char"/>
    <w:qFormat/>
    <w:rsid w:val="009103CC"/>
    <w:pPr>
      <w:keepNext/>
      <w:spacing w:before="120" w:after="120"/>
      <w:outlineLvl w:val="3"/>
    </w:pPr>
    <w:rPr>
      <w:rFonts w:cs="HelveticaNeueLT Std"/>
      <w:b/>
      <w:bCs/>
      <w:sz w:val="24"/>
    </w:rPr>
  </w:style>
  <w:style w:type="character" w:customStyle="1" w:styleId="ARheading4Char">
    <w:name w:val="AR heading 4 Char"/>
    <w:basedOn w:val="DefaultParagraphFont"/>
    <w:link w:val="ARheading4"/>
    <w:rsid w:val="009103CC"/>
    <w:rPr>
      <w:rFonts w:ascii="Arial" w:hAnsi="Arial" w:cs="HelveticaNeueLT Std"/>
      <w:b/>
      <w:bCs/>
      <w:color w:val="000000" w:themeColor="text1"/>
      <w:sz w:val="24"/>
    </w:rPr>
  </w:style>
  <w:style w:type="character" w:customStyle="1" w:styleId="Bold">
    <w:name w:val="Bold"/>
    <w:uiPriority w:val="99"/>
    <w:rsid w:val="009103CC"/>
    <w:rPr>
      <w:b/>
      <w:bCs/>
      <w:color w:val="000000"/>
    </w:rPr>
  </w:style>
  <w:style w:type="paragraph" w:customStyle="1" w:styleId="ARheading5">
    <w:name w:val="AR heading 5"/>
    <w:basedOn w:val="ARbody"/>
    <w:next w:val="NoParagraphStyle"/>
    <w:link w:val="ARheading5Char"/>
    <w:qFormat/>
    <w:rsid w:val="009103CC"/>
    <w:pPr>
      <w:keepNext/>
      <w:outlineLvl w:val="4"/>
    </w:pPr>
    <w:rPr>
      <w:rFonts w:cs="HelveticaNeueLT Std"/>
      <w:b/>
      <w:bCs/>
      <w:i/>
      <w:sz w:val="24"/>
    </w:rPr>
  </w:style>
  <w:style w:type="character" w:customStyle="1" w:styleId="ARheading5Char">
    <w:name w:val="AR heading 5 Char"/>
    <w:basedOn w:val="DefaultParagraphFont"/>
    <w:link w:val="ARheading5"/>
    <w:rsid w:val="009103CC"/>
    <w:rPr>
      <w:rFonts w:ascii="Arial" w:hAnsi="Arial" w:cs="HelveticaNeueLT Std"/>
      <w:b/>
      <w:bCs/>
      <w:i/>
      <w:color w:val="000000" w:themeColor="text1"/>
      <w:sz w:val="24"/>
    </w:rPr>
  </w:style>
  <w:style w:type="paragraph" w:customStyle="1" w:styleId="ARlistparagraph">
    <w:name w:val="AR list paragraph"/>
    <w:basedOn w:val="ARbody"/>
    <w:link w:val="ARlistparagraphChar"/>
    <w:qFormat/>
    <w:rsid w:val="009103CC"/>
    <w:pPr>
      <w:numPr>
        <w:numId w:val="11"/>
      </w:numPr>
      <w:ind w:left="357" w:hanging="357"/>
    </w:pPr>
  </w:style>
  <w:style w:type="character" w:customStyle="1" w:styleId="ARlistparagraphChar">
    <w:name w:val="AR list paragraph Char"/>
    <w:basedOn w:val="ARbodyChar"/>
    <w:link w:val="ARlistparagraph"/>
    <w:rsid w:val="009103CC"/>
    <w:rPr>
      <w:rFonts w:ascii="Arial" w:hAnsi="Arial" w:cs="HelveticaNeueLT Std Med"/>
      <w:color w:val="000000" w:themeColor="text1"/>
    </w:rPr>
  </w:style>
  <w:style w:type="paragraph" w:customStyle="1" w:styleId="ARheading1">
    <w:name w:val="AR heading 1"/>
    <w:next w:val="ARbody"/>
    <w:link w:val="ARheading1Char"/>
    <w:qFormat/>
    <w:rsid w:val="009103CC"/>
    <w:pPr>
      <w:spacing w:after="0" w:line="240" w:lineRule="auto"/>
      <w:outlineLvl w:val="0"/>
    </w:pPr>
    <w:rPr>
      <w:rFonts w:ascii="Arial" w:hAnsi="Arial" w:cs="Arial"/>
      <w:b/>
      <w:bCs/>
      <w:color w:val="000000" w:themeColor="text1"/>
      <w:sz w:val="56"/>
    </w:rPr>
  </w:style>
  <w:style w:type="paragraph" w:customStyle="1" w:styleId="ARheading2">
    <w:name w:val="AR heading 2"/>
    <w:basedOn w:val="Heading2"/>
    <w:link w:val="ARheading2Char"/>
    <w:qFormat/>
    <w:rsid w:val="009103CC"/>
  </w:style>
  <w:style w:type="character" w:customStyle="1" w:styleId="ARheading1Char">
    <w:name w:val="AR heading 1 Char"/>
    <w:basedOn w:val="DefaultParagraphFont"/>
    <w:link w:val="ARheading1"/>
    <w:rsid w:val="009103CC"/>
    <w:rPr>
      <w:rFonts w:ascii="Arial" w:hAnsi="Arial" w:cs="Arial"/>
      <w:b/>
      <w:bCs/>
      <w:color w:val="000000" w:themeColor="text1"/>
      <w:sz w:val="56"/>
    </w:rPr>
  </w:style>
  <w:style w:type="paragraph" w:customStyle="1" w:styleId="ARheading3">
    <w:name w:val="AR heading 3"/>
    <w:basedOn w:val="ARbody"/>
    <w:link w:val="ARheading3Char"/>
    <w:qFormat/>
    <w:rsid w:val="009103CC"/>
    <w:pPr>
      <w:spacing w:line="240" w:lineRule="auto"/>
      <w:outlineLvl w:val="2"/>
    </w:pPr>
    <w:rPr>
      <w:b/>
      <w:bCs/>
      <w:sz w:val="32"/>
      <w:szCs w:val="32"/>
    </w:rPr>
  </w:style>
  <w:style w:type="character" w:customStyle="1" w:styleId="ARheading2Char">
    <w:name w:val="AR heading 2 Char"/>
    <w:basedOn w:val="Heading2Char"/>
    <w:link w:val="ARheading2"/>
    <w:rsid w:val="009103CC"/>
    <w:rPr>
      <w:rFonts w:ascii="Arial" w:eastAsia="MS Mincho" w:hAnsi="Arial" w:cs="Preston"/>
      <w:b/>
      <w:sz w:val="40"/>
      <w:szCs w:val="32"/>
      <w:lang w:val="en-US"/>
    </w:rPr>
  </w:style>
  <w:style w:type="character" w:customStyle="1" w:styleId="ARheading3Char">
    <w:name w:val="AR heading 3 Char"/>
    <w:basedOn w:val="ARbodyChar"/>
    <w:link w:val="ARheading3"/>
    <w:rsid w:val="009103CC"/>
    <w:rPr>
      <w:rFonts w:ascii="Arial" w:hAnsi="Arial" w:cs="HelveticaNeueLT Std Med"/>
      <w:b/>
      <w:bCs/>
      <w:color w:val="000000" w:themeColor="text1"/>
      <w:sz w:val="32"/>
      <w:szCs w:val="32"/>
    </w:rPr>
  </w:style>
  <w:style w:type="paragraph" w:customStyle="1" w:styleId="ARlistitem">
    <w:name w:val="AR list item"/>
    <w:basedOn w:val="ARbody"/>
    <w:link w:val="ARlistitemChar"/>
    <w:qFormat/>
    <w:rsid w:val="009103CC"/>
    <w:pPr>
      <w:spacing w:after="0"/>
      <w:ind w:left="357" w:hanging="357"/>
    </w:pPr>
    <w:rPr>
      <w:rFonts w:cs="Arial"/>
    </w:rPr>
  </w:style>
  <w:style w:type="paragraph" w:customStyle="1" w:styleId="StyleARbodyItalicCondensedby005pt">
    <w:name w:val="Style AR body + Italic Condensed by  0.05 pt"/>
    <w:basedOn w:val="ARbody"/>
    <w:rsid w:val="009103CC"/>
    <w:rPr>
      <w:i/>
      <w:iCs/>
    </w:rPr>
  </w:style>
  <w:style w:type="character" w:customStyle="1" w:styleId="ARlistitemChar">
    <w:name w:val="AR list item Char"/>
    <w:basedOn w:val="ARbodyChar"/>
    <w:link w:val="ARlistitem"/>
    <w:rsid w:val="009103CC"/>
    <w:rPr>
      <w:rFonts w:ascii="Arial" w:hAnsi="Arial"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181</Pages>
  <Words>58690</Words>
  <Characters>334535</Characters>
  <Application>Microsoft Office Word</Application>
  <DocSecurity>8</DocSecurity>
  <Lines>2787</Lines>
  <Paragraphs>784</Paragraphs>
  <ScaleCrop>false</ScaleCrop>
  <Company/>
  <LinksUpToDate>false</LinksUpToDate>
  <CharactersWithSpaces>392441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2022-01-16T23:40:00Z</dcterms:created>
  <dcterms:modified xsi:type="dcterms:W3CDTF">2022-01-16T23:40:00Z</dcterms:modified>
</cp:coreProperties>
</file>