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045" w:rsidRDefault="00844045">
      <w:pPr>
        <w:spacing w:before="240" w:after="240"/>
        <w:rPr>
          <w:sz w:val="21"/>
          <w:szCs w:val="21"/>
        </w:rPr>
      </w:pPr>
    </w:p>
    <w:p w:rsidR="00844045" w:rsidRDefault="00DD1B86">
      <w:pPr>
        <w:spacing w:before="240" w:after="240"/>
        <w:rPr>
          <w:sz w:val="21"/>
          <w:szCs w:val="21"/>
        </w:rPr>
      </w:pPr>
      <w:r>
        <w:rPr>
          <w:sz w:val="21"/>
          <w:szCs w:val="21"/>
          <w:lang w:val="es"/>
        </w:rPr>
        <w:t xml:space="preserve">En 2026, celebramos el centenario del Mes de la Historia Afroamericana establecido por primera vez en 1926 por el historiador Carter G. </w:t>
      </w:r>
      <w:proofErr w:type="spellStart"/>
      <w:r>
        <w:rPr>
          <w:sz w:val="21"/>
          <w:szCs w:val="21"/>
          <w:lang w:val="es"/>
        </w:rPr>
        <w:t>Woodson</w:t>
      </w:r>
      <w:proofErr w:type="spellEnd"/>
      <w:r>
        <w:rPr>
          <w:sz w:val="21"/>
          <w:szCs w:val="21"/>
          <w:lang w:val="es"/>
        </w:rPr>
        <w:t xml:space="preserve"> para reconocer los logros, las historias y las vivencias de las personas de ascendencia africana. El Mes de la H</w:t>
      </w:r>
      <w:r>
        <w:rPr>
          <w:sz w:val="21"/>
          <w:szCs w:val="21"/>
          <w:lang w:val="es"/>
        </w:rPr>
        <w:t xml:space="preserve">istoria Afroamericana también nos invita a explorar la diáspora africana global: el movimiento, la </w:t>
      </w:r>
      <w:proofErr w:type="spellStart"/>
      <w:r>
        <w:rPr>
          <w:sz w:val="21"/>
          <w:szCs w:val="21"/>
          <w:lang w:val="es"/>
        </w:rPr>
        <w:t>resiliencia</w:t>
      </w:r>
      <w:proofErr w:type="spellEnd"/>
      <w:r>
        <w:rPr>
          <w:sz w:val="21"/>
          <w:szCs w:val="21"/>
          <w:lang w:val="es"/>
        </w:rPr>
        <w:t xml:space="preserve"> y la continuidad cultural de los pueblos africanos a través de continentes y generaciones. Desde las civilizaciones antiguas de África hasta las </w:t>
      </w:r>
      <w:r>
        <w:rPr>
          <w:sz w:val="21"/>
          <w:szCs w:val="21"/>
          <w:lang w:val="es"/>
        </w:rPr>
        <w:t>comunidades afroamericanas en los Estados Unidos, estas historias están profundamente interconectadas y continúan dando forma a nuestro mundo actual.</w:t>
      </w:r>
    </w:p>
    <w:p w:rsidR="00844045" w:rsidRDefault="00DD1B86">
      <w:pPr>
        <w:spacing w:before="240" w:after="24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es"/>
        </w:rPr>
        <w:t xml:space="preserve">PLANTA BAJA </w:t>
      </w:r>
      <w:r>
        <w:rPr>
          <w:noProof/>
          <w:lang w:val="en-US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419100</wp:posOffset>
            </wp:positionV>
            <wp:extent cx="1790700" cy="1133475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2194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045" w:rsidRDefault="00DD1B86">
      <w:pPr>
        <w:ind w:left="3600"/>
        <w:rPr>
          <w:sz w:val="21"/>
          <w:szCs w:val="21"/>
        </w:rPr>
      </w:pPr>
      <w:r>
        <w:rPr>
          <w:sz w:val="21"/>
          <w:szCs w:val="21"/>
          <w:lang w:val="es"/>
        </w:rPr>
        <w:t xml:space="preserve">Egipto se encuentra en el noreste de África. Este es el ataúd de </w:t>
      </w:r>
      <w:proofErr w:type="spellStart"/>
      <w:r>
        <w:rPr>
          <w:sz w:val="21"/>
          <w:szCs w:val="21"/>
          <w:lang w:val="es"/>
        </w:rPr>
        <w:t>It-ib</w:t>
      </w:r>
      <w:proofErr w:type="spellEnd"/>
      <w:r>
        <w:rPr>
          <w:sz w:val="21"/>
          <w:szCs w:val="21"/>
          <w:lang w:val="es"/>
        </w:rPr>
        <w:t xml:space="preserve"> del Primer Período In</w:t>
      </w:r>
      <w:r>
        <w:rPr>
          <w:sz w:val="21"/>
          <w:szCs w:val="21"/>
          <w:lang w:val="es"/>
        </w:rPr>
        <w:t>termedio de la historia egipcia (</w:t>
      </w:r>
      <w:proofErr w:type="spellStart"/>
      <w:r>
        <w:rPr>
          <w:sz w:val="21"/>
          <w:szCs w:val="21"/>
          <w:lang w:val="es"/>
        </w:rPr>
        <w:t>ca</w:t>
      </w:r>
      <w:proofErr w:type="spellEnd"/>
      <w:r>
        <w:rPr>
          <w:sz w:val="21"/>
          <w:szCs w:val="21"/>
          <w:lang w:val="es"/>
        </w:rPr>
        <w:t xml:space="preserve">. 2181-2040 a. C.). En períodos anteriores, solo los </w:t>
      </w:r>
      <w:proofErr w:type="gramStart"/>
      <w:r>
        <w:rPr>
          <w:sz w:val="21"/>
          <w:szCs w:val="21"/>
          <w:lang w:val="es"/>
        </w:rPr>
        <w:t>faraones</w:t>
      </w:r>
      <w:proofErr w:type="gramEnd"/>
      <w:r>
        <w:rPr>
          <w:sz w:val="21"/>
          <w:szCs w:val="21"/>
          <w:lang w:val="es"/>
        </w:rPr>
        <w:t xml:space="preserve"> poderosos tenían sus tumbas inscritas con instrucciones significativas como las que se observan aquí. </w:t>
      </w:r>
    </w:p>
    <w:p w:rsidR="00844045" w:rsidRDefault="00844045">
      <w:pPr>
        <w:ind w:left="3600"/>
        <w:rPr>
          <w:b/>
          <w:bCs/>
          <w:sz w:val="21"/>
          <w:szCs w:val="21"/>
        </w:rPr>
      </w:pPr>
    </w:p>
    <w:p w:rsidR="00844045" w:rsidRDefault="00DD1B86">
      <w:pPr>
        <w:ind w:left="3600"/>
        <w:rPr>
          <w:sz w:val="21"/>
          <w:szCs w:val="21"/>
        </w:rPr>
      </w:pPr>
      <w:r>
        <w:rPr>
          <w:b/>
          <w:bCs/>
          <w:sz w:val="21"/>
          <w:szCs w:val="21"/>
          <w:lang w:val="es"/>
        </w:rPr>
        <w:t>¿Con los ojos de qué dios egipcio está decorado este at</w:t>
      </w:r>
      <w:r>
        <w:rPr>
          <w:b/>
          <w:bCs/>
          <w:sz w:val="21"/>
          <w:szCs w:val="21"/>
          <w:lang w:val="es"/>
        </w:rPr>
        <w:t xml:space="preserve">aúd? </w:t>
      </w:r>
      <w:r>
        <w:rPr>
          <w:sz w:val="21"/>
          <w:szCs w:val="21"/>
          <w:lang w:val="es"/>
        </w:rPr>
        <w:t>__________________________________</w:t>
      </w:r>
    </w:p>
    <w:p w:rsidR="00844045" w:rsidRDefault="00844045">
      <w:pPr>
        <w:rPr>
          <w:b/>
          <w:bCs/>
          <w:sz w:val="21"/>
          <w:szCs w:val="21"/>
        </w:rPr>
      </w:pPr>
    </w:p>
    <w:p w:rsidR="00844045" w:rsidRDefault="00DD1B8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es"/>
        </w:rPr>
        <w:t>NIVEL PRINCIPAL</w:t>
      </w:r>
    </w:p>
    <w:p w:rsidR="00844045" w:rsidRDefault="00DD1B86">
      <w:pPr>
        <w:ind w:left="3600"/>
        <w:rPr>
          <w:sz w:val="21"/>
          <w:szCs w:val="21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1790700" cy="1193800"/>
            <wp:effectExtent l="0" t="0" r="0" b="0"/>
            <wp:wrapNone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045" w:rsidRDefault="00DD1B86">
      <w:pPr>
        <w:ind w:left="3600"/>
        <w:rPr>
          <w:sz w:val="21"/>
          <w:szCs w:val="21"/>
        </w:rPr>
      </w:pPr>
      <w:r>
        <w:rPr>
          <w:sz w:val="21"/>
          <w:szCs w:val="21"/>
          <w:lang w:val="es"/>
        </w:rPr>
        <w:t xml:space="preserve">Como señaló el antropólogo físico C. Montague </w:t>
      </w:r>
      <w:proofErr w:type="spellStart"/>
      <w:r>
        <w:rPr>
          <w:sz w:val="21"/>
          <w:szCs w:val="21"/>
          <w:lang w:val="es"/>
        </w:rPr>
        <w:t>Cobb</w:t>
      </w:r>
      <w:proofErr w:type="spellEnd"/>
      <w:r>
        <w:rPr>
          <w:sz w:val="21"/>
          <w:szCs w:val="21"/>
          <w:lang w:val="es"/>
        </w:rPr>
        <w:t xml:space="preserve"> en 1939, los afroamericanos también descienden de los pueblos indígenas americanos. La exposición </w:t>
      </w:r>
      <w:hyperlink r:id="rId8">
        <w:proofErr w:type="spellStart"/>
        <w:r>
          <w:rPr>
            <w:i/>
            <w:iCs/>
            <w:color w:val="1155CC"/>
            <w:sz w:val="21"/>
            <w:szCs w:val="21"/>
            <w:u w:val="single"/>
            <w:lang w:val="es"/>
          </w:rPr>
          <w:t>Native</w:t>
        </w:r>
        <w:proofErr w:type="spellEnd"/>
        <w:r>
          <w:rPr>
            <w:i/>
            <w:iCs/>
            <w:color w:val="1155CC"/>
            <w:sz w:val="21"/>
            <w:szCs w:val="21"/>
            <w:u w:val="single"/>
            <w:lang w:val="es"/>
          </w:rPr>
          <w:t xml:space="preserve"> </w:t>
        </w:r>
        <w:proofErr w:type="spellStart"/>
        <w:r>
          <w:rPr>
            <w:i/>
            <w:iCs/>
            <w:color w:val="1155CC"/>
            <w:sz w:val="21"/>
            <w:szCs w:val="21"/>
            <w:u w:val="single"/>
            <w:lang w:val="es"/>
          </w:rPr>
          <w:t>Truths</w:t>
        </w:r>
        <w:proofErr w:type="spellEnd"/>
      </w:hyperlink>
      <w:r>
        <w:rPr>
          <w:sz w:val="21"/>
          <w:szCs w:val="21"/>
          <w:lang w:val="es"/>
        </w:rPr>
        <w:t xml:space="preserve"> explora este parentesco compartido a través de historias de colaboración y construcción comunitaria, incluida la de Jean </w:t>
      </w:r>
      <w:proofErr w:type="spellStart"/>
      <w:r>
        <w:rPr>
          <w:sz w:val="21"/>
          <w:szCs w:val="21"/>
          <w:lang w:val="es"/>
        </w:rPr>
        <w:t>Baptiste</w:t>
      </w:r>
      <w:proofErr w:type="spellEnd"/>
      <w:r>
        <w:rPr>
          <w:sz w:val="21"/>
          <w:szCs w:val="21"/>
          <w:lang w:val="es"/>
        </w:rPr>
        <w:t xml:space="preserve"> Point Du Sable, cuya asociación y matrimonio con </w:t>
      </w:r>
      <w:proofErr w:type="spellStart"/>
      <w:r>
        <w:rPr>
          <w:sz w:val="21"/>
          <w:szCs w:val="21"/>
          <w:lang w:val="es"/>
        </w:rPr>
        <w:t>Kitihawa</w:t>
      </w:r>
      <w:proofErr w:type="spellEnd"/>
      <w:r>
        <w:rPr>
          <w:sz w:val="21"/>
          <w:szCs w:val="21"/>
          <w:lang w:val="es"/>
        </w:rPr>
        <w:t xml:space="preserve"> ayudó a sentar las bases de la ciuda</w:t>
      </w:r>
      <w:r>
        <w:rPr>
          <w:sz w:val="21"/>
          <w:szCs w:val="21"/>
          <w:lang w:val="es"/>
        </w:rPr>
        <w:t>d de Chicago.</w:t>
      </w:r>
    </w:p>
    <w:p w:rsidR="00844045" w:rsidRDefault="00DD1B86">
      <w:pPr>
        <w:spacing w:before="240" w:after="240"/>
        <w:ind w:left="3600"/>
        <w:rPr>
          <w:sz w:val="21"/>
          <w:szCs w:val="21"/>
        </w:rPr>
      </w:pPr>
      <w:r>
        <w:rPr>
          <w:b/>
          <w:bCs/>
          <w:sz w:val="21"/>
          <w:szCs w:val="21"/>
          <w:lang w:val="es"/>
        </w:rPr>
        <w:t xml:space="preserve">¿A qué nación indígena pertenecía </w:t>
      </w:r>
      <w:proofErr w:type="spellStart"/>
      <w:r>
        <w:rPr>
          <w:b/>
          <w:bCs/>
          <w:sz w:val="21"/>
          <w:szCs w:val="21"/>
          <w:lang w:val="es"/>
        </w:rPr>
        <w:t>Kitihawa</w:t>
      </w:r>
      <w:proofErr w:type="spellEnd"/>
      <w:r>
        <w:rPr>
          <w:b/>
          <w:bCs/>
          <w:sz w:val="21"/>
          <w:szCs w:val="21"/>
          <w:lang w:val="es"/>
        </w:rPr>
        <w:t>?</w:t>
      </w:r>
      <w:r>
        <w:rPr>
          <w:sz w:val="21"/>
          <w:szCs w:val="21"/>
          <w:lang w:val="es"/>
        </w:rPr>
        <w:t xml:space="preserve"> ___________________________________________</w:t>
      </w:r>
    </w:p>
    <w:p w:rsidR="00844045" w:rsidRDefault="00DD1B8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es"/>
        </w:rPr>
        <w:t>NIVEL PRINCIPAL</w:t>
      </w:r>
    </w:p>
    <w:p w:rsidR="00844045" w:rsidRDefault="00DD1B86">
      <w:pPr>
        <w:ind w:left="3600"/>
        <w:rPr>
          <w:sz w:val="21"/>
          <w:szCs w:val="21"/>
        </w:rPr>
      </w:pPr>
      <w:hyperlink r:id="rId9">
        <w:r>
          <w:rPr>
            <w:i/>
            <w:iCs/>
            <w:color w:val="1155CC"/>
            <w:sz w:val="21"/>
            <w:szCs w:val="21"/>
            <w:u w:val="single"/>
            <w:lang w:val="es"/>
          </w:rPr>
          <w:t xml:space="preserve">Hebras que conectan: Moda africana </w:t>
        </w:r>
        <w:r>
          <w:rPr>
            <w:i/>
            <w:iCs/>
            <w:color w:val="1155CC"/>
            <w:sz w:val="21"/>
            <w:szCs w:val="21"/>
            <w:u w:val="single"/>
            <w:lang w:val="es"/>
          </w:rPr>
          <w:t>en Chicago</w:t>
        </w:r>
      </w:hyperlink>
      <w:r>
        <w:rPr>
          <w:sz w:val="21"/>
          <w:szCs w:val="21"/>
          <w:lang w:val="es"/>
        </w:rPr>
        <w:t xml:space="preserve"> celebra cómo diseñadores locales de Chicago se inspiran en su herencia africana y en tradiciones de la moda mundial para crear prendas, joyas y textiles que reflejan la comunidad, la identidad y la expresión creativa. 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38101</wp:posOffset>
            </wp:positionH>
            <wp:positionV relativeFrom="paragraph">
              <wp:posOffset>141112</wp:posOffset>
            </wp:positionV>
            <wp:extent cx="1747838" cy="130813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308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4045" w:rsidRDefault="00844045">
      <w:pPr>
        <w:rPr>
          <w:sz w:val="21"/>
          <w:szCs w:val="21"/>
        </w:rPr>
      </w:pPr>
      <w:bookmarkStart w:id="0" w:name="_GoBack"/>
      <w:bookmarkEnd w:id="0"/>
    </w:p>
    <w:p w:rsidR="00844045" w:rsidRDefault="00DD1B86">
      <w:pPr>
        <w:ind w:left="360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es"/>
        </w:rPr>
        <w:t>Las paredes de esta exhi</w:t>
      </w:r>
      <w:r>
        <w:rPr>
          <w:b/>
          <w:bCs/>
          <w:sz w:val="21"/>
          <w:szCs w:val="21"/>
          <w:lang w:val="es"/>
        </w:rPr>
        <w:t>bición presentan símbolos arraigados en la tradición de África occidental que comunican ideas y valores. ¿Cómo se llaman estos símbolos?</w:t>
      </w:r>
      <w:r>
        <w:rPr>
          <w:sz w:val="21"/>
          <w:szCs w:val="21"/>
          <w:lang w:val="es"/>
        </w:rPr>
        <w:t xml:space="preserve"> _____________________</w:t>
      </w:r>
    </w:p>
    <w:sectPr w:rsidR="00844045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B86" w:rsidRDefault="00DD1B86">
      <w:pPr>
        <w:spacing w:line="240" w:lineRule="auto"/>
      </w:pPr>
      <w:r>
        <w:separator/>
      </w:r>
    </w:p>
  </w:endnote>
  <w:endnote w:type="continuationSeparator" w:id="0">
    <w:p w:rsidR="00DD1B86" w:rsidRDefault="00DD1B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BA8009-B113-4560-8E2A-2DCA3825FE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E24D48-A754-4B9F-905A-30CC30E516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B86" w:rsidRDefault="00DD1B86">
      <w:pPr>
        <w:spacing w:line="240" w:lineRule="auto"/>
      </w:pPr>
      <w:r>
        <w:separator/>
      </w:r>
    </w:p>
  </w:footnote>
  <w:footnote w:type="continuationSeparator" w:id="0">
    <w:p w:rsidR="00DD1B86" w:rsidRDefault="00DD1B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045" w:rsidRDefault="00DD1B86">
    <w:pPr>
      <w:rPr>
        <w:sz w:val="40"/>
        <w:szCs w:val="40"/>
      </w:rPr>
    </w:pPr>
    <w:r>
      <w:rPr>
        <w:lang w:val="es"/>
      </w:rPr>
      <w:t xml:space="preserve"> </w:t>
    </w:r>
    <w:r>
      <w:rPr>
        <w:sz w:val="40"/>
        <w:szCs w:val="40"/>
        <w:lang w:val="es"/>
      </w:rPr>
      <w:t xml:space="preserve"> </w:t>
    </w:r>
    <w:r>
      <w:rPr>
        <w:sz w:val="40"/>
        <w:szCs w:val="40"/>
        <w:lang w:val="es"/>
      </w:rPr>
      <w:tab/>
    </w:r>
    <w:r>
      <w:rPr>
        <w:sz w:val="40"/>
        <w:szCs w:val="40"/>
        <w:lang w:val="es"/>
      </w:rPr>
      <w:tab/>
    </w:r>
    <w:r>
      <w:rPr>
        <w:sz w:val="40"/>
        <w:szCs w:val="40"/>
        <w:lang w:val="es"/>
      </w:rPr>
      <w:tab/>
      <w:t>Mes de la Historia Afr</w:t>
    </w:r>
    <w:r>
      <w:rPr>
        <w:sz w:val="40"/>
        <w:szCs w:val="40"/>
        <w:lang w:val="es"/>
      </w:rPr>
      <w:t xml:space="preserve">oamericana </w:t>
    </w: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1033463" cy="1033463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1033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44045" w:rsidRDefault="00DD1B86">
    <w:pPr>
      <w:ind w:left="1440" w:firstLine="720"/>
      <w:rPr>
        <w:sz w:val="40"/>
        <w:szCs w:val="40"/>
      </w:rPr>
    </w:pPr>
    <w:r>
      <w:rPr>
        <w:sz w:val="40"/>
        <w:szCs w:val="40"/>
        <w:lang w:val="es"/>
      </w:rPr>
      <w:t xml:space="preserve">Búsqueda del tesoro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45"/>
    <w:rsid w:val="00787562"/>
    <w:rsid w:val="00844045"/>
    <w:rsid w:val="00DD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91A36E-CF4B-4ABB-B720-B79F208E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eldmuseum.org/page/native-truth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hyperlink" Target="https://www.fieldmuseum.org/exhibition/connecting-threads-africa-fashion-in-chicago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CAN</cp:lastModifiedBy>
  <cp:revision>2</cp:revision>
  <dcterms:created xsi:type="dcterms:W3CDTF">2026-01-28T22:13:00Z</dcterms:created>
  <dcterms:modified xsi:type="dcterms:W3CDTF">2026-01-28T22:16:00Z</dcterms:modified>
</cp:coreProperties>
</file>