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39" w:rsidRDefault="00356639" w:rsidP="00356639">
      <w:pPr>
        <w:pStyle w:val="Heading2"/>
        <w:rPr>
          <w:rFonts w:ascii="Times New Roman" w:hAnsi="Times New Roman"/>
          <w:caps/>
          <w:smallCaps w:val="0"/>
        </w:rPr>
      </w:pPr>
      <w:r w:rsidRPr="00356639">
        <w:rPr>
          <w:rFonts w:ascii="Times New Roman" w:hAnsi="Times New Roman"/>
          <w:caps/>
          <w:smallCaps w:val="0"/>
        </w:rPr>
        <w:t>Purpose</w:t>
      </w:r>
    </w:p>
    <w:p w:rsidR="00356639" w:rsidRPr="00356639" w:rsidRDefault="00356639" w:rsidP="00356639">
      <w:pPr>
        <w:pStyle w:val="BodyText"/>
      </w:pPr>
    </w:p>
    <w:p w:rsidR="00356639" w:rsidRDefault="00356639" w:rsidP="00356639">
      <w:pPr>
        <w:pStyle w:val="ListBullet"/>
        <w:numPr>
          <w:ilvl w:val="0"/>
          <w:numId w:val="0"/>
        </w:numPr>
        <w:rPr>
          <w:rFonts w:ascii="Times New Roman" w:hAnsi="Times New Roman"/>
          <w:sz w:val="24"/>
        </w:rPr>
      </w:pPr>
      <w:r w:rsidRPr="00344EFB">
        <w:rPr>
          <w:rFonts w:ascii="Times New Roman" w:hAnsi="Times New Roman"/>
          <w:sz w:val="24"/>
        </w:rPr>
        <w:t xml:space="preserve">To </w:t>
      </w:r>
      <w:r w:rsidR="00762FE9">
        <w:rPr>
          <w:rFonts w:ascii="Times New Roman" w:hAnsi="Times New Roman"/>
          <w:sz w:val="24"/>
        </w:rPr>
        <w:t xml:space="preserve">establish the procedures for </w:t>
      </w:r>
      <w:r w:rsidRPr="00344EFB">
        <w:rPr>
          <w:rFonts w:ascii="Times New Roman" w:hAnsi="Times New Roman"/>
          <w:sz w:val="24"/>
        </w:rPr>
        <w:t>convert</w:t>
      </w:r>
      <w:r w:rsidR="00762FE9">
        <w:rPr>
          <w:rFonts w:ascii="Times New Roman" w:hAnsi="Times New Roman"/>
          <w:sz w:val="24"/>
        </w:rPr>
        <w:t>ing</w:t>
      </w:r>
      <w:r w:rsidRPr="00344EFB">
        <w:rPr>
          <w:rFonts w:ascii="Times New Roman" w:hAnsi="Times New Roman"/>
          <w:sz w:val="24"/>
        </w:rPr>
        <w:t xml:space="preserve"> individually identifiable Protected Health Information (“PHI”) into information that no longer reveals the identity of any </w:t>
      </w:r>
      <w:r>
        <w:rPr>
          <w:rFonts w:ascii="Times New Roman" w:hAnsi="Times New Roman"/>
          <w:sz w:val="24"/>
        </w:rPr>
        <w:t>patient</w:t>
      </w:r>
      <w:r w:rsidRPr="00344EFB">
        <w:rPr>
          <w:rFonts w:ascii="Times New Roman" w:hAnsi="Times New Roman"/>
          <w:sz w:val="24"/>
        </w:rPr>
        <w:t>.</w:t>
      </w:r>
    </w:p>
    <w:p w:rsidR="00356639" w:rsidRPr="00344EFB" w:rsidRDefault="00356639" w:rsidP="00356639">
      <w:pPr>
        <w:pStyle w:val="ListBullet"/>
        <w:numPr>
          <w:ilvl w:val="0"/>
          <w:numId w:val="0"/>
        </w:numPr>
        <w:rPr>
          <w:rFonts w:ascii="Times New Roman" w:hAnsi="Times New Roman"/>
          <w:sz w:val="24"/>
        </w:rPr>
      </w:pPr>
      <w:r w:rsidRPr="00344EFB">
        <w:rPr>
          <w:rFonts w:ascii="Times New Roman" w:hAnsi="Times New Roman"/>
          <w:sz w:val="24"/>
        </w:rPr>
        <w:t xml:space="preserve"> </w:t>
      </w:r>
    </w:p>
    <w:p w:rsidR="00356639" w:rsidRDefault="00356639" w:rsidP="00356639">
      <w:pPr>
        <w:pStyle w:val="Heading2"/>
        <w:rPr>
          <w:rFonts w:ascii="Times New Roman" w:hAnsi="Times New Roman"/>
          <w:caps/>
          <w:smallCaps w:val="0"/>
        </w:rPr>
      </w:pPr>
      <w:r w:rsidRPr="00356639">
        <w:rPr>
          <w:rFonts w:ascii="Times New Roman" w:hAnsi="Times New Roman"/>
          <w:caps/>
          <w:smallCaps w:val="0"/>
        </w:rPr>
        <w:t>Policy</w:t>
      </w:r>
    </w:p>
    <w:p w:rsidR="00356639" w:rsidRPr="00356639" w:rsidRDefault="00356639" w:rsidP="00356639">
      <w:pPr>
        <w:pStyle w:val="BodyText"/>
      </w:pPr>
    </w:p>
    <w:p w:rsidR="00356639" w:rsidRDefault="00356639" w:rsidP="00356639">
      <w:pPr>
        <w:pStyle w:val="BodyText"/>
        <w:rPr>
          <w:rFonts w:ascii="Times New Roman" w:hAnsi="Times New Roman"/>
          <w:sz w:val="24"/>
        </w:rPr>
      </w:pPr>
      <w:r w:rsidRPr="00344EFB">
        <w:rPr>
          <w:rFonts w:ascii="Times New Roman" w:hAnsi="Times New Roman"/>
          <w:sz w:val="24"/>
        </w:rPr>
        <w:t xml:space="preserve">When </w:t>
      </w:r>
      <w:r>
        <w:rPr>
          <w:rFonts w:ascii="Times New Roman" w:hAnsi="Times New Roman"/>
          <w:sz w:val="24"/>
        </w:rPr>
        <w:t>patient</w:t>
      </w:r>
      <w:r w:rsidRPr="00344EFB">
        <w:rPr>
          <w:rFonts w:ascii="Times New Roman" w:hAnsi="Times New Roman"/>
          <w:sz w:val="24"/>
        </w:rPr>
        <w:t xml:space="preserve"> PHI is used or disclosed for purposes other than treatment, payment</w:t>
      </w:r>
      <w:r>
        <w:rPr>
          <w:rFonts w:ascii="Times New Roman" w:hAnsi="Times New Roman"/>
          <w:sz w:val="24"/>
        </w:rPr>
        <w:t>,</w:t>
      </w:r>
      <w:r w:rsidRPr="00344EFB">
        <w:rPr>
          <w:rFonts w:ascii="Times New Roman" w:hAnsi="Times New Roman"/>
          <w:sz w:val="24"/>
        </w:rPr>
        <w:t xml:space="preserve"> or health care operations and/or without </w:t>
      </w:r>
      <w:r>
        <w:rPr>
          <w:rFonts w:ascii="Times New Roman" w:hAnsi="Times New Roman"/>
          <w:sz w:val="24"/>
        </w:rPr>
        <w:t>patient</w:t>
      </w:r>
      <w:r w:rsidRPr="00344EFB">
        <w:rPr>
          <w:rFonts w:ascii="Times New Roman" w:hAnsi="Times New Roman"/>
          <w:sz w:val="24"/>
        </w:rPr>
        <w:t xml:space="preserve"> or personal representative authorization, the PHI must be converted into a format that does not identify the </w:t>
      </w:r>
      <w:r>
        <w:rPr>
          <w:rFonts w:ascii="Times New Roman" w:hAnsi="Times New Roman"/>
          <w:sz w:val="24"/>
        </w:rPr>
        <w:t>patient</w:t>
      </w:r>
      <w:r w:rsidRPr="00344EFB">
        <w:rPr>
          <w:rFonts w:ascii="Times New Roman" w:hAnsi="Times New Roman"/>
          <w:sz w:val="24"/>
        </w:rPr>
        <w:t xml:space="preserve">. This conversion process is called de-identification of PHI. </w:t>
      </w:r>
    </w:p>
    <w:p w:rsidR="00356639" w:rsidRPr="00344EFB" w:rsidRDefault="00356639" w:rsidP="00356639">
      <w:pPr>
        <w:pStyle w:val="BodyText"/>
        <w:rPr>
          <w:rFonts w:ascii="Times New Roman" w:hAnsi="Times New Roman"/>
          <w:sz w:val="24"/>
        </w:rPr>
      </w:pPr>
    </w:p>
    <w:p w:rsidR="00356639" w:rsidRDefault="00762FE9" w:rsidP="00356639">
      <w:pPr>
        <w:pStyle w:val="BodyText"/>
        <w:rPr>
          <w:rFonts w:ascii="Times New Roman" w:hAnsi="Times New Roman"/>
          <w:sz w:val="24"/>
        </w:rPr>
      </w:pPr>
      <w:r>
        <w:rPr>
          <w:rFonts w:ascii="Times New Roman" w:hAnsi="Times New Roman"/>
          <w:sz w:val="24"/>
        </w:rPr>
        <w:t>The HIPAA</w:t>
      </w:r>
      <w:r w:rsidR="00356639" w:rsidRPr="00344EFB">
        <w:rPr>
          <w:rFonts w:ascii="Times New Roman" w:hAnsi="Times New Roman"/>
          <w:sz w:val="24"/>
        </w:rPr>
        <w:t xml:space="preserve"> Privacy Rule does not apply to de-identified health information.</w:t>
      </w:r>
    </w:p>
    <w:p w:rsidR="00356639" w:rsidRPr="00344EFB" w:rsidRDefault="00356639" w:rsidP="00356639">
      <w:pPr>
        <w:pStyle w:val="BodyText"/>
        <w:rPr>
          <w:rFonts w:ascii="Times New Roman" w:hAnsi="Times New Roman"/>
          <w:sz w:val="24"/>
        </w:rPr>
      </w:pPr>
    </w:p>
    <w:p w:rsidR="00356639" w:rsidRDefault="00356639" w:rsidP="00356639">
      <w:pPr>
        <w:pStyle w:val="BodyText"/>
        <w:rPr>
          <w:rFonts w:ascii="Times New Roman" w:hAnsi="Times New Roman"/>
          <w:sz w:val="24"/>
        </w:rPr>
      </w:pPr>
      <w:r>
        <w:rPr>
          <w:rFonts w:ascii="Times New Roman" w:hAnsi="Times New Roman"/>
          <w:sz w:val="24"/>
        </w:rPr>
        <w:t>[COVERED ENTITY]</w:t>
      </w:r>
      <w:r w:rsidRPr="00344EFB">
        <w:rPr>
          <w:rFonts w:ascii="Times New Roman" w:hAnsi="Times New Roman"/>
          <w:sz w:val="24"/>
        </w:rPr>
        <w:t xml:space="preserve"> meets the de-identification standard if it has removed all of the required identifiers and if </w:t>
      </w:r>
      <w:r>
        <w:rPr>
          <w:rFonts w:ascii="Times New Roman" w:hAnsi="Times New Roman"/>
          <w:sz w:val="24"/>
        </w:rPr>
        <w:t>[COVERED ENTITY]</w:t>
      </w:r>
      <w:r w:rsidRPr="00344EFB">
        <w:rPr>
          <w:rFonts w:ascii="Times New Roman" w:hAnsi="Times New Roman"/>
          <w:sz w:val="24"/>
        </w:rPr>
        <w:t xml:space="preserve"> has no actual knowledge that the information could be used to identify a </w:t>
      </w:r>
      <w:r>
        <w:rPr>
          <w:rFonts w:ascii="Times New Roman" w:hAnsi="Times New Roman"/>
          <w:sz w:val="24"/>
        </w:rPr>
        <w:t>patient</w:t>
      </w:r>
      <w:r w:rsidRPr="00344EFB">
        <w:rPr>
          <w:rFonts w:ascii="Times New Roman" w:hAnsi="Times New Roman"/>
          <w:sz w:val="24"/>
        </w:rPr>
        <w:t>.</w:t>
      </w:r>
    </w:p>
    <w:p w:rsidR="00356639" w:rsidRPr="00344EFB" w:rsidRDefault="00356639" w:rsidP="00356639">
      <w:pPr>
        <w:pStyle w:val="BodyText"/>
        <w:rPr>
          <w:rFonts w:ascii="Times New Roman" w:hAnsi="Times New Roman"/>
          <w:sz w:val="24"/>
        </w:rPr>
      </w:pPr>
    </w:p>
    <w:p w:rsidR="00356639" w:rsidRDefault="00356639" w:rsidP="00356639">
      <w:pPr>
        <w:pStyle w:val="Heading2"/>
        <w:jc w:val="left"/>
        <w:rPr>
          <w:rFonts w:ascii="Times New Roman" w:hAnsi="Times New Roman"/>
          <w:caps/>
          <w:smallCaps w:val="0"/>
        </w:rPr>
      </w:pPr>
      <w:r w:rsidRPr="00356639">
        <w:rPr>
          <w:rFonts w:ascii="Times New Roman" w:hAnsi="Times New Roman"/>
          <w:caps/>
          <w:smallCaps w:val="0"/>
        </w:rPr>
        <w:t>Procedure</w:t>
      </w:r>
    </w:p>
    <w:p w:rsidR="00356639" w:rsidRPr="00356639" w:rsidRDefault="00356639" w:rsidP="00356639">
      <w:pPr>
        <w:pStyle w:val="BodyText"/>
      </w:pPr>
    </w:p>
    <w:p w:rsidR="00356639" w:rsidRPr="00762FE9" w:rsidRDefault="00356639" w:rsidP="00762FE9">
      <w:pPr>
        <w:pStyle w:val="BodyText"/>
        <w:numPr>
          <w:ilvl w:val="0"/>
          <w:numId w:val="3"/>
        </w:numPr>
        <w:jc w:val="left"/>
        <w:rPr>
          <w:rFonts w:ascii="Times New Roman" w:hAnsi="Times New Roman"/>
          <w:sz w:val="24"/>
        </w:rPr>
      </w:pPr>
      <w:r>
        <w:rPr>
          <w:rFonts w:ascii="Times New Roman" w:hAnsi="Times New Roman"/>
          <w:sz w:val="24"/>
        </w:rPr>
        <w:t>[COVERED ENTITY]</w:t>
      </w:r>
      <w:r w:rsidRPr="00344EFB">
        <w:rPr>
          <w:rFonts w:ascii="Times New Roman" w:hAnsi="Times New Roman"/>
          <w:sz w:val="24"/>
        </w:rPr>
        <w:t xml:space="preserve"> will convert </w:t>
      </w:r>
      <w:r>
        <w:rPr>
          <w:rFonts w:ascii="Times New Roman" w:hAnsi="Times New Roman"/>
          <w:sz w:val="24"/>
        </w:rPr>
        <w:t>patient</w:t>
      </w:r>
      <w:r w:rsidRPr="00344EFB">
        <w:rPr>
          <w:rFonts w:ascii="Times New Roman" w:hAnsi="Times New Roman"/>
          <w:sz w:val="24"/>
        </w:rPr>
        <w:t xml:space="preserve"> PHI into a format that does not identify the </w:t>
      </w:r>
      <w:r>
        <w:rPr>
          <w:rFonts w:ascii="Times New Roman" w:hAnsi="Times New Roman"/>
          <w:sz w:val="24"/>
        </w:rPr>
        <w:t>patient</w:t>
      </w:r>
      <w:r w:rsidRPr="00344EFB">
        <w:rPr>
          <w:rFonts w:ascii="Times New Roman" w:hAnsi="Times New Roman"/>
          <w:sz w:val="24"/>
        </w:rPr>
        <w:t xml:space="preserve"> (de-identify) when:</w:t>
      </w:r>
    </w:p>
    <w:p w:rsidR="00356639" w:rsidRPr="00762FE9" w:rsidRDefault="00356639" w:rsidP="00762FE9">
      <w:pPr>
        <w:pStyle w:val="BodyText"/>
        <w:numPr>
          <w:ilvl w:val="1"/>
          <w:numId w:val="3"/>
        </w:numPr>
        <w:jc w:val="left"/>
        <w:rPr>
          <w:rFonts w:ascii="Times New Roman" w:hAnsi="Times New Roman"/>
          <w:sz w:val="24"/>
        </w:rPr>
      </w:pPr>
      <w:r w:rsidRPr="00356639">
        <w:rPr>
          <w:rFonts w:ascii="Times New Roman" w:hAnsi="Times New Roman"/>
          <w:sz w:val="24"/>
        </w:rPr>
        <w:t>PHI is used or shared for purposes other than treatment, payment, or health care operations, or</w:t>
      </w:r>
    </w:p>
    <w:p w:rsidR="00356639" w:rsidRDefault="00356639" w:rsidP="00356639">
      <w:pPr>
        <w:pStyle w:val="BodyText"/>
        <w:numPr>
          <w:ilvl w:val="1"/>
          <w:numId w:val="3"/>
        </w:numPr>
        <w:jc w:val="left"/>
        <w:rPr>
          <w:rFonts w:ascii="Times New Roman" w:hAnsi="Times New Roman"/>
          <w:sz w:val="24"/>
        </w:rPr>
      </w:pPr>
      <w:r w:rsidRPr="00356639">
        <w:rPr>
          <w:rFonts w:ascii="Times New Roman" w:hAnsi="Times New Roman"/>
          <w:sz w:val="24"/>
        </w:rPr>
        <w:t>Information is used or shared without patient authorization.</w:t>
      </w:r>
    </w:p>
    <w:p w:rsidR="00356639" w:rsidRDefault="00356639" w:rsidP="00356639">
      <w:pPr>
        <w:pStyle w:val="BodyText"/>
        <w:ind w:left="1440"/>
        <w:jc w:val="left"/>
        <w:rPr>
          <w:rFonts w:ascii="Times New Roman" w:hAnsi="Times New Roman"/>
          <w:sz w:val="24"/>
        </w:rPr>
      </w:pPr>
    </w:p>
    <w:p w:rsidR="00356639" w:rsidRPr="00762FE9" w:rsidRDefault="00356639" w:rsidP="00762FE9">
      <w:pPr>
        <w:pStyle w:val="BodyText"/>
        <w:numPr>
          <w:ilvl w:val="0"/>
          <w:numId w:val="3"/>
        </w:numPr>
        <w:jc w:val="left"/>
        <w:rPr>
          <w:rFonts w:ascii="Times New Roman" w:hAnsi="Times New Roman"/>
          <w:sz w:val="24"/>
        </w:rPr>
      </w:pPr>
      <w:r w:rsidRPr="00356639">
        <w:rPr>
          <w:rFonts w:ascii="Times New Roman" w:hAnsi="Times New Roman"/>
          <w:sz w:val="24"/>
        </w:rPr>
        <w:t>[COVERED ENTITY] will de-identify the PHI by one of the following methods:</w:t>
      </w:r>
    </w:p>
    <w:p w:rsidR="00356639" w:rsidRPr="00762FE9" w:rsidRDefault="00356639" w:rsidP="00762FE9">
      <w:pPr>
        <w:pStyle w:val="BodyText"/>
        <w:numPr>
          <w:ilvl w:val="1"/>
          <w:numId w:val="3"/>
        </w:numPr>
        <w:jc w:val="left"/>
        <w:rPr>
          <w:rFonts w:ascii="Times New Roman" w:hAnsi="Times New Roman"/>
          <w:sz w:val="24"/>
        </w:rPr>
      </w:pPr>
      <w:r w:rsidRPr="00356639">
        <w:rPr>
          <w:rFonts w:ascii="Times New Roman" w:hAnsi="Times New Roman"/>
          <w:sz w:val="24"/>
        </w:rPr>
        <w:t xml:space="preserve">Elimination of all identifiers:  </w:t>
      </w:r>
    </w:p>
    <w:p w:rsidR="00356639" w:rsidRDefault="00356639" w:rsidP="00356639">
      <w:pPr>
        <w:pStyle w:val="BodyText"/>
        <w:numPr>
          <w:ilvl w:val="2"/>
          <w:numId w:val="3"/>
        </w:numPr>
        <w:jc w:val="left"/>
        <w:rPr>
          <w:rFonts w:ascii="Times New Roman" w:hAnsi="Times New Roman"/>
          <w:sz w:val="24"/>
        </w:rPr>
      </w:pPr>
      <w:r w:rsidRPr="00356639">
        <w:rPr>
          <w:rFonts w:ascii="Times New Roman" w:hAnsi="Times New Roman"/>
          <w:sz w:val="24"/>
        </w:rPr>
        <w:t>Names.</w:t>
      </w:r>
    </w:p>
    <w:p w:rsidR="00356639" w:rsidRDefault="00356639" w:rsidP="003F5346">
      <w:pPr>
        <w:pStyle w:val="BodyText"/>
        <w:numPr>
          <w:ilvl w:val="2"/>
          <w:numId w:val="3"/>
        </w:numPr>
        <w:rPr>
          <w:rFonts w:ascii="Times New Roman" w:hAnsi="Times New Roman"/>
          <w:sz w:val="24"/>
        </w:rPr>
      </w:pPr>
      <w:r w:rsidRPr="00356639">
        <w:rPr>
          <w:rFonts w:ascii="Times New Roman" w:hAnsi="Times New Roman"/>
          <w:sz w:val="24"/>
        </w:rPr>
        <w:t>All geographic subdivisions smaller than a state, including street address, city, county, precinct, zip code and their equivalent geocodes, except for the initial three digits of a zip code if the geographic area contains more than 20,000 people.  If less than 20,000 people are found to be in this area based on the first three digits of the zip code, the code must be changed to 000.</w:t>
      </w:r>
    </w:p>
    <w:p w:rsidR="00356639" w:rsidRDefault="00356639" w:rsidP="003F5346">
      <w:pPr>
        <w:pStyle w:val="BodyText"/>
        <w:numPr>
          <w:ilvl w:val="2"/>
          <w:numId w:val="3"/>
        </w:numPr>
        <w:rPr>
          <w:rFonts w:ascii="Times New Roman" w:hAnsi="Times New Roman"/>
          <w:sz w:val="24"/>
        </w:rPr>
      </w:pPr>
      <w:r w:rsidRPr="00356639">
        <w:rPr>
          <w:rFonts w:ascii="Times New Roman" w:hAnsi="Times New Roman"/>
          <w:sz w:val="24"/>
        </w:rPr>
        <w:lastRenderedPageBreak/>
        <w:t>All elements of dates (exce</w:t>
      </w:r>
      <w:bookmarkStart w:id="0" w:name="_GoBack"/>
      <w:bookmarkEnd w:id="0"/>
      <w:r w:rsidRPr="00356639">
        <w:rPr>
          <w:rFonts w:ascii="Times New Roman" w:hAnsi="Times New Roman"/>
          <w:sz w:val="24"/>
        </w:rPr>
        <w:t>pt year) for date directly related to a patient including birth date, admission date, discharge date, date of death:  and all ages over 90 and al elements of dates (including year) indicative of such age, except that such ages and elements may be aggregated into a single category of age 90 or older.</w:t>
      </w:r>
    </w:p>
    <w:p w:rsidR="00356639" w:rsidRDefault="00356639" w:rsidP="00356639">
      <w:pPr>
        <w:pStyle w:val="BodyText"/>
        <w:numPr>
          <w:ilvl w:val="2"/>
          <w:numId w:val="3"/>
        </w:numPr>
        <w:jc w:val="left"/>
        <w:rPr>
          <w:rFonts w:ascii="Times New Roman" w:hAnsi="Times New Roman"/>
          <w:sz w:val="24"/>
        </w:rPr>
      </w:pPr>
      <w:r w:rsidRPr="00356639">
        <w:rPr>
          <w:rFonts w:ascii="Times New Roman" w:hAnsi="Times New Roman"/>
          <w:sz w:val="24"/>
        </w:rPr>
        <w:t>Telephone numbers.</w:t>
      </w:r>
    </w:p>
    <w:p w:rsidR="00356639" w:rsidRDefault="00356639" w:rsidP="00356639">
      <w:pPr>
        <w:pStyle w:val="BodyText"/>
        <w:numPr>
          <w:ilvl w:val="2"/>
          <w:numId w:val="3"/>
        </w:numPr>
        <w:jc w:val="left"/>
        <w:rPr>
          <w:rFonts w:ascii="Times New Roman" w:hAnsi="Times New Roman"/>
          <w:sz w:val="24"/>
        </w:rPr>
      </w:pPr>
      <w:r w:rsidRPr="00356639">
        <w:rPr>
          <w:rFonts w:ascii="Times New Roman" w:hAnsi="Times New Roman"/>
          <w:sz w:val="24"/>
        </w:rPr>
        <w:t>Fax numbers.</w:t>
      </w:r>
    </w:p>
    <w:p w:rsidR="00356639" w:rsidRDefault="00356639" w:rsidP="00356639">
      <w:pPr>
        <w:pStyle w:val="BodyText"/>
        <w:numPr>
          <w:ilvl w:val="2"/>
          <w:numId w:val="3"/>
        </w:numPr>
        <w:jc w:val="left"/>
        <w:rPr>
          <w:rFonts w:ascii="Times New Roman" w:hAnsi="Times New Roman"/>
          <w:sz w:val="24"/>
        </w:rPr>
      </w:pPr>
      <w:r w:rsidRPr="00356639">
        <w:rPr>
          <w:rFonts w:ascii="Times New Roman" w:hAnsi="Times New Roman"/>
          <w:sz w:val="24"/>
        </w:rPr>
        <w:t>Electronic mail address.</w:t>
      </w:r>
    </w:p>
    <w:p w:rsidR="00356639" w:rsidRDefault="00356639" w:rsidP="00356639">
      <w:pPr>
        <w:pStyle w:val="BodyText"/>
        <w:numPr>
          <w:ilvl w:val="2"/>
          <w:numId w:val="3"/>
        </w:numPr>
        <w:jc w:val="left"/>
        <w:rPr>
          <w:rFonts w:ascii="Times New Roman" w:hAnsi="Times New Roman"/>
          <w:sz w:val="24"/>
        </w:rPr>
      </w:pPr>
      <w:r w:rsidRPr="00356639">
        <w:rPr>
          <w:rFonts w:ascii="Times New Roman" w:hAnsi="Times New Roman"/>
          <w:sz w:val="24"/>
        </w:rPr>
        <w:t>Social security numbers.</w:t>
      </w:r>
    </w:p>
    <w:p w:rsidR="00356639" w:rsidRDefault="00356639" w:rsidP="00356639">
      <w:pPr>
        <w:pStyle w:val="BodyText"/>
        <w:numPr>
          <w:ilvl w:val="2"/>
          <w:numId w:val="3"/>
        </w:numPr>
        <w:jc w:val="left"/>
        <w:rPr>
          <w:rFonts w:ascii="Times New Roman" w:hAnsi="Times New Roman"/>
          <w:sz w:val="24"/>
        </w:rPr>
      </w:pPr>
      <w:r w:rsidRPr="00356639">
        <w:rPr>
          <w:rFonts w:ascii="Times New Roman" w:hAnsi="Times New Roman"/>
          <w:sz w:val="24"/>
        </w:rPr>
        <w:t>Medical Record numbers.</w:t>
      </w:r>
    </w:p>
    <w:p w:rsidR="00356639" w:rsidRDefault="00356639" w:rsidP="00356639">
      <w:pPr>
        <w:pStyle w:val="BodyText"/>
        <w:numPr>
          <w:ilvl w:val="2"/>
          <w:numId w:val="3"/>
        </w:numPr>
        <w:jc w:val="left"/>
        <w:rPr>
          <w:rFonts w:ascii="Times New Roman" w:hAnsi="Times New Roman"/>
          <w:sz w:val="24"/>
        </w:rPr>
      </w:pPr>
      <w:r w:rsidRPr="00356639">
        <w:rPr>
          <w:rFonts w:ascii="Times New Roman" w:hAnsi="Times New Roman"/>
          <w:sz w:val="24"/>
        </w:rPr>
        <w:t>Health plan beneficiary numbers.</w:t>
      </w:r>
    </w:p>
    <w:p w:rsidR="00356639" w:rsidRDefault="00356639" w:rsidP="00356639">
      <w:pPr>
        <w:pStyle w:val="BodyText"/>
        <w:numPr>
          <w:ilvl w:val="2"/>
          <w:numId w:val="3"/>
        </w:numPr>
        <w:jc w:val="left"/>
        <w:rPr>
          <w:rFonts w:ascii="Times New Roman" w:hAnsi="Times New Roman"/>
          <w:sz w:val="24"/>
        </w:rPr>
      </w:pPr>
      <w:r w:rsidRPr="00356639">
        <w:rPr>
          <w:rFonts w:ascii="Times New Roman" w:hAnsi="Times New Roman"/>
          <w:sz w:val="24"/>
        </w:rPr>
        <w:t>Account numbers.</w:t>
      </w:r>
    </w:p>
    <w:p w:rsidR="00356639" w:rsidRDefault="00356639" w:rsidP="00356639">
      <w:pPr>
        <w:pStyle w:val="BodyText"/>
        <w:numPr>
          <w:ilvl w:val="2"/>
          <w:numId w:val="3"/>
        </w:numPr>
        <w:jc w:val="left"/>
        <w:rPr>
          <w:rFonts w:ascii="Times New Roman" w:hAnsi="Times New Roman"/>
          <w:sz w:val="24"/>
        </w:rPr>
      </w:pPr>
      <w:r w:rsidRPr="00356639">
        <w:rPr>
          <w:rFonts w:ascii="Times New Roman" w:hAnsi="Times New Roman"/>
          <w:sz w:val="24"/>
        </w:rPr>
        <w:t>Certificate/license numbers.</w:t>
      </w:r>
    </w:p>
    <w:p w:rsidR="00356639" w:rsidRDefault="00356639" w:rsidP="00356639">
      <w:pPr>
        <w:pStyle w:val="BodyText"/>
        <w:numPr>
          <w:ilvl w:val="2"/>
          <w:numId w:val="3"/>
        </w:numPr>
        <w:jc w:val="left"/>
        <w:rPr>
          <w:rFonts w:ascii="Times New Roman" w:hAnsi="Times New Roman"/>
          <w:sz w:val="24"/>
        </w:rPr>
      </w:pPr>
      <w:r w:rsidRPr="00356639">
        <w:rPr>
          <w:rFonts w:ascii="Times New Roman" w:hAnsi="Times New Roman"/>
          <w:sz w:val="24"/>
        </w:rPr>
        <w:t>Vehicle identifiers and serial numbers, including license plate numbers.</w:t>
      </w:r>
    </w:p>
    <w:p w:rsidR="00356639" w:rsidRDefault="00356639" w:rsidP="00356639">
      <w:pPr>
        <w:pStyle w:val="BodyText"/>
        <w:numPr>
          <w:ilvl w:val="2"/>
          <w:numId w:val="3"/>
        </w:numPr>
        <w:jc w:val="left"/>
        <w:rPr>
          <w:rFonts w:ascii="Times New Roman" w:hAnsi="Times New Roman"/>
          <w:sz w:val="24"/>
        </w:rPr>
      </w:pPr>
      <w:r w:rsidRPr="00356639">
        <w:rPr>
          <w:rFonts w:ascii="Times New Roman" w:hAnsi="Times New Roman"/>
          <w:sz w:val="24"/>
        </w:rPr>
        <w:t>Device identifiers and serial numbers.</w:t>
      </w:r>
    </w:p>
    <w:p w:rsidR="00356639" w:rsidRDefault="00356639" w:rsidP="00356639">
      <w:pPr>
        <w:pStyle w:val="BodyText"/>
        <w:numPr>
          <w:ilvl w:val="2"/>
          <w:numId w:val="3"/>
        </w:numPr>
        <w:jc w:val="left"/>
        <w:rPr>
          <w:rFonts w:ascii="Times New Roman" w:hAnsi="Times New Roman"/>
          <w:sz w:val="24"/>
        </w:rPr>
      </w:pPr>
      <w:r w:rsidRPr="00356639">
        <w:rPr>
          <w:rFonts w:ascii="Times New Roman" w:hAnsi="Times New Roman"/>
          <w:sz w:val="24"/>
        </w:rPr>
        <w:t>Web Universal Resource Locators (URLs).</w:t>
      </w:r>
    </w:p>
    <w:p w:rsidR="00356639" w:rsidRDefault="00356639" w:rsidP="00356639">
      <w:pPr>
        <w:pStyle w:val="BodyText"/>
        <w:numPr>
          <w:ilvl w:val="2"/>
          <w:numId w:val="3"/>
        </w:numPr>
        <w:jc w:val="left"/>
        <w:rPr>
          <w:rFonts w:ascii="Times New Roman" w:hAnsi="Times New Roman"/>
          <w:sz w:val="24"/>
        </w:rPr>
      </w:pPr>
      <w:r w:rsidRPr="00356639">
        <w:rPr>
          <w:rFonts w:ascii="Times New Roman" w:hAnsi="Times New Roman"/>
          <w:sz w:val="24"/>
        </w:rPr>
        <w:t>Internet Protocol (IP) address numbers.</w:t>
      </w:r>
    </w:p>
    <w:p w:rsidR="00356639" w:rsidRDefault="00356639" w:rsidP="00356639">
      <w:pPr>
        <w:pStyle w:val="BodyText"/>
        <w:numPr>
          <w:ilvl w:val="2"/>
          <w:numId w:val="3"/>
        </w:numPr>
        <w:jc w:val="left"/>
        <w:rPr>
          <w:rFonts w:ascii="Times New Roman" w:hAnsi="Times New Roman"/>
          <w:sz w:val="24"/>
        </w:rPr>
      </w:pPr>
      <w:r w:rsidRPr="00356639">
        <w:rPr>
          <w:rFonts w:ascii="Times New Roman" w:hAnsi="Times New Roman"/>
          <w:sz w:val="24"/>
        </w:rPr>
        <w:t>Biometric identifiers, including finger and voiceprints.</w:t>
      </w:r>
    </w:p>
    <w:p w:rsidR="00356639" w:rsidRDefault="00356639" w:rsidP="00356639">
      <w:pPr>
        <w:pStyle w:val="BodyText"/>
        <w:numPr>
          <w:ilvl w:val="2"/>
          <w:numId w:val="3"/>
        </w:numPr>
        <w:jc w:val="left"/>
        <w:rPr>
          <w:rFonts w:ascii="Times New Roman" w:hAnsi="Times New Roman"/>
          <w:sz w:val="24"/>
        </w:rPr>
      </w:pPr>
      <w:r w:rsidRPr="00356639">
        <w:rPr>
          <w:rFonts w:ascii="Times New Roman" w:hAnsi="Times New Roman"/>
          <w:sz w:val="24"/>
        </w:rPr>
        <w:t>Full face photographic images and any comparable images.</w:t>
      </w:r>
    </w:p>
    <w:p w:rsidR="00356639" w:rsidRDefault="00356639" w:rsidP="00356639">
      <w:pPr>
        <w:pStyle w:val="BodyText"/>
        <w:numPr>
          <w:ilvl w:val="2"/>
          <w:numId w:val="3"/>
        </w:numPr>
        <w:jc w:val="left"/>
        <w:rPr>
          <w:rFonts w:ascii="Times New Roman" w:hAnsi="Times New Roman"/>
          <w:sz w:val="24"/>
        </w:rPr>
      </w:pPr>
      <w:r w:rsidRPr="00356639">
        <w:rPr>
          <w:rFonts w:ascii="Times New Roman" w:hAnsi="Times New Roman"/>
          <w:sz w:val="24"/>
        </w:rPr>
        <w:t>Any other unique identifying number, characteristic, or code.</w:t>
      </w:r>
    </w:p>
    <w:p w:rsidR="001B2DC1" w:rsidRPr="00356639" w:rsidRDefault="001B2DC1" w:rsidP="001B2DC1">
      <w:pPr>
        <w:pStyle w:val="BodyText"/>
        <w:ind w:left="2160"/>
        <w:jc w:val="left"/>
        <w:rPr>
          <w:rFonts w:ascii="Times New Roman" w:hAnsi="Times New Roman"/>
          <w:sz w:val="24"/>
        </w:rPr>
      </w:pPr>
    </w:p>
    <w:p w:rsidR="00356639" w:rsidRDefault="00356639" w:rsidP="00356639">
      <w:pPr>
        <w:pStyle w:val="BodyText"/>
        <w:ind w:left="2160" w:hanging="648"/>
        <w:rPr>
          <w:rFonts w:ascii="Times New Roman" w:hAnsi="Times New Roman"/>
          <w:sz w:val="24"/>
        </w:rPr>
      </w:pPr>
      <w:r w:rsidRPr="00344EFB">
        <w:rPr>
          <w:rFonts w:ascii="Times New Roman" w:hAnsi="Times New Roman"/>
          <w:b/>
          <w:bCs/>
          <w:sz w:val="24"/>
        </w:rPr>
        <w:t>Note:</w:t>
      </w:r>
      <w:r w:rsidRPr="00344EFB">
        <w:rPr>
          <w:rFonts w:ascii="Times New Roman" w:hAnsi="Times New Roman"/>
          <w:sz w:val="24"/>
        </w:rPr>
        <w:t xml:space="preserve"> In addition to removing the above identifiers, </w:t>
      </w:r>
      <w:r>
        <w:rPr>
          <w:rFonts w:ascii="Times New Roman" w:hAnsi="Times New Roman"/>
          <w:sz w:val="24"/>
        </w:rPr>
        <w:t>[COVERED ENTITY]</w:t>
      </w:r>
      <w:r w:rsidRPr="00344EFB">
        <w:rPr>
          <w:rFonts w:ascii="Times New Roman" w:hAnsi="Times New Roman"/>
          <w:sz w:val="24"/>
        </w:rPr>
        <w:t xml:space="preserve"> must not have actual knowledge that the information could be used alone or in combination with other information to identify a </w:t>
      </w:r>
      <w:r>
        <w:rPr>
          <w:rFonts w:ascii="Times New Roman" w:hAnsi="Times New Roman"/>
          <w:sz w:val="24"/>
        </w:rPr>
        <w:t>patient</w:t>
      </w:r>
      <w:r w:rsidRPr="00344EFB">
        <w:rPr>
          <w:rFonts w:ascii="Times New Roman" w:hAnsi="Times New Roman"/>
          <w:sz w:val="24"/>
        </w:rPr>
        <w:t xml:space="preserve"> who i</w:t>
      </w:r>
      <w:r>
        <w:rPr>
          <w:rFonts w:ascii="Times New Roman" w:hAnsi="Times New Roman"/>
          <w:sz w:val="24"/>
        </w:rPr>
        <w:t>s a subject of the information.</w:t>
      </w:r>
    </w:p>
    <w:p w:rsidR="00356639" w:rsidRDefault="00356639" w:rsidP="00356639">
      <w:pPr>
        <w:pStyle w:val="BodyText"/>
        <w:ind w:left="2160" w:hanging="648"/>
        <w:rPr>
          <w:rFonts w:ascii="Times New Roman" w:hAnsi="Times New Roman"/>
          <w:sz w:val="24"/>
        </w:rPr>
      </w:pPr>
    </w:p>
    <w:p w:rsidR="00356639" w:rsidRDefault="00356639" w:rsidP="00356639">
      <w:pPr>
        <w:pStyle w:val="BodyText"/>
        <w:numPr>
          <w:ilvl w:val="1"/>
          <w:numId w:val="3"/>
        </w:numPr>
        <w:rPr>
          <w:rFonts w:ascii="Times New Roman" w:hAnsi="Times New Roman"/>
          <w:sz w:val="24"/>
        </w:rPr>
      </w:pPr>
      <w:r w:rsidRPr="00344EFB">
        <w:rPr>
          <w:rFonts w:ascii="Times New Roman" w:hAnsi="Times New Roman"/>
          <w:sz w:val="24"/>
          <w:u w:val="single"/>
        </w:rPr>
        <w:t>Statistical De-Identification</w:t>
      </w:r>
      <w:r w:rsidRPr="00344EFB">
        <w:rPr>
          <w:rFonts w:ascii="Times New Roman" w:hAnsi="Times New Roman"/>
          <w:sz w:val="24"/>
        </w:rPr>
        <w:t xml:space="preserve">: A person with appropriate knowledge of and experience with generally accepted statistical and scientific principles and methods for rendering information not individually identifiable applies such principles and determines that the risk is very small that the information could be used to identify the </w:t>
      </w:r>
      <w:r>
        <w:rPr>
          <w:rFonts w:ascii="Times New Roman" w:hAnsi="Times New Roman"/>
          <w:sz w:val="24"/>
        </w:rPr>
        <w:t>patient</w:t>
      </w:r>
      <w:r w:rsidRPr="00344EFB">
        <w:rPr>
          <w:rFonts w:ascii="Times New Roman" w:hAnsi="Times New Roman"/>
          <w:sz w:val="24"/>
        </w:rPr>
        <w:t>.  The methods and the results of the analysis must be documented.</w:t>
      </w:r>
    </w:p>
    <w:p w:rsidR="00356639" w:rsidRDefault="00356639" w:rsidP="00356639">
      <w:pPr>
        <w:pStyle w:val="BodyText"/>
        <w:ind w:left="1440"/>
        <w:rPr>
          <w:rFonts w:ascii="Times New Roman" w:hAnsi="Times New Roman"/>
          <w:sz w:val="24"/>
        </w:rPr>
      </w:pPr>
    </w:p>
    <w:p w:rsidR="00356639" w:rsidRPr="00356639" w:rsidRDefault="00356639" w:rsidP="00356639">
      <w:pPr>
        <w:pStyle w:val="BodyText"/>
        <w:numPr>
          <w:ilvl w:val="1"/>
          <w:numId w:val="3"/>
        </w:numPr>
        <w:rPr>
          <w:rFonts w:ascii="Times New Roman" w:hAnsi="Times New Roman"/>
          <w:sz w:val="24"/>
        </w:rPr>
      </w:pPr>
      <w:r w:rsidRPr="00356639">
        <w:rPr>
          <w:rFonts w:ascii="Times New Roman" w:hAnsi="Times New Roman"/>
          <w:sz w:val="24"/>
          <w:u w:val="single"/>
        </w:rPr>
        <w:lastRenderedPageBreak/>
        <w:t>Re-Identification</w:t>
      </w:r>
      <w:r w:rsidRPr="00356639">
        <w:rPr>
          <w:rFonts w:ascii="Times New Roman" w:hAnsi="Times New Roman"/>
          <w:sz w:val="24"/>
        </w:rPr>
        <w:t>: [COVERED ENTITY] may assign a code that would allow the information to be re-identified by [COVERED ENTITY] as long as the code is not derived from or related to information about the patient and is not otherwise capable of being translated so as to identify the patient.  [COVERED ENTITY] must not use or disclose the code or any other means of record identification for any other purpose and must not disclose the mechanism for re-identification.</w:t>
      </w:r>
    </w:p>
    <w:p w:rsidR="00356639" w:rsidRDefault="00356639"/>
    <w:sectPr w:rsidR="0035663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771" w:rsidRDefault="00907771" w:rsidP="00356639">
      <w:pPr>
        <w:spacing w:after="0" w:line="240" w:lineRule="auto"/>
      </w:pPr>
      <w:r>
        <w:separator/>
      </w:r>
    </w:p>
  </w:endnote>
  <w:endnote w:type="continuationSeparator" w:id="0">
    <w:p w:rsidR="00907771" w:rsidRDefault="00907771" w:rsidP="00356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FE9" w:rsidRPr="005E7736" w:rsidRDefault="00762FE9" w:rsidP="00762FE9">
    <w:pPr>
      <w:spacing w:after="0" w:line="240" w:lineRule="auto"/>
      <w:jc w:val="both"/>
      <w:rPr>
        <w:rFonts w:cs="Times New Roman"/>
        <w:sz w:val="20"/>
        <w:szCs w:val="20"/>
      </w:rPr>
    </w:pPr>
    <w:r w:rsidRPr="005E7736">
      <w:rPr>
        <w:rFonts w:cs="Times New Roman"/>
        <w:sz w:val="20"/>
        <w:szCs w:val="20"/>
      </w:rPr>
      <w:t xml:space="preserve">This document is a sample and is provided for general information purposes only. Neither the provision of this document nor the document itself constitutes legal advice or opinions of any kind. No lawyer-client, advisory, fiduciary, or other relationship is created between </w:t>
    </w:r>
    <w:proofErr w:type="spellStart"/>
    <w:r w:rsidRPr="005E7736">
      <w:rPr>
        <w:rFonts w:cs="Times New Roman"/>
        <w:sz w:val="20"/>
        <w:szCs w:val="20"/>
      </w:rPr>
      <w:t>MagMutual</w:t>
    </w:r>
    <w:proofErr w:type="spellEnd"/>
    <w:r w:rsidRPr="005E7736">
      <w:rPr>
        <w:rFonts w:cs="Times New Roman"/>
        <w:sz w:val="20"/>
        <w:szCs w:val="20"/>
      </w:rPr>
      <w:t xml:space="preserve"> and any person accessing or otherwise using this document. </w:t>
    </w:r>
    <w:proofErr w:type="spellStart"/>
    <w:r w:rsidRPr="005E7736">
      <w:rPr>
        <w:rFonts w:cs="Times New Roman"/>
        <w:sz w:val="20"/>
        <w:szCs w:val="20"/>
      </w:rPr>
      <w:t>MagMutual</w:t>
    </w:r>
    <w:proofErr w:type="spellEnd"/>
    <w:r w:rsidRPr="005E7736">
      <w:rPr>
        <w:rFonts w:cs="Times New Roman"/>
        <w:sz w:val="20"/>
        <w:szCs w:val="20"/>
      </w:rPr>
      <w:t xml:space="preserve"> and its directors, officers, agents, contractors, interns, suppliers, and employees are not liable for any damages, losses, or causes of action of any nature arising from any use of any of this document or the provision of this document. </w:t>
    </w:r>
  </w:p>
  <w:p w:rsidR="00762FE9" w:rsidRDefault="00762FE9">
    <w:pPr>
      <w:pStyle w:val="Footer"/>
    </w:pPr>
  </w:p>
  <w:p w:rsidR="00762FE9" w:rsidRDefault="00762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771" w:rsidRDefault="00907771" w:rsidP="00356639">
      <w:pPr>
        <w:spacing w:after="0" w:line="240" w:lineRule="auto"/>
      </w:pPr>
      <w:r>
        <w:separator/>
      </w:r>
    </w:p>
  </w:footnote>
  <w:footnote w:type="continuationSeparator" w:id="0">
    <w:p w:rsidR="00907771" w:rsidRDefault="00907771" w:rsidP="00356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639" w:rsidRDefault="00356639">
    <w:pPr>
      <w:pStyle w:val="Header"/>
    </w:pPr>
  </w:p>
  <w:tbl>
    <w:tblPr>
      <w:tblStyle w:val="TableGrid"/>
      <w:tblW w:w="0" w:type="auto"/>
      <w:tblLook w:val="04A0" w:firstRow="1" w:lastRow="0" w:firstColumn="1" w:lastColumn="0" w:noHBand="0" w:noVBand="1"/>
    </w:tblPr>
    <w:tblGrid>
      <w:gridCol w:w="2335"/>
      <w:gridCol w:w="4680"/>
      <w:gridCol w:w="2335"/>
    </w:tblGrid>
    <w:tr w:rsidR="00356639" w:rsidTr="0037513B">
      <w:trPr>
        <w:trHeight w:val="1979"/>
      </w:trPr>
      <w:tc>
        <w:tcPr>
          <w:tcW w:w="2335" w:type="dxa"/>
          <w:shd w:val="clear" w:color="auto" w:fill="D9D9D9" w:themeFill="background1" w:themeFillShade="D9"/>
        </w:tcPr>
        <w:p w:rsidR="00356639" w:rsidRPr="001B434C" w:rsidRDefault="00356639" w:rsidP="00356639">
          <w:pPr>
            <w:rPr>
              <w:rFonts w:ascii="Times New Roman" w:hAnsi="Times New Roman"/>
              <w:sz w:val="24"/>
              <w:szCs w:val="24"/>
            </w:rPr>
          </w:pPr>
          <w:r w:rsidRPr="001B434C">
            <w:rPr>
              <w:rFonts w:ascii="Times New Roman" w:hAnsi="Times New Roman"/>
              <w:sz w:val="24"/>
              <w:szCs w:val="24"/>
            </w:rPr>
            <w:t>[COVERED ENTITY NAME &amp; LOGO]</w:t>
          </w:r>
        </w:p>
        <w:p w:rsidR="00356639" w:rsidRPr="001B434C" w:rsidRDefault="00356639" w:rsidP="00356639">
          <w:pPr>
            <w:jc w:val="center"/>
            <w:rPr>
              <w:rFonts w:ascii="Times New Roman" w:hAnsi="Times New Roman"/>
              <w:sz w:val="24"/>
              <w:szCs w:val="24"/>
            </w:rPr>
          </w:pPr>
        </w:p>
      </w:tc>
      <w:tc>
        <w:tcPr>
          <w:tcW w:w="4680" w:type="dxa"/>
          <w:shd w:val="clear" w:color="auto" w:fill="D9D9D9" w:themeFill="background1" w:themeFillShade="D9"/>
        </w:tcPr>
        <w:p w:rsidR="00356639" w:rsidRPr="001B434C" w:rsidRDefault="00356639" w:rsidP="00356639">
          <w:pPr>
            <w:jc w:val="center"/>
            <w:rPr>
              <w:rFonts w:ascii="Times New Roman" w:hAnsi="Times New Roman"/>
              <w:sz w:val="24"/>
              <w:szCs w:val="24"/>
            </w:rPr>
          </w:pPr>
        </w:p>
        <w:p w:rsidR="00356639" w:rsidRPr="004A41C5" w:rsidRDefault="00356639" w:rsidP="00356639">
          <w:pPr>
            <w:jc w:val="center"/>
            <w:rPr>
              <w:rFonts w:ascii="Times New Roman" w:hAnsi="Times New Roman"/>
              <w:b/>
              <w:sz w:val="24"/>
              <w:szCs w:val="24"/>
            </w:rPr>
          </w:pPr>
          <w:r>
            <w:rPr>
              <w:rFonts w:ascii="Times New Roman" w:hAnsi="Times New Roman"/>
              <w:b/>
              <w:sz w:val="24"/>
              <w:szCs w:val="24"/>
            </w:rPr>
            <w:t>Policy and Procedure</w:t>
          </w:r>
        </w:p>
        <w:p w:rsidR="00356639" w:rsidRDefault="00356639" w:rsidP="00356639">
          <w:pPr>
            <w:jc w:val="center"/>
            <w:rPr>
              <w:rFonts w:ascii="Times New Roman" w:hAnsi="Times New Roman"/>
              <w:b/>
              <w:sz w:val="24"/>
              <w:szCs w:val="24"/>
            </w:rPr>
          </w:pPr>
          <w:r w:rsidRPr="004A41C5">
            <w:rPr>
              <w:rFonts w:ascii="Times New Roman" w:hAnsi="Times New Roman"/>
              <w:b/>
              <w:sz w:val="24"/>
              <w:szCs w:val="24"/>
            </w:rPr>
            <w:t>HIPAA / P</w:t>
          </w:r>
          <w:r>
            <w:rPr>
              <w:rFonts w:ascii="Times New Roman" w:hAnsi="Times New Roman"/>
              <w:b/>
              <w:sz w:val="24"/>
              <w:szCs w:val="24"/>
            </w:rPr>
            <w:t>rivacy</w:t>
          </w:r>
        </w:p>
        <w:p w:rsidR="00356639" w:rsidRPr="004A41C5" w:rsidRDefault="00356639" w:rsidP="00356639">
          <w:pPr>
            <w:jc w:val="center"/>
            <w:rPr>
              <w:rFonts w:ascii="Times New Roman" w:hAnsi="Times New Roman"/>
              <w:b/>
              <w:sz w:val="24"/>
              <w:szCs w:val="24"/>
            </w:rPr>
          </w:pPr>
        </w:p>
        <w:p w:rsidR="00356639" w:rsidRPr="004A41C5" w:rsidRDefault="00356639" w:rsidP="00356639">
          <w:pPr>
            <w:jc w:val="center"/>
            <w:rPr>
              <w:rFonts w:ascii="Times New Roman" w:hAnsi="Times New Roman"/>
              <w:b/>
              <w:sz w:val="24"/>
              <w:szCs w:val="24"/>
            </w:rPr>
          </w:pPr>
          <w:r>
            <w:rPr>
              <w:rFonts w:ascii="Times New Roman" w:hAnsi="Times New Roman"/>
              <w:b/>
              <w:sz w:val="24"/>
              <w:szCs w:val="24"/>
            </w:rPr>
            <w:t>DE-IDENTIFICATION OF PROTECTED HEALTH INFORMATION</w:t>
          </w:r>
        </w:p>
        <w:p w:rsidR="00356639" w:rsidRPr="001B434C" w:rsidRDefault="00356639" w:rsidP="00356639">
          <w:pPr>
            <w:jc w:val="center"/>
            <w:rPr>
              <w:rFonts w:ascii="Times New Roman" w:hAnsi="Times New Roman"/>
              <w:sz w:val="24"/>
              <w:szCs w:val="24"/>
            </w:rPr>
          </w:pPr>
        </w:p>
      </w:tc>
      <w:tc>
        <w:tcPr>
          <w:tcW w:w="2335" w:type="dxa"/>
          <w:shd w:val="clear" w:color="auto" w:fill="D9D9D9" w:themeFill="background1" w:themeFillShade="D9"/>
        </w:tcPr>
        <w:p w:rsidR="00356639" w:rsidRPr="004A41C5" w:rsidRDefault="00356639" w:rsidP="00356639">
          <w:pPr>
            <w:rPr>
              <w:rFonts w:ascii="Times New Roman" w:hAnsi="Times New Roman"/>
              <w:sz w:val="20"/>
            </w:rPr>
          </w:pPr>
          <w:r w:rsidRPr="004A41C5">
            <w:rPr>
              <w:rFonts w:ascii="Times New Roman" w:hAnsi="Times New Roman"/>
              <w:sz w:val="20"/>
            </w:rPr>
            <w:t>No:</w:t>
          </w:r>
        </w:p>
        <w:p w:rsidR="00356639" w:rsidRPr="004A41C5" w:rsidRDefault="00356639" w:rsidP="00356639">
          <w:pPr>
            <w:rPr>
              <w:rFonts w:ascii="Times New Roman" w:hAnsi="Times New Roman"/>
              <w:sz w:val="20"/>
            </w:rPr>
          </w:pPr>
        </w:p>
        <w:p w:rsidR="00356639" w:rsidRPr="004A41C5" w:rsidRDefault="00356639" w:rsidP="00356639">
          <w:pPr>
            <w:rPr>
              <w:rFonts w:ascii="Times New Roman" w:hAnsi="Times New Roman"/>
              <w:sz w:val="20"/>
            </w:rPr>
          </w:pPr>
          <w:r w:rsidRPr="004A41C5">
            <w:rPr>
              <w:rFonts w:ascii="Times New Roman" w:hAnsi="Times New Roman"/>
              <w:sz w:val="20"/>
            </w:rPr>
            <w:t>Effective Date:</w:t>
          </w:r>
        </w:p>
        <w:p w:rsidR="00356639" w:rsidRPr="004A41C5" w:rsidRDefault="00356639" w:rsidP="00356639">
          <w:pPr>
            <w:rPr>
              <w:rFonts w:ascii="Times New Roman" w:hAnsi="Times New Roman"/>
              <w:sz w:val="20"/>
            </w:rPr>
          </w:pPr>
        </w:p>
        <w:p w:rsidR="00356639" w:rsidRDefault="00356639" w:rsidP="00356639">
          <w:pPr>
            <w:rPr>
              <w:rFonts w:ascii="Times New Roman" w:hAnsi="Times New Roman"/>
              <w:sz w:val="20"/>
            </w:rPr>
          </w:pPr>
        </w:p>
        <w:p w:rsidR="00356639" w:rsidRPr="001B434C" w:rsidRDefault="00356639" w:rsidP="00356639">
          <w:pPr>
            <w:rPr>
              <w:rFonts w:ascii="Times New Roman" w:hAnsi="Times New Roman"/>
              <w:sz w:val="24"/>
              <w:szCs w:val="24"/>
            </w:rPr>
          </w:pPr>
          <w:r w:rsidRPr="004A41C5">
            <w:rPr>
              <w:rFonts w:ascii="Times New Roman" w:hAnsi="Times New Roman"/>
              <w:sz w:val="20"/>
            </w:rPr>
            <w:t>Last Revised:</w:t>
          </w:r>
          <w:r w:rsidRPr="001B434C">
            <w:rPr>
              <w:rFonts w:ascii="Times New Roman" w:hAnsi="Times New Roman"/>
              <w:sz w:val="24"/>
              <w:szCs w:val="24"/>
            </w:rPr>
            <w:t xml:space="preserve"> </w:t>
          </w:r>
        </w:p>
      </w:tc>
    </w:tr>
  </w:tbl>
  <w:p w:rsidR="00356639" w:rsidRDefault="00356639">
    <w:pPr>
      <w:pStyle w:val="Header"/>
    </w:pPr>
  </w:p>
  <w:p w:rsidR="00356639" w:rsidRDefault="003566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469D"/>
    <w:multiLevelType w:val="multilevel"/>
    <w:tmpl w:val="51360A14"/>
    <w:lvl w:ilvl="0">
      <w:start w:val="1"/>
      <w:numFmt w:val="decimal"/>
      <w:lvlText w:val="%1."/>
      <w:lvlJc w:val="left"/>
      <w:pPr>
        <w:tabs>
          <w:tab w:val="num" w:pos="720"/>
        </w:tabs>
        <w:ind w:left="720" w:hanging="720"/>
      </w:pPr>
      <w:rPr>
        <w:rFonts w:ascii="Times New Roman" w:hAnsi="Times New Roman" w:cs="Times New Roman" w:hint="default"/>
        <w:b w:val="0"/>
        <w:i w:val="0"/>
        <w:sz w:val="24"/>
      </w:rPr>
    </w:lvl>
    <w:lvl w:ilvl="1">
      <w:start w:val="1"/>
      <w:numFmt w:val="lowerLetter"/>
      <w:lvlText w:val="%2."/>
      <w:lvlJc w:val="left"/>
      <w:pPr>
        <w:tabs>
          <w:tab w:val="num" w:pos="1440"/>
        </w:tabs>
        <w:ind w:left="1440" w:hanging="720"/>
      </w:pPr>
      <w:rPr>
        <w:rFonts w:ascii="Times New Roman" w:hAnsi="Times New Roman" w:cs="Times New Roman" w:hint="default"/>
        <w:b w:val="0"/>
        <w:i w:val="0"/>
        <w:sz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D44F77"/>
    <w:multiLevelType w:val="hybridMultilevel"/>
    <w:tmpl w:val="00AC2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9377D2"/>
    <w:multiLevelType w:val="singleLevel"/>
    <w:tmpl w:val="EA265D0E"/>
    <w:lvl w:ilvl="0">
      <w:start w:val="1"/>
      <w:numFmt w:val="bullet"/>
      <w:pStyle w:val="ListBullet"/>
      <w:lvlText w:val=""/>
      <w:lvlJc w:val="left"/>
      <w:pPr>
        <w:tabs>
          <w:tab w:val="num" w:pos="504"/>
        </w:tabs>
        <w:ind w:left="504" w:hanging="504"/>
      </w:pPr>
      <w:rPr>
        <w:rFonts w:ascii="Symbol" w:hAnsi="Symbol" w:hint="default"/>
        <w:sz w:val="28"/>
      </w:rPr>
    </w:lvl>
  </w:abstractNum>
  <w:abstractNum w:abstractNumId="3" w15:restartNumberingAfterBreak="0">
    <w:nsid w:val="74541920"/>
    <w:multiLevelType w:val="hybridMultilevel"/>
    <w:tmpl w:val="2CB8FA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639"/>
    <w:rsid w:val="001349C4"/>
    <w:rsid w:val="001B2DC1"/>
    <w:rsid w:val="00356639"/>
    <w:rsid w:val="003F5346"/>
    <w:rsid w:val="00762FE9"/>
    <w:rsid w:val="00907771"/>
    <w:rsid w:val="00E05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D5DD2-0EC7-4A23-BD61-BC3F859E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BodyText"/>
    <w:link w:val="Heading2Char"/>
    <w:qFormat/>
    <w:rsid w:val="00356639"/>
    <w:pPr>
      <w:keepNext/>
      <w:keepLines/>
      <w:spacing w:after="0" w:line="240" w:lineRule="auto"/>
      <w:jc w:val="both"/>
      <w:outlineLvl w:val="1"/>
    </w:pPr>
    <w:rPr>
      <w:rFonts w:ascii="Arial" w:eastAsia="Times New Roman" w:hAnsi="Arial" w:cs="Times New Roman"/>
      <w:b/>
      <w:smallCap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39"/>
  </w:style>
  <w:style w:type="paragraph" w:styleId="Footer">
    <w:name w:val="footer"/>
    <w:basedOn w:val="Normal"/>
    <w:link w:val="FooterChar"/>
    <w:uiPriority w:val="99"/>
    <w:unhideWhenUsed/>
    <w:rsid w:val="00356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39"/>
  </w:style>
  <w:style w:type="table" w:styleId="TableGrid">
    <w:name w:val="Table Grid"/>
    <w:basedOn w:val="TableNormal"/>
    <w:uiPriority w:val="39"/>
    <w:rsid w:val="00356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56639"/>
    <w:rPr>
      <w:rFonts w:ascii="Arial" w:eastAsia="Times New Roman" w:hAnsi="Arial" w:cs="Times New Roman"/>
      <w:b/>
      <w:smallCaps/>
      <w:sz w:val="24"/>
      <w:szCs w:val="20"/>
      <w:u w:val="single"/>
    </w:rPr>
  </w:style>
  <w:style w:type="paragraph" w:styleId="BodyText">
    <w:name w:val="Body Text"/>
    <w:basedOn w:val="Normal"/>
    <w:link w:val="BodyTextChar"/>
    <w:semiHidden/>
    <w:rsid w:val="00356639"/>
    <w:pPr>
      <w:keepLines/>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semiHidden/>
    <w:rsid w:val="00356639"/>
    <w:rPr>
      <w:rFonts w:ascii="Arial" w:eastAsia="Times New Roman" w:hAnsi="Arial" w:cs="Times New Roman"/>
      <w:szCs w:val="20"/>
    </w:rPr>
  </w:style>
  <w:style w:type="paragraph" w:styleId="ListBullet">
    <w:name w:val="List Bullet"/>
    <w:basedOn w:val="Normal"/>
    <w:semiHidden/>
    <w:rsid w:val="00356639"/>
    <w:pPr>
      <w:keepLines/>
      <w:numPr>
        <w:numId w:val="1"/>
      </w:numPr>
      <w:spacing w:after="0" w:line="240" w:lineRule="auto"/>
      <w:jc w:val="both"/>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MagMutual</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4</cp:revision>
  <dcterms:created xsi:type="dcterms:W3CDTF">2017-11-13T10:09:00Z</dcterms:created>
  <dcterms:modified xsi:type="dcterms:W3CDTF">2018-02-09T17:23:00Z</dcterms:modified>
</cp:coreProperties>
</file>