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9DC1" w14:textId="77777777" w:rsidR="0069712F" w:rsidRPr="0069712F" w:rsidRDefault="0069712F" w:rsidP="0069712F">
      <w:pPr>
        <w:pStyle w:val="Header"/>
        <w:bidi/>
        <w:spacing w:after="240" w:line="259" w:lineRule="auto"/>
        <w:jc w:val="center"/>
        <w:rPr>
          <w:rFonts w:ascii="Naskh MT for Bosch School" w:hAnsi="Naskh MT for Bosch School" w:cs="Naskh MT for Bosch School"/>
          <w:rtl/>
          <w:lang w:val="en-US"/>
        </w:rPr>
      </w:pPr>
      <w:r w:rsidRPr="0069712F">
        <w:rPr>
          <w:rFonts w:ascii="Naskh MT for Bosch School" w:hAnsi="Naskh MT for Bosch School" w:cs="Naskh MT for Bosch School"/>
          <w:rtl/>
          <w:lang w:val="en-US"/>
        </w:rPr>
        <w:t>[ترجمة]</w:t>
      </w:r>
    </w:p>
    <w:p w14:paraId="3DBDC8D2" w14:textId="397486BC" w:rsidR="00DA3C7B" w:rsidRPr="0069712F" w:rsidRDefault="00DA3C7B" w:rsidP="0069712F">
      <w:pPr>
        <w:pStyle w:val="BWCDate"/>
        <w:bidi/>
        <w:spacing w:line="259" w:lineRule="auto"/>
        <w:jc w:val="left"/>
        <w:rPr>
          <w:rFonts w:ascii="Naskh MT for Bosch School" w:hAnsi="Naskh MT for Bosch School" w:cs="Naskh MT for Bosch School"/>
        </w:rPr>
      </w:pPr>
      <w:r w:rsidRPr="0069712F">
        <w:rPr>
          <w:rFonts w:ascii="Naskh MT for Bosch School" w:hAnsi="Naskh MT for Bosch School" w:cs="Naskh MT for Bosch School"/>
          <w:rtl/>
        </w:rPr>
        <w:t>31 كانون الأوّل/ديسمبر 2025</w:t>
      </w:r>
    </w:p>
    <w:p w14:paraId="5E71851B" w14:textId="643E18B8" w:rsidR="00DA3C7B" w:rsidRPr="0069712F" w:rsidRDefault="00DA3C7B" w:rsidP="0069712F">
      <w:pPr>
        <w:pStyle w:val="BWCAddress"/>
        <w:bidi/>
        <w:spacing w:after="240" w:line="259" w:lineRule="auto"/>
        <w:jc w:val="both"/>
        <w:rPr>
          <w:rFonts w:ascii="Naskh MT for Bosch School" w:hAnsi="Naskh MT for Bosch School" w:cs="Naskh MT for Bosch School"/>
        </w:rPr>
      </w:pPr>
      <w:r w:rsidRPr="0069712F">
        <w:rPr>
          <w:rFonts w:ascii="Naskh MT for Bosch School" w:hAnsi="Naskh MT for Bosch School" w:cs="Naskh MT for Bosch School"/>
          <w:rtl/>
        </w:rPr>
        <w:t>إلى مؤتمر هيئات المشاورين القارّيّة</w:t>
      </w:r>
    </w:p>
    <w:p w14:paraId="24F80033" w14:textId="4AB1DAB8" w:rsidR="00DA3C7B" w:rsidRPr="0069712F" w:rsidRDefault="00DA3C7B" w:rsidP="0069712F">
      <w:pPr>
        <w:pStyle w:val="BWCGreeting"/>
        <w:bidi/>
        <w:spacing w:before="0" w:line="259" w:lineRule="auto"/>
        <w:jc w:val="both"/>
        <w:rPr>
          <w:rFonts w:ascii="Naskh MT for Bosch School" w:hAnsi="Naskh MT for Bosch School" w:cs="Naskh MT for Bosch School"/>
        </w:rPr>
      </w:pPr>
      <w:bookmarkStart w:id="0" w:name="_GoBack"/>
      <w:bookmarkEnd w:id="0"/>
      <w:r w:rsidRPr="0069712F">
        <w:rPr>
          <w:rFonts w:ascii="Naskh MT for Bosch School" w:hAnsi="Naskh MT for Bosch School" w:cs="Naskh MT for Bosch School"/>
          <w:rtl/>
        </w:rPr>
        <w:t>الأحبّاء الأعزّاء،</w:t>
      </w:r>
    </w:p>
    <w:p w14:paraId="354123D2"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 xml:space="preserve">سلّطت </w:t>
      </w:r>
      <w:r w:rsidRPr="0069712F">
        <w:rPr>
          <w:rFonts w:ascii="Naskh MT for Bosch School" w:eastAsia="Naskh MT for Bosch School" w:hAnsi="Naskh MT for Bosch School" w:cs="Naskh MT for Bosch School"/>
          <w:rtl/>
        </w:rPr>
        <w:t>المرحلة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الأولى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خطّة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السّنوات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التّسع الضّوء على مكامن القوّة العظيمة الّتي تزخر بها الجامعة البهائيّة</w:t>
      </w:r>
      <w:r w:rsidRPr="0069712F">
        <w:rPr>
          <w:rFonts w:ascii="Naskh MT for Bosch School" w:hAnsi="Naskh MT for Bosch School" w:cs="Naskh MT for Bosch School"/>
          <w:rtl/>
          <w:lang w:val="en-US"/>
        </w:rPr>
        <w:t xml:space="preserve">.  وقد انطلقت </w:t>
      </w:r>
      <w:r w:rsidRPr="0069712F">
        <w:rPr>
          <w:rFonts w:ascii="Naskh MT for Bosch School" w:eastAsia="Naskh MT for Bosch School" w:hAnsi="Naskh MT for Bosch School" w:cs="Naskh MT for Bosch School"/>
          <w:rtl/>
        </w:rPr>
        <w:t>الخطّة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بطاقةٍ غير مسبوقة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وعزمٍ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يلين،</w:t>
      </w:r>
      <w:r w:rsidRPr="0069712F">
        <w:rPr>
          <w:rFonts w:ascii="Naskh MT for Bosch School" w:hAnsi="Naskh MT for Bosch School" w:cs="Naskh MT for Bosch School"/>
          <w:rtl/>
        </w:rPr>
        <w:t xml:space="preserve"> بانعقاد أك</w:t>
      </w:r>
      <w:r w:rsidRPr="0069712F">
        <w:rPr>
          <w:rFonts w:ascii="Naskh MT for Bosch School" w:eastAsia="Naskh MT for Bosch School" w:hAnsi="Naskh MT for Bosch School" w:cs="Naskh MT for Bosch School"/>
          <w:rtl/>
        </w:rPr>
        <w:t>ثر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من</w:t>
      </w:r>
      <w:r w:rsidRPr="0069712F">
        <w:rPr>
          <w:rFonts w:ascii="Naskh MT for Bosch School" w:hAnsi="Naskh MT for Bosch School" w:cs="Naskh MT for Bosch School"/>
          <w:rtl/>
        </w:rPr>
        <w:t xml:space="preserve"> 10,000 </w:t>
      </w:r>
      <w:r w:rsidRPr="0069712F">
        <w:rPr>
          <w:rFonts w:ascii="Naskh MT for Bosch School" w:eastAsia="Naskh MT for Bosch School" w:hAnsi="Naskh MT for Bosch School" w:cs="Naskh MT for Bosch School"/>
          <w:rtl/>
        </w:rPr>
        <w:t>مؤتمرٍ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ضمّ</w:t>
      </w:r>
      <w:r w:rsidRPr="0069712F">
        <w:rPr>
          <w:rFonts w:ascii="Naskh MT for Bosch School" w:hAnsi="Naskh MT for Bosch School" w:cs="Naskh MT for Bosch School"/>
          <w:rtl/>
        </w:rPr>
        <w:t xml:space="preserve"> ال</w:t>
      </w:r>
      <w:r w:rsidRPr="0069712F">
        <w:rPr>
          <w:rFonts w:ascii="Naskh MT for Bosch School" w:eastAsia="Naskh MT for Bosch School" w:hAnsi="Naskh MT for Bosch School" w:cs="Naskh MT for Bosch School"/>
          <w:rtl/>
        </w:rPr>
        <w:t>بهائيّين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والأصدقاء</w:t>
      </w:r>
      <w:r w:rsidRPr="0069712F">
        <w:rPr>
          <w:rFonts w:ascii="Naskh MT for Bosch School" w:hAnsi="Naskh MT for Bosch School" w:cs="Naskh MT for Bosch School"/>
          <w:rtl/>
        </w:rPr>
        <w:t xml:space="preserve"> ال</w:t>
      </w:r>
      <w:r w:rsidRPr="0069712F">
        <w:rPr>
          <w:rFonts w:ascii="Naskh MT for Bosch School" w:eastAsia="Naskh MT for Bosch School" w:hAnsi="Naskh MT for Bosch School" w:cs="Naskh MT for Bosch School"/>
          <w:rtl/>
        </w:rPr>
        <w:t>مهتمّين،</w:t>
      </w:r>
      <w:r w:rsidRPr="0069712F">
        <w:rPr>
          <w:rFonts w:ascii="Naskh MT for Bosch School" w:hAnsi="Naskh MT for Bosch School" w:cs="Naskh MT for Bosch School"/>
          <w:rtl/>
        </w:rPr>
        <w:t xml:space="preserve"> ممّا </w:t>
      </w:r>
      <w:r w:rsidRPr="0069712F">
        <w:rPr>
          <w:rFonts w:ascii="Naskh MT for Bosch School" w:eastAsia="Naskh MT for Bosch School" w:hAnsi="Naskh MT for Bosch School" w:cs="Naskh MT for Bosch School"/>
          <w:rtl/>
        </w:rPr>
        <w:t>أسهم</w:t>
      </w:r>
      <w:r w:rsidRPr="0069712F">
        <w:rPr>
          <w:rFonts w:ascii="Naskh MT for Bosch School" w:hAnsi="Naskh MT for Bosch School" w:cs="Naskh MT for Bosch School"/>
          <w:rtl/>
        </w:rPr>
        <w:t xml:space="preserve"> في </w:t>
      </w:r>
      <w:r w:rsidRPr="0069712F">
        <w:rPr>
          <w:rFonts w:ascii="Naskh MT for Bosch School" w:eastAsiaTheme="minorEastAsia" w:hAnsi="Naskh MT for Bosch School" w:cs="Naskh MT for Bosch School"/>
          <w:rtl/>
        </w:rPr>
        <w:t>زيادة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الوعي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بأهدافها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وطابعها المميّز بشكلٍ مطّرد.  ثمّ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أعقب</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ذلك</w:t>
      </w:r>
      <w:r w:rsidRPr="0069712F" w:rsidDel="00F561C4">
        <w:rPr>
          <w:rFonts w:ascii="Naskh MT for Bosch School" w:eastAsia="Naskh MT for Bosch School" w:hAnsi="Naskh MT for Bosch School" w:cs="Naskh MT for Bosch School"/>
          <w:rtl/>
        </w:rPr>
        <w:t xml:space="preserve"> </w:t>
      </w:r>
      <w:r w:rsidRPr="0069712F">
        <w:rPr>
          <w:rFonts w:ascii="Naskh MT for Bosch School" w:hAnsi="Naskh MT for Bosch School" w:cs="Naskh MT for Bosch School"/>
          <w:rtl/>
        </w:rPr>
        <w:t>إجراءات سريعة</w:t>
      </w:r>
      <w:r w:rsidRPr="0069712F">
        <w:rPr>
          <w:rFonts w:ascii="Naskh MT for Bosch School" w:eastAsia="Naskh MT for Bosch School" w:hAnsi="Naskh MT for Bosch School" w:cs="Naskh MT for Bosch School"/>
          <w:rtl/>
        </w:rPr>
        <w:t>.  نتوقّع</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بحلول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الرّضوان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أن تكون هناك</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مجموعة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جغرافيّة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اجتازت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المَعْلَم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الثّالث 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نحو</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نصف</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البلدان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والأقاليم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البالغ</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عددها</w:t>
      </w:r>
      <w:r w:rsidRPr="0069712F">
        <w:rPr>
          <w:rFonts w:ascii="Naskh MT for Bosch School" w:hAnsi="Naskh MT for Bosch School" w:cs="Naskh MT for Bosch School"/>
          <w:rtl/>
        </w:rPr>
        <w:t xml:space="preserve"> 160، و</w:t>
      </w:r>
      <w:r w:rsidRPr="0069712F">
        <w:rPr>
          <w:rFonts w:ascii="Naskh MT for Bosch School" w:eastAsia="Naskh MT for Bosch School" w:hAnsi="Naskh MT for Bosch School" w:cs="Naskh MT for Bosch School"/>
          <w:rtl/>
        </w:rPr>
        <w:t>الّتي لم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يكن</w:t>
      </w:r>
      <w:r w:rsidRPr="0069712F">
        <w:rPr>
          <w:rFonts w:ascii="Naskh MT for Bosch School" w:hAnsi="Naskh MT for Bosch School" w:cs="Naskh MT for Bosch School"/>
          <w:rtl/>
        </w:rPr>
        <w:t xml:space="preserve"> فيها </w:t>
      </w:r>
      <w:r w:rsidRPr="0069712F">
        <w:rPr>
          <w:rFonts w:ascii="Naskh MT for Bosch School" w:eastAsia="Naskh MT for Bosch School" w:hAnsi="Naskh MT for Bosch School" w:cs="Naskh MT for Bosch School"/>
          <w:rtl/>
        </w:rPr>
        <w:t>ثمّة مجموعة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جغرافيّة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اجتازت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هذا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المَعْلَم 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مستهلّ الخطّة،</w:t>
      </w:r>
      <w:r w:rsidRPr="0069712F">
        <w:rPr>
          <w:rFonts w:ascii="Naskh MT for Bosch School" w:hAnsi="Naskh MT for Bosch School" w:cs="Naskh MT for Bosch School"/>
          <w:rtl/>
        </w:rPr>
        <w:t xml:space="preserve"> وما هذا إلّا إنجازٌ </w:t>
      </w:r>
      <w:r w:rsidRPr="0069712F">
        <w:rPr>
          <w:rFonts w:ascii="Naskh MT for Bosch School" w:eastAsia="Naskh MT for Bosch School" w:hAnsi="Naskh MT for Bosch School" w:cs="Naskh MT for Bosch School"/>
          <w:rtl/>
        </w:rPr>
        <w:t>باهر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ونتيجةً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لذلك فقد تمّ اكتساب</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خبرة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قيّمة،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ولا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سيّما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بفضل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الجهود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المُتفانية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لعددٍ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كبيرٍ من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الأفراد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الّذين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نهضوا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ضمن</w:t>
      </w:r>
      <w:r w:rsidRPr="0069712F">
        <w:rPr>
          <w:rFonts w:ascii="Naskh MT for Bosch School" w:hAnsi="Naskh MT for Bosch School" w:cs="Naskh MT for Bosch School"/>
          <w:rtl/>
        </w:rPr>
        <w:t xml:space="preserve"> استراتيجيّة منسّقة </w:t>
      </w:r>
      <w:r w:rsidRPr="0069712F">
        <w:rPr>
          <w:rFonts w:ascii="Naskh MT for Bosch School" w:eastAsia="Naskh MT for Bosch School" w:hAnsi="Naskh MT for Bosch School" w:cs="Naskh MT for Bosch School"/>
          <w:rtl/>
        </w:rPr>
        <w:t>للهجرة</w:t>
      </w:r>
      <w:r w:rsidRPr="0069712F">
        <w:rPr>
          <w:rFonts w:ascii="Naskh MT for Bosch School" w:hAnsi="Naskh MT for Bosch School" w:cs="Naskh MT for Bosch School"/>
          <w:rtl/>
          <w:lang w:val="en-US"/>
        </w:rPr>
        <w:t xml:space="preserve">.  </w:t>
      </w:r>
      <w:r w:rsidRPr="0069712F">
        <w:rPr>
          <w:rFonts w:ascii="Naskh MT for Bosch School" w:eastAsia="Naskh MT for Bosch School" w:hAnsi="Naskh MT for Bosch School" w:cs="Naskh MT for Bosch School"/>
          <w:rtl/>
        </w:rPr>
        <w:t>وفي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الوقت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نفسه،</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وُجِّه</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اهتمامٌ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خاصّ</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جميع</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البلدان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إلى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المجموعات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الجغرافيّة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اجتازت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المَعْلَم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الثّالث،</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وبالتّالي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تقدّمت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آفاق</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التّعلّم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تقدّمًا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ملحوظًا،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وأخذت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قوّة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بناء</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المجتمع</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الكامنة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الأمر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المبارك</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تتجلّى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نحوٍ</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أوضح</w:t>
      </w:r>
      <w:r w:rsidRPr="0069712F">
        <w:rPr>
          <w:rFonts w:ascii="Naskh MT for Bosch School" w:hAnsi="Naskh MT for Bosch School" w:cs="Naskh MT for Bosch School"/>
          <w:rtl/>
          <w:lang w:val="en-US"/>
        </w:rPr>
        <w:t xml:space="preserve">.  </w:t>
      </w:r>
      <w:r w:rsidRPr="0069712F">
        <w:rPr>
          <w:rFonts w:ascii="Naskh MT for Bosch School" w:eastAsia="Naskh MT for Bosch School" w:hAnsi="Naskh MT for Bosch School" w:cs="Naskh MT for Bosch School"/>
          <w:rtl/>
        </w:rPr>
        <w:t>وأضحت الكثير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هذه</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المجموعات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الجغرافيّة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بمثابة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مستودعاتٍ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للمعرفة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والموارد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للمجموعات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المجاورة لها،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وقد</w:t>
      </w:r>
      <w:r w:rsidRPr="0069712F">
        <w:rPr>
          <w:rFonts w:ascii="Naskh MT for Bosch School" w:hAnsi="Naskh MT for Bosch School" w:cs="Naskh MT for Bosch School"/>
          <w:rtl/>
        </w:rPr>
        <w:t xml:space="preserve"> ثبت أنّ هذا أمرٌ </w:t>
      </w:r>
      <w:r w:rsidRPr="0069712F">
        <w:rPr>
          <w:rFonts w:ascii="Naskh MT for Bosch School" w:eastAsia="Naskh MT for Bosch School" w:hAnsi="Naskh MT for Bosch School" w:cs="Naskh MT for Bosch School"/>
          <w:rtl/>
        </w:rPr>
        <w:t>حيويّ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لعمليّة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النّموّ</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كلّ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مكان.  بل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إنّ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الحركة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السّريعة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للمجموعات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الجغرافيّة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عبر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المَعالِم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الثّلاثة تستلزم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تعزيز</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هذا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النّمط</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وتعميمه</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نطاقٍ</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واسع.  لأنّه، وعلى الرّغم من ارتياحنا بما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أُحرز</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تقدّم،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فإنّ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مهمّةً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جسيمةً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تزال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أمامنا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إذا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أُريد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لكلّ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جامعةٍ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بهائيّةٍ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مركزيّة أن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تحقّق</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تطلّعاتها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لحركة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المجموعات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الجغرافيّة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وضعتها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لنفسها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في مستهل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الخطّة</w:t>
      </w:r>
      <w:r w:rsidRPr="0069712F">
        <w:rPr>
          <w:rFonts w:ascii="Naskh MT for Bosch School" w:hAnsi="Naskh MT for Bosch School" w:cs="Naskh MT for Bosch School"/>
          <w:rtl/>
          <w:lang w:val="en-US"/>
        </w:rPr>
        <w:t xml:space="preserve">.  </w:t>
      </w:r>
      <w:r w:rsidRPr="0069712F">
        <w:rPr>
          <w:rFonts w:ascii="Naskh MT for Bosch School" w:eastAsia="Naskh MT for Bosch School" w:hAnsi="Naskh MT for Bosch School" w:cs="Naskh MT for Bosch School"/>
          <w:rtl/>
        </w:rPr>
        <w:t>وثمّة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حاجة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ملحّة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إلى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تنمية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القدرات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المطلوبة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نطاقٍ</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أوسع</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لتكثيف</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برنامج</w:t>
      </w:r>
      <w:r w:rsidRPr="0069712F">
        <w:rPr>
          <w:rFonts w:ascii="Naskh MT for Bosch School" w:hAnsi="Naskh MT for Bosch School" w:cs="Naskh MT for Bosch School"/>
          <w:rtl/>
        </w:rPr>
        <w:t xml:space="preserve"> ا</w:t>
      </w:r>
      <w:r w:rsidRPr="0069712F">
        <w:rPr>
          <w:rFonts w:ascii="Naskh MT for Bosch School" w:eastAsia="Naskh MT for Bosch School" w:hAnsi="Naskh MT for Bosch School" w:cs="Naskh MT for Bosch School"/>
          <w:rtl/>
        </w:rPr>
        <w:t>لنّموّ</w:t>
      </w:r>
      <w:r w:rsidRPr="0069712F">
        <w:rPr>
          <w:rFonts w:ascii="Naskh MT for Bosch School" w:hAnsi="Naskh MT for Bosch School" w:cs="Naskh MT for Bosch School"/>
          <w:rtl/>
          <w:lang w:val="en-US"/>
        </w:rPr>
        <w:t>.  و</w:t>
      </w:r>
      <w:r w:rsidRPr="0069712F">
        <w:rPr>
          <w:rFonts w:ascii="Naskh MT for Bosch School" w:eastAsia="Naskh MT for Bosch School" w:hAnsi="Naskh MT for Bosch School" w:cs="Naskh MT for Bosch School"/>
          <w:rtl/>
        </w:rPr>
        <w:t>سيظلّ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المرجع الأساسيّ</w:t>
      </w:r>
      <w:r w:rsidRPr="0069712F">
        <w:rPr>
          <w:rFonts w:ascii="Naskh MT for Bosch School" w:hAnsi="Naskh MT for Bosch School" w:cs="Naskh MT for Bosch School"/>
          <w:rtl/>
        </w:rPr>
        <w:t xml:space="preserve"> ل</w:t>
      </w:r>
      <w:r w:rsidRPr="0069712F">
        <w:rPr>
          <w:rFonts w:ascii="Naskh MT for Bosch School" w:eastAsia="Naskh MT for Bosch School" w:hAnsi="Naskh MT for Bosch School" w:cs="Naskh MT for Bosch School"/>
          <w:rtl/>
        </w:rPr>
        <w:t>هذا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العمل—ولجميع</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أعمال</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خطّة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السّنوات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التّسع—رسالتنا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المؤرّخة</w:t>
      </w:r>
      <w:r w:rsidRPr="0069712F">
        <w:rPr>
          <w:rFonts w:ascii="Naskh MT for Bosch School" w:hAnsi="Naskh MT for Bosch School" w:cs="Naskh MT for Bosch School"/>
          <w:rtl/>
        </w:rPr>
        <w:t xml:space="preserve"> 30 </w:t>
      </w:r>
      <w:r w:rsidRPr="0069712F">
        <w:rPr>
          <w:rFonts w:ascii="Naskh MT for Bosch School" w:eastAsia="Naskh MT for Bosch School" w:hAnsi="Naskh MT for Bosch School" w:cs="Naskh MT for Bosch School"/>
          <w:rtl/>
        </w:rPr>
        <w:t>كانون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الأوّل</w:t>
      </w:r>
      <w:r w:rsidRPr="0069712F">
        <w:rPr>
          <w:rFonts w:ascii="Naskh MT for Bosch School" w:hAnsi="Naskh MT for Bosch School" w:cs="Naskh MT for Bosch School"/>
          <w:rtl/>
        </w:rPr>
        <w:t>/</w:t>
      </w:r>
      <w:r w:rsidRPr="0069712F">
        <w:rPr>
          <w:rFonts w:ascii="Naskh MT for Bosch School" w:eastAsia="Naskh MT for Bosch School" w:hAnsi="Naskh MT for Bosch School" w:cs="Naskh MT for Bosch School"/>
          <w:rtl/>
        </w:rPr>
        <w:t>ديسمبر</w:t>
      </w:r>
      <w:r w:rsidRPr="0069712F">
        <w:rPr>
          <w:rFonts w:ascii="Naskh MT for Bosch School" w:hAnsi="Naskh MT for Bosch School" w:cs="Naskh MT for Bosch School"/>
          <w:rtl/>
        </w:rPr>
        <w:t xml:space="preserve"> 2021</w:t>
      </w:r>
      <w:r w:rsidRPr="0069712F">
        <w:rPr>
          <w:rFonts w:ascii="Naskh MT for Bosch School" w:eastAsia="Naskh MT for Bosch School" w:hAnsi="Naskh MT for Bosch School" w:cs="Naskh MT for Bosch School"/>
          <w:rtl/>
        </w:rPr>
        <w:t>،</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بيد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أنّنا</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سنسعى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في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هذه</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الصّفحات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القليلة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إلى</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عرض</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عددٍ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البصائر</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الّتي</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انبثقت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جهود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الجامعات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والمؤسّسات</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والأفراد</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وهم</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يضعون</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الخطّة</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موضع</w:t>
      </w:r>
      <w:r w:rsidRPr="0069712F">
        <w:rPr>
          <w:rFonts w:ascii="Naskh MT for Bosch School" w:hAnsi="Naskh MT for Bosch School" w:cs="Naskh MT for Bosch School"/>
          <w:rtl/>
        </w:rPr>
        <w:t xml:space="preserve"> </w:t>
      </w:r>
      <w:r w:rsidRPr="0069712F">
        <w:rPr>
          <w:rFonts w:ascii="Naskh MT for Bosch School" w:eastAsia="Naskh MT for Bosch School" w:hAnsi="Naskh MT for Bosch School" w:cs="Naskh MT for Bosch School"/>
          <w:rtl/>
        </w:rPr>
        <w:t>التّنفيذ</w:t>
      </w:r>
      <w:r w:rsidRPr="0069712F">
        <w:rPr>
          <w:rFonts w:ascii="Naskh MT for Bosch School" w:hAnsi="Naskh MT for Bosch School" w:cs="Naskh MT for Bosch School"/>
          <w:rtl/>
          <w:lang w:val="en-US"/>
        </w:rPr>
        <w:t>.</w:t>
      </w:r>
    </w:p>
    <w:p w14:paraId="1F080C6D" w14:textId="77777777" w:rsidR="001E08C0" w:rsidRPr="0069712F" w:rsidRDefault="001E08C0" w:rsidP="0069712F">
      <w:pPr>
        <w:pStyle w:val="BWCBodyText"/>
        <w:bidi/>
        <w:spacing w:before="240" w:after="240" w:line="259" w:lineRule="auto"/>
        <w:ind w:firstLine="578"/>
        <w:jc w:val="center"/>
        <w:rPr>
          <w:rFonts w:ascii="Naskh MT for Bosch School" w:hAnsi="Naskh MT for Bosch School" w:cs="Naskh MT for Bosch School"/>
          <w:lang w:val="en-US"/>
        </w:rPr>
      </w:pPr>
      <w:r w:rsidRPr="0069712F">
        <w:rPr>
          <w:rFonts w:ascii="Naskh MT for Bosch School" w:hAnsi="Naskh MT for Bosch School" w:cs="Naskh MT for Bosch School"/>
          <w:rtl/>
          <w:lang w:val="en-US"/>
        </w:rPr>
        <w:t>*</w:t>
      </w:r>
    </w:p>
    <w:p w14:paraId="12D182F9" w14:textId="2A100D7C"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في المجموعات الجغرافيّة، وفي الأحياء والقرى الّتي أُحرز فيها تقدّمٌ بارز، بغضّ النّظر عن نقطة البداية، كان العامل الأساسيّ يكمن</w:t>
      </w:r>
      <w:r w:rsidRPr="0069712F" w:rsidDel="00B6657D">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 xml:space="preserve">في قدرة الأحبّاء على مستوى القاعدة على التّعلّم معًا، جامِعين بين البصائر الّتي استقوها من تجاربهم الشّخصيّة وتلك الّتي اكتسبتها الجامعات المتقدّمة المجاورة أو البعيدة، دون أن يكون في ذلك تطبيق لصيغة ثابتة.  وعلى الرّغم من أنّ السّمات الجوهريّة لبرنامج النّموّ—من حيث هدفه، ومبادئه الهادية، </w:t>
      </w:r>
      <w:r w:rsidRPr="0069712F">
        <w:rPr>
          <w:rFonts w:ascii="Naskh MT for Bosch School" w:hAnsi="Naskh MT for Bosch School" w:cs="Naskh MT for Bosch School"/>
          <w:rtl/>
        </w:rPr>
        <w:lastRenderedPageBreak/>
        <w:t>وأدواته الأساسيّة—هي ذاتها في كلّ مكان، إلّا أنّ النّموّ عمليّة عضويّة لا ميكانيكيّة.  وفي سياق هذه العمليّة، يعتمد التّقدّم في كلّ مرحلة على الحفاظ على فهمٍ واضحٍ للأولويّات المتعلّقة بمكانٍ بعينه، وعلى قراءة الواقع المتغيّر واعتماد المقاربات الملائمة للظّروف المحلّيّة</w:t>
      </w:r>
      <w:r w:rsidRPr="0069712F">
        <w:rPr>
          <w:rFonts w:ascii="Naskh MT for Bosch School" w:hAnsi="Naskh MT for Bosch School" w:cs="Naskh MT for Bosch School"/>
          <w:rtl/>
          <w:lang w:val="en-US"/>
        </w:rPr>
        <w:t>، ك</w:t>
      </w:r>
      <w:r w:rsidRPr="0069712F">
        <w:rPr>
          <w:rFonts w:ascii="Naskh MT for Bosch School" w:hAnsi="Naskh MT for Bosch School" w:cs="Naskh MT for Bosch School"/>
          <w:rtl/>
        </w:rPr>
        <w:t>ما أكّدنا في رسالتنا إلى مؤتمركم عام 2021.</w:t>
      </w:r>
    </w:p>
    <w:p w14:paraId="0A9A47FA"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Pr>
      </w:pPr>
      <w:r w:rsidRPr="0069712F">
        <w:rPr>
          <w:rFonts w:ascii="Naskh MT for Bosch School" w:hAnsi="Naskh MT for Bosch School" w:cs="Naskh MT for Bosch School"/>
          <w:rtl/>
        </w:rPr>
        <w:t>إنّ المَعْلَم الثّالث مقياسٌ لرحلةٍ باتت بداياتها مفهومة بوضوح.  فعندما تجتاز المجموعات الجغرافيّة هذا المَعْلَم وتُستحكم فيها دعائم التّقدّم، فإنّها تشترك فيما بينها</w:t>
      </w:r>
      <w:r w:rsidRPr="0069712F" w:rsidDel="006B6A91">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بملامح مهمّة.  برامج المعهد تتلقّى دعمًا من مجموعة كبيرة نسبيًّا ومتنامية من الموارد البشريّة.  ويُبذل جهدٌ دؤوب لتمكين المزيد من الأحياء والقرى من استدامة النّشاط المكثّف.  وثمّة قدرة على احتضان أعداد غفيرة وإدارة التّعقيد المتنامي من خلال ترتيبات رسميّة وغير رسميّ</w:t>
      </w:r>
      <w:r w:rsidRPr="0069712F">
        <w:rPr>
          <w:rFonts w:ascii="Naskh MT for Bosch School" w:eastAsiaTheme="minorEastAsia" w:hAnsi="Naskh MT for Bosch School" w:cs="Naskh MT for Bosch School"/>
          <w:rtl/>
        </w:rPr>
        <w:t xml:space="preserve">ة على حدٍّ سواء.  </w:t>
      </w:r>
      <w:r w:rsidRPr="0069712F">
        <w:rPr>
          <w:rFonts w:ascii="Naskh MT for Bosch School" w:hAnsi="Naskh MT for Bosch School" w:cs="Naskh MT for Bosch School"/>
          <w:rtl/>
        </w:rPr>
        <w:t>ومن</w:t>
      </w:r>
      <w:r w:rsidRPr="0069712F" w:rsidDel="00DB6721">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 xml:space="preserve">المهمّ للغاية في هذه المجموعات الجغرافيّة، أن يولى اهتمامٌ دؤوب بالحفاظ على دورات نشاطٍ فعّالة، بحيث يسود إيقاعٌ منتظم من الدّراسة والمشورة والعمل والمراجعة والتّقييم، لتعزِّز الجامعة من خلاله قدرتها على النّموّ وعلى الإسهام في تقدّم المجتمع الّذي تنتمي إليه.  تتضمّن هذه الدّورات فترات تتميّز بالتّكثيف، تُضخّ فيها دفقةٌ من الطّاقة </w:t>
      </w:r>
      <w:r w:rsidRPr="0069712F" w:rsidDel="001D2B37">
        <w:rPr>
          <w:rFonts w:ascii="Naskh MT for Bosch School" w:hAnsi="Naskh MT for Bosch School" w:cs="Naskh MT for Bosch School"/>
          <w:rtl/>
        </w:rPr>
        <w:t xml:space="preserve">تدفع </w:t>
      </w:r>
      <w:r w:rsidRPr="0069712F">
        <w:rPr>
          <w:rFonts w:ascii="Naskh MT for Bosch School" w:hAnsi="Naskh MT for Bosch School" w:cs="Naskh MT for Bosch School"/>
          <w:rtl/>
        </w:rPr>
        <w:t>إلى انخراط ومشاركة أوسع دائرة ممكنة من الأصدقاء.  وتقام مساعي الجامعة مثل المهرجانات العائليّة، ومخيّمات الشّباب النّاشئ، ومشاريع الخدمة، والأنشطة الفنّيّة، ومبادرات التّبليغ الجماعيّة وفق إيقاعاتها الخاصّة.  وفضاءات المراجعة والتّقييم ملتقىً يجمع عددًا كبيرًا من الأصدقاء، ويتمّ</w:t>
      </w:r>
      <w:r w:rsidRPr="0069712F" w:rsidDel="00BE2207">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استخدامها بعناية وتمعّن —إذ ثمّة وعي بأنّ جودة وفائدة المراجعة والتّقييم إنّما تُقاس بما يُثمر عنه من عملٍ هادف.  ومن هذه المجموعات الجغرافيّة تتدفّق الموارد إلى المجموعات المحيطة لتُعين الأحبّاء هناك على إحراز تقدّمٍ متسارع.</w:t>
      </w:r>
    </w:p>
    <w:p w14:paraId="5BC7FA2A"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lang w:val="en-US"/>
        </w:rPr>
      </w:pPr>
      <w:r w:rsidRPr="0069712F">
        <w:rPr>
          <w:rFonts w:ascii="Naskh MT for Bosch School" w:hAnsi="Naskh MT for Bosch School" w:cs="Naskh MT for Bosch School"/>
          <w:rtl/>
        </w:rPr>
        <w:t>لقد لاحظنا باهتمامٍ بالغٍ كيف أخذت روحٌ جماعيّة تتجلّى على نحوٍ متزايد بين جميع المنخرطين في نمط النّشاط في المجموعات الجغرافيّة الّتي اجتازت المَعْلَم الثّالث، حتّى عندما لا تكون هذه الرّوح قويّة جدًّا في المجتمع الأوسع.  وغالبًا ما تتجلّى هذه الرّوح في إحساسٍ بالانتماء وشعورٍ بالمسعى المشترك وبالدّعم المتبادل, هذه وسواها من مظاهر</w:t>
      </w:r>
      <w:r w:rsidRPr="0069712F" w:rsidDel="00D10B1E">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 xml:space="preserve">التّقدّم على مستوى الثّقافة تغدو أكثر وضوحًا في مراكز النّشاط المكثّف في المجموعة الجغرافيّة—ليس فقط في </w:t>
      </w:r>
      <w:r w:rsidRPr="0069712F" w:rsidDel="00D10B1E">
        <w:rPr>
          <w:rFonts w:ascii="Naskh MT for Bosch School" w:hAnsi="Naskh MT for Bosch School" w:cs="Naskh MT for Bosch School"/>
          <w:rtl/>
        </w:rPr>
        <w:t>الأماكن ال</w:t>
      </w:r>
      <w:r w:rsidRPr="0069712F">
        <w:rPr>
          <w:rFonts w:ascii="Naskh MT for Bosch School" w:hAnsi="Naskh MT for Bosch School" w:cs="Naskh MT for Bosch School"/>
          <w:rtl/>
        </w:rPr>
        <w:t>ّ</w:t>
      </w:r>
      <w:r w:rsidRPr="0069712F" w:rsidDel="00D10B1E">
        <w:rPr>
          <w:rFonts w:ascii="Naskh MT for Bosch School" w:hAnsi="Naskh MT for Bosch School" w:cs="Naskh MT for Bosch School"/>
          <w:rtl/>
        </w:rPr>
        <w:t xml:space="preserve">تي يمكن </w:t>
      </w:r>
      <w:r w:rsidRPr="0069712F">
        <w:rPr>
          <w:rFonts w:ascii="Naskh MT for Bosch School" w:hAnsi="Naskh MT for Bosch School" w:cs="Naskh MT for Bosch School"/>
          <w:rtl/>
        </w:rPr>
        <w:t>قياس المشاركة فيها كنسبة كبيرة</w:t>
      </w:r>
      <w:r w:rsidRPr="0069712F">
        <w:rPr>
          <w:rFonts w:ascii="Naskh MT for Bosch School" w:hAnsi="Naskh MT for Bosch School" w:cs="Naskh MT for Bosch School"/>
          <w:lang w:val="en-US"/>
        </w:rPr>
        <w:t xml:space="preserve"> </w:t>
      </w:r>
      <w:r w:rsidRPr="0069712F">
        <w:rPr>
          <w:rFonts w:ascii="Naskh MT for Bosch School" w:hAnsi="Naskh MT for Bosch School" w:cs="Naskh MT for Bosch School"/>
          <w:rtl/>
        </w:rPr>
        <w:t>من السّكّان، بل وفي أيّ حيٍّ أو قريةٍ تستجذب برامج الجامعة وأنشطتها أعدادًا غفيرة.  وعلاوة على ذلك، هناك ثمّة ازدياد في ترتيباتٍ تعاونيّةٍ شتّى، والّتي تؤدّي دورًا جليلًا في بناء هويّة اجتماعيّة مشتركة وهدف جماعيّ موحّد أو إعادة تشكيلهما.  وتشمل هذه التّرتيبات مجموعات العائلات والأُسر الّتي أشرنا إليها في عام 2021، إلى جانب تجمّعاتٍ أخرى كالنّساء أو الشّباب، والمزارعين أو المربّين، والمحرّكين أو معلّمي صفوف الأطفال، وغالبًا ما يحيط بها شبكة داعمة من الأصدقاء.  تمضي مجموعاتٌ من هذا القبيل إلى تنظيم جهودها الخاصّة لتحسين جانبٍ من جوانب حياة الجامعة، وتسعى إلى توسيع دائرة المشاركة في تلك الجهود.  وبعبارةٍ أخرى، فهي تساهم في أن يغدو نموّ الجامعة وتطوّرها ذاتيّ الاستدامة</w:t>
      </w:r>
      <w:bookmarkStart w:id="1" w:name="_Hlk217662103"/>
      <w:r w:rsidRPr="0069712F">
        <w:rPr>
          <w:rFonts w:ascii="Naskh MT for Bosch School" w:hAnsi="Naskh MT for Bosch School" w:cs="Naskh MT for Bosch School"/>
          <w:rtl/>
        </w:rPr>
        <w:t>،</w:t>
      </w:r>
      <w:bookmarkEnd w:id="1"/>
      <w:r w:rsidRPr="0069712F">
        <w:rPr>
          <w:rFonts w:ascii="Naskh MT for Bosch School" w:hAnsi="Naskh MT for Bosch School" w:cs="Naskh MT for Bosch School"/>
          <w:rtl/>
        </w:rPr>
        <w:t xml:space="preserve"> وذلك دون الحاجة إلى استحداث طبقات جديدة من الهياكل الإداريّة.  وهذا أمر ذو شأن عظيم.  إنّه يدلّ على القدرة النّاشئة للجامعة على أن تكون نصيرًا بارزًا في الخطّة.  جامعة تُعوّل على الثّقة </w:t>
      </w:r>
      <w:r w:rsidRPr="0069712F">
        <w:rPr>
          <w:rFonts w:ascii="Naskh MT for Bosch School" w:hAnsi="Naskh MT for Bosch School" w:cs="Naskh MT for Bosch School"/>
          <w:rtl/>
        </w:rPr>
        <w:lastRenderedPageBreak/>
        <w:t>الكاملة والتّوجيه المُفعم بالمحبّة من جانب المؤسّسات، توجّه مسار تطوّرها الذّاتيّ بإبداعٍ وابتكار، وتستكشف سبل تطبيق المبادئ الكامنة في رسالة حضرة بهاء الله على القضايا الّتي تواجهها ضمن واقعها المباشر</w:t>
      </w:r>
      <w:r w:rsidRPr="0069712F">
        <w:rPr>
          <w:rFonts w:ascii="Naskh MT for Bosch School" w:hAnsi="Naskh MT for Bosch School" w:cs="Naskh MT for Bosch School"/>
          <w:lang w:val="en-US"/>
        </w:rPr>
        <w:t>.</w:t>
      </w:r>
    </w:p>
    <w:p w14:paraId="21D50DE1" w14:textId="12EE2084"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lang w:val="en-US"/>
        </w:rPr>
      </w:pPr>
      <w:r w:rsidRPr="0069712F">
        <w:rPr>
          <w:rFonts w:ascii="Naskh MT for Bosch School" w:hAnsi="Naskh MT for Bosch School" w:cs="Naskh MT for Bosch School"/>
          <w:rtl/>
        </w:rPr>
        <w:t>ليس من المستغرب أنّ المبادرات المجتمعيّة الّتي وصفناها في عام 2021 غالبًا ما تنبثق من ترتيبات التّعاون المشار إليها آنفًا.  وتمثّل مبادرات العمل الاجتماعيّ المتواضعة ولكن المستدامة هذه مجالًا من مجالات المسعى الّذي كان بطبيعته كامنًا في برنامج النّموّ منذ نشأته؛ فحتّى في أولى دورات المعهد التّدريبيّ تُبنى القدرة للقيام بأعمالٍ تسهم في إصلاح العالم ولإجراء أحاديث هادفة حول قضايا ذات أهمّيّة اجتماعيّة.  وخلال السّنوات الأربع الماضية، شهد عدد المبادرات المجتمعيّة المنبثقة عن أنشطة الخطّة ازديادًا ملحوظًا.  وقد نشأت بعضها أيضًا نتيجة ما لقيته من تشجيعٍ وتدريبٍ ومساندةٍ</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من منظّمات تعمل بهدي من التّعاليم البهائيّة.  ويرجّح أن تنشأ كلّ هذه المبادرات في الأماكن الّتي تقدّمت فيها عمليّة بناء الجامعة على نحوٍ ملحوظ، ونقدّر عاليًا ما قدّمتموه أنتم ومعاونوكم، فضلًا عمّا قدّمته</w:t>
      </w:r>
      <w:r w:rsidRPr="0069712F">
        <w:rPr>
          <w:rFonts w:ascii="Naskh MT for Bosch School" w:hAnsi="Naskh MT for Bosch School" w:cs="Naskh MT for Bosch School"/>
          <w:rtl/>
          <w:lang w:val="en-US"/>
        </w:rPr>
        <w:t xml:space="preserve"> المحافل الرّوحانيّة المحلّيّة</w:t>
      </w:r>
      <w:r w:rsidRPr="0069712F">
        <w:rPr>
          <w:rFonts w:ascii="Naskh MT for Bosch School" w:hAnsi="Naskh MT for Bosch School" w:cs="Naskh MT for Bosch School"/>
          <w:rtl/>
        </w:rPr>
        <w:t>، من دعمٍ لهذه المبادرات</w:t>
      </w:r>
      <w:r w:rsidRPr="0069712F">
        <w:rPr>
          <w:rFonts w:ascii="Naskh MT for Bosch School" w:hAnsi="Naskh MT for Bosch School" w:cs="Naskh MT for Bosch School"/>
          <w:rtl/>
          <w:lang w:val="en-US"/>
        </w:rPr>
        <w:t xml:space="preserve">.  وتضطلع </w:t>
      </w:r>
      <w:r w:rsidRPr="0069712F">
        <w:rPr>
          <w:rFonts w:ascii="Naskh MT for Bosch School" w:hAnsi="Naskh MT for Bosch School" w:cs="Naskh MT for Bosch School"/>
          <w:rtl/>
        </w:rPr>
        <w:t>المنظّمة البهائيّة العالميّة للتّنمية</w:t>
      </w:r>
      <w:r w:rsidRPr="0069712F">
        <w:rPr>
          <w:rFonts w:ascii="Naskh MT for Bosch School" w:hAnsi="Naskh MT for Bosch School" w:cs="Naskh MT for Bosch School"/>
          <w:rtl/>
          <w:lang w:val="en-US"/>
        </w:rPr>
        <w:t xml:space="preserve"> على نحوٍ نشطٍ باستكشاف الظّروف الكفيلة بظهور هذه المبادرات </w:t>
      </w:r>
      <w:r w:rsidRPr="0069712F">
        <w:rPr>
          <w:rFonts w:ascii="Naskh MT for Bosch School" w:hAnsi="Naskh MT for Bosch School" w:cs="Naskh MT for Bosch School"/>
          <w:rtl/>
        </w:rPr>
        <w:t>وازدهارها في بيئاتٍ شتّى حول العالم، بما في ذلك كيف تتطوّر بعضها مع مرور الوقت</w:t>
      </w:r>
      <w:r w:rsidRPr="0069712F" w:rsidDel="006E6388">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لتغدو منظّماتٍ</w:t>
      </w:r>
      <w:r w:rsidRPr="0069712F">
        <w:rPr>
          <w:rFonts w:ascii="Naskh MT for Bosch School" w:hAnsi="Naskh MT for Bosch School" w:cs="Naskh MT for Bosch School"/>
          <w:rtl/>
          <w:lang w:val="en-US"/>
        </w:rPr>
        <w:t xml:space="preserve"> مجتمعيّة.</w:t>
      </w:r>
    </w:p>
    <w:p w14:paraId="05822471" w14:textId="51618C8A"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وفي صميمِ تقدّمِ أيِّ جامعةٍ بطبيعة الحال تكمن عمليّة المعهد.  وما دامت القدرة على العمل مع أعدادٍ غفيرة في مجموعةٍ جغرافيّةٍ لا تزال قيد البناء، فمن الطبيعيّ أن تنصبّ جهود المعهد، على نحوٍ يكاد يكون حصريًّا، على إعداد الموارد البشريّة القادرة على الاضطلاع بأعمال خدمة محدّدة.  غير أنّه مع مرور الزّمن، وبعد اجتياز المَعْلَم الثّالث وتنامي قوّة مراكز النّشاط المكثّف،</w:t>
      </w:r>
      <w:r w:rsidRPr="0069712F" w:rsidDel="005F6B96">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يكرّس المعهد أيضًا المزيد من الاهتمام الجادّ لتقديم برامجه على نحوٍ منهجيّ وفعّال، من مرحلة الطّفولة حتّى سنِّ الرّشد، ونشر هذه البرامج في سائر أنحاء المجموعة الجغرافيّة</w:t>
      </w:r>
      <w:r w:rsidRPr="0069712F">
        <w:rPr>
          <w:rFonts w:ascii="Naskh MT for Bosch School" w:hAnsi="Naskh MT for Bosch School" w:cs="Naskh MT for Bosch School"/>
          <w:rtl/>
          <w:lang w:val="en-US"/>
        </w:rPr>
        <w:t>.  فيبدأ بتقديم صفوف الأطفال لتشمل جميع المراحل الدّراسيّة</w:t>
      </w:r>
      <w:r w:rsidRPr="0069712F">
        <w:rPr>
          <w:rFonts w:ascii="Naskh MT for Bosch School" w:hAnsi="Naskh MT for Bosch School" w:cs="Naskh MT for Bosch School"/>
          <w:rtl/>
        </w:rPr>
        <w:t>، ويزداد عدد الكتب الّتي تدرسها مجموعات الشّباب النّاشئ، وتُستدام  المشاركة في كلا البرنامجيْن عامًا بعد عام، الأمر الّذي يُكسب</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هذه المساعي قدرًا أعلى من التّنظيم.  وغالبًا ما تستند هذه الإنجازات إلى الخدمات الّتي يقدّمها فوج متنامٍ من الشّباب</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وتتعزّز جهود المعهد تدريجيًّا بمساعٍ تربويّةٍ إضافيّةٍ ترمي إلى تنمية السّكّان، من قبيل برامج تستند إلى مواد</w:t>
      </w:r>
      <w:r w:rsidRPr="0069712F">
        <w:rPr>
          <w:rFonts w:ascii="Naskh MT for Bosch School" w:hAnsi="Naskh MT for Bosch School" w:cs="Naskh MT for Bosch School"/>
          <w:rtl/>
          <w:lang w:val="en-US"/>
        </w:rPr>
        <w:t xml:space="preserve"> مستوحاة من التّعاليم البهائيّة</w:t>
      </w:r>
      <w:r w:rsidRPr="0069712F">
        <w:rPr>
          <w:rFonts w:ascii="Naskh MT for Bosch School" w:hAnsi="Naskh MT for Bosch School" w:cs="Naskh MT for Bosch School"/>
          <w:rtl/>
        </w:rPr>
        <w:t>، فضلًا عن الدّورات المتاحة في المجتمع الأوسع، أو حتّى مدرسةٍ مجتمعيّة في بعض الأماكن.  وقد عبّرنا في رسالتنا المؤرّخة في 30 كانون الأوّل/ديسمبر 2021 عن أملنا في إيلاء الاهتمام بمساعدة الشّباب للوصول إلى الفرص التّعليميّة، ويسرّنا أن نرى هذا الاحتياج يُلبّى بطرائقَ شتّى، من بينها دروس التّقوية بعد الدّوامِ المدرسيّ ومساعدة الشّباب الرّاغبين في الالتحاق بالتّعليمِ العالي.  ومع تبلور مسارٍ تعليميٍّ واسع، تشعر الجامعة بمسؤوليّةٍ أعظم لتحفيز وتشجيعِ كلِّ فردٍ من أفرادها، ولا سيّما الشّباب، على المضيّ قُدُمًا فيه سعيًا إلى النّماء روحانيًّا وفكريًّا.</w:t>
      </w:r>
    </w:p>
    <w:p w14:paraId="6CBCC343"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لقد لاحظنا المنافع الّتي تترتّب على تعزيز الوعي في المجتمع الأوسع بالقيمة التّربويّة لبرامج المعهد</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 xml:space="preserve">وقد اقتضى ذلك بذل جهودٍ حثيثة للتّواصل مع أولياء أمور الأطفال والشّباب النّاشئ وذويهم، وكذلك مع المسؤولين </w:t>
      </w:r>
      <w:r w:rsidRPr="0069712F">
        <w:rPr>
          <w:rFonts w:ascii="Naskh MT for Bosch School" w:hAnsi="Naskh MT for Bosch School" w:cs="Naskh MT for Bosch School"/>
          <w:rtl/>
        </w:rPr>
        <w:lastRenderedPageBreak/>
        <w:t>وكبار المربّين الّذين يتفاعل معهم البهائيّون</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إنّ هذه الجهود تُسهم في اتّساع نطاق الدّعم الّذي تحظى به أنشطة المعهد من المجتمع الأوسع، بما في ذلك ما تُبديه المؤسّسات والوكالات العامّة، فضلًا عن الزّعماء التّقليديّين</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ليس من غير المعتاد في المجموعات الجغرافيّة الّتي بلغت فيها مساعي الجامعة البهائيّة مستوى مرموقًا من الشّهرة والاحترام، أن يتواصل أصحاب القرار في الهيئات الحكوميّة المحلّيّة، والخدمات العامّة، وقطاعات المجتمع المدنيّ طلبًا للرّأي والتّعاون</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ويظلّ الأحبّاء والمحافل الرّوحانيّة المحلّيّة الّتي تمثّلهم منفتحين على العمل جنبًا إلى جنب مع مؤسّسات المجتمع ويرحّبون بمثل هذا التّواصل، مع البقاء يقظين لتجنّب التّورط في السّياسة.  وقد شهدنا أحيانًا كيف تتّسع علاقة الأحبّاء بأجهزة الإدارة المحلّيّة فتتجاوز حدود التّعاون لتشمل شعورًا بالرّسالة المشتركة، موجّهًا نحو النّهوض بالمجتمع—شعبٌ يسير كنفسٍ واحدة.  وفي أماكنَ يتزايد عددها، بات عموم السّكّان ينظرون إلى المحفل الرّوحانيّ المحلّيّ باعتباره محفلهم هم أيضًا، ويشاهدون النّور الّذي يشعّ منه</w:t>
      </w:r>
      <w:r w:rsidRPr="0069712F">
        <w:rPr>
          <w:rFonts w:ascii="Naskh MT for Bosch School" w:hAnsi="Naskh MT for Bosch School" w:cs="Naskh MT for Bosch School"/>
          <w:lang w:val="en-US"/>
        </w:rPr>
        <w:t>.</w:t>
      </w:r>
    </w:p>
    <w:p w14:paraId="209BD4BB" w14:textId="4F852BCF"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في عام 2021 سلّطنا الضّوء على الإمكانيّات الّتي يمكن تحقيقها حين تبلغ الأنشطة انتشارًا شائعًا في مكان ما، ورغم أنّ عدد الأماكن الّتي شهدت هذا التّحوّل لا يزال محدودًا نسبيًّا، إلّا أنّ هذه الظّاهرة آخذة في التّنامي باطّراد.  هذه أماكن محدّدة ضمن مجموعة جغرافيّة تتجلّى فيها قوّة بناء المجتمع الكامنة في الأمر المبارك بأوضح صورها.  هنا تصبح طريقة عمل الخطّة</w:t>
      </w:r>
      <w:r w:rsidRPr="0069712F" w:rsidDel="003554B5">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جزءًا لا يتجزّأ من تفاصيل الحياة اليوميّة للشّعب على نحوٍ يتعذّر قياسه أو وصفه في مجمله.  وفي سياق جهودهم ومداولاتهم الجماعيّة، ينشغل الأحبّاء في هذه الأماكن، على نحوٍ متزايد، بتهيئة فضاءاتٍ يُتاح فيها للنّاس التّشاور وتبادل المعارف المستمدّة من العلم والدّين، واستكشاف سبل تطبيق تلك المعارف في مجالات تنمية الأسرة، والتّعليم، والنّشاط الاقتصاديّ، والصّحّة العامّة، وسائر العمليّات الأساسيّة للحياة المجتمعيّة، فيبعثون</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فيها روحًا جديدة.  ونظرًا للتّداعيات بعيدة المدى لما يحدث، لم يعد مصطلح ”برنامج النّموّ“ يفي تمامًا بحقّ هذه التّطوّرات.  فبينما قد لا تزال وتيرة النّموّ في بعض أنحاء المجموعة الجغرافيّة في مراحلها الأولى، فإنّ ما نشهده هنا، حيث يبلغ مستوى المشاركة في الأنشطة البهائيّة حدًّا بالغ الارتفاع، هو بروز واقع جديد مع تطوّر علاقة الجامعة البهائيّة بالمجتمع</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إنّ آفاقًا مشرقةً تلوح</w:t>
      </w:r>
      <w:r w:rsidRPr="0069712F">
        <w:rPr>
          <w:rFonts w:ascii="Naskh MT for Bosch School" w:hAnsi="Naskh MT for Bosch School" w:cs="Naskh MT for Bosch School"/>
          <w:rtl/>
          <w:lang w:val="en-US"/>
        </w:rPr>
        <w:t xml:space="preserve"> في الأفق.  </w:t>
      </w:r>
    </w:p>
    <w:p w14:paraId="153CD949" w14:textId="77777777" w:rsidR="001E08C0" w:rsidRPr="0069712F" w:rsidRDefault="001E08C0" w:rsidP="0069712F">
      <w:pPr>
        <w:pStyle w:val="BWCBodyText"/>
        <w:bidi/>
        <w:spacing w:before="240" w:after="240" w:line="259" w:lineRule="auto"/>
        <w:ind w:firstLine="578"/>
        <w:jc w:val="center"/>
        <w:rPr>
          <w:rFonts w:ascii="Naskh MT for Bosch School" w:hAnsi="Naskh MT for Bosch School" w:cs="Naskh MT for Bosch School"/>
          <w:rtl/>
          <w:lang w:val="en-US"/>
        </w:rPr>
      </w:pPr>
      <w:r w:rsidRPr="0069712F">
        <w:rPr>
          <w:rFonts w:ascii="Naskh MT for Bosch School" w:hAnsi="Naskh MT for Bosch School" w:cs="Naskh MT for Bosch School"/>
          <w:rtl/>
          <w:lang w:val="en-US"/>
        </w:rPr>
        <w:t>*</w:t>
      </w:r>
    </w:p>
    <w:p w14:paraId="5A6886B5"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rPr>
      </w:pPr>
      <w:r w:rsidRPr="0069712F">
        <w:rPr>
          <w:rFonts w:ascii="Naskh MT for Bosch School" w:hAnsi="Naskh MT for Bosch School" w:cs="Naskh MT for Bosch School"/>
          <w:rtl/>
          <w:lang w:val="en-US"/>
        </w:rPr>
        <w:t>في البيئة الطّبيعيّة، تَخلق التّآلفات والعلاقات حيويّةً وتبعث حياةً جديدة.  وبالمثل، تنبثق عمليّة تعلّم مزدهرة من تفاعلاتٍ رسميّة وغير رسميّة لا حصر لها</w:t>
      </w:r>
      <w:r w:rsidRPr="0069712F" w:rsidDel="006F0E22">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lang w:val="en-US"/>
        </w:rPr>
        <w:t xml:space="preserve">وما ينشأ عنها من خصائص ناشئة.  وتتّسم هذه العمليّة بتبادل متواصل وسلس للبصائر والخبرات والأفكار بين الأصدقاء العاملين في مستوى القاعدة.  غير أنّ الأمر لا يقف عند هذا الحدّ، بل يمتدّ إلى المستوييْن الإقليميّ والمركزيّ وأبعد من ذلك، حيث يُعزّز التّعلّم في كلّ مستوى من خلال مناقشات حيويّة تدور في فضاءات أُعدّت لمراجعة العمل وتقييمه.  وتستند هذه المشاورات إلى الدّروس المستقاة من مساعي الجامعة البهائيّة في جميع أنحاء العالم ضمن إطار الخطّة، وإلى الاستنتاجات المُستخلصة من تحليل الأنماط الآخذة في التّبلور محلّيًّا.  وبالطّبع تتشكّل هذه المناقشات أيضًا بتأثير المؤسّسات والوكالات الّتي تخدم </w:t>
      </w:r>
      <w:r w:rsidRPr="0069712F">
        <w:rPr>
          <w:rFonts w:ascii="Naskh MT for Bosch School" w:hAnsi="Naskh MT for Bosch School" w:cs="Naskh MT for Bosch School"/>
          <w:rtl/>
          <w:lang w:val="en-US"/>
        </w:rPr>
        <w:lastRenderedPageBreak/>
        <w:t xml:space="preserve">في مختلف المستويات.  فبينما يتعيّن على الأفراد والجامعات والمؤسّسات جميعًا أن يساهموا، إلا أنّ مؤسسات الأمر المبارك </w:t>
      </w:r>
      <w:r w:rsidRPr="0069712F" w:rsidDel="00E227B3">
        <w:rPr>
          <w:rFonts w:ascii="Naskh MT for Bosch School" w:hAnsi="Naskh MT for Bosch School" w:cs="Naskh MT for Bosch School"/>
          <w:rtl/>
          <w:lang w:val="en-US"/>
        </w:rPr>
        <w:t xml:space="preserve">هي </w:t>
      </w:r>
      <w:r w:rsidRPr="0069712F">
        <w:rPr>
          <w:rFonts w:ascii="Naskh MT for Bosch School" w:hAnsi="Naskh MT for Bosch School" w:cs="Naskh MT for Bosch School"/>
          <w:rtl/>
          <w:lang w:val="en-US"/>
        </w:rPr>
        <w:t xml:space="preserve">الّتي أُنيطت بها مهمّة رعاية هذا النّظام البيئيّ للتّعلّم بأكمله.  </w:t>
      </w:r>
      <w:r w:rsidRPr="0069712F">
        <w:rPr>
          <w:rFonts w:ascii="Naskh MT for Bosch School" w:hAnsi="Naskh MT for Bosch School" w:cs="Naskh MT for Bosch School"/>
          <w:rtl/>
        </w:rPr>
        <w:t xml:space="preserve">ومن المتطلّبات الأساسيّة في هذا الصّدد، ضمان وجود ترتيبات كافية، مؤسّسيّة كانت أم أقلّ رسميّة، تكفل ازدهاره، وأن يرتبط جميع المشاركين في عمليّة التّعلّم بروابط محبّة مشبعة بروح التّواضع والسّماحة.  </w:t>
      </w:r>
    </w:p>
    <w:p w14:paraId="7704A8A4" w14:textId="51F5FC59"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rPr>
      </w:pPr>
      <w:r w:rsidRPr="0069712F">
        <w:rPr>
          <w:rFonts w:ascii="Naskh MT for Bosch School" w:hAnsi="Naskh MT for Bosch School" w:cs="Naskh MT for Bosch School"/>
          <w:rtl/>
        </w:rPr>
        <w:t>إنّ قدرة المؤسّسات والوكالات على تعزيز عمليّة التّعلّم ترتبط ارتباطًا وثيقًا بقدرتها على إدارة العمل بفعّاليّة وكفاءة</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ومع تزايد خطوط العمل المختلفة وتفاعلها في محلّ</w:t>
      </w:r>
      <w:r w:rsidRPr="0069712F" w:rsidDel="00BC6C63">
        <w:rPr>
          <w:rFonts w:ascii="Naskh MT for Bosch School" w:hAnsi="Naskh MT for Bosch School" w:cs="Naskh MT for Bosch School"/>
          <w:rtl/>
        </w:rPr>
        <w:t>ٍ</w:t>
      </w:r>
      <w:r w:rsidRPr="0069712F">
        <w:rPr>
          <w:rFonts w:ascii="Naskh MT for Bosch School" w:hAnsi="Naskh MT for Bosch School" w:cs="Naskh MT for Bosch School"/>
          <w:rtl/>
        </w:rPr>
        <w:t xml:space="preserve"> ما، تغدو المحافل الرّوحانيّة المحلّيّة أكثر قدرة على تلبية متطلّبات التّنسيق والتّخطيط</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وغالبًا ما تتقاسم المحافل هذه المسؤوليّة مع</w:t>
      </w:r>
      <w:r w:rsidRPr="0069712F">
        <w:rPr>
          <w:rFonts w:ascii="Naskh MT for Bosch School" w:hAnsi="Naskh MT for Bosch School" w:cs="Naskh MT for Bosch School"/>
          <w:rtl/>
          <w:lang w:val="en-US"/>
        </w:rPr>
        <w:t xml:space="preserve"> وكالات </w:t>
      </w:r>
      <w:r w:rsidRPr="0069712F">
        <w:rPr>
          <w:rFonts w:ascii="Naskh MT for Bosch School" w:hAnsi="Naskh MT for Bosch School" w:cs="Naskh MT for Bosch School"/>
          <w:rtl/>
        </w:rPr>
        <w:t>المجموعة الجغرافيّة، فيعملون معًا على ضمان توجيه النّصح والموارد والتّشجيع إلى حيث تمسّ الحاجة وأنّ عمليّة التّعلّم مستمرّة في التّقدّم</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وتحرص وكالات المجموعة الجغرافيّة على وجه الخصوص أن تعمّ الدّروس المُستخلصة من التّجارب في محلٍّ ما، أو حتّى في جزءٍ صغيرٍ منها، فتعود بالنّفع على سائر أنحاء المجموعة الجغرافيّة</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 xml:space="preserve">وفي الوقت ذاته، تنعكس </w:t>
      </w:r>
      <w:r w:rsidRPr="0069712F" w:rsidDel="007A4FF5">
        <w:rPr>
          <w:rFonts w:ascii="Naskh MT for Bosch School" w:hAnsi="Naskh MT for Bosch School" w:cs="Naskh MT for Bosch School"/>
          <w:rtl/>
        </w:rPr>
        <w:t>المقاربة</w:t>
      </w:r>
      <w:r w:rsidRPr="0069712F">
        <w:rPr>
          <w:rFonts w:ascii="Naskh MT for Bosch School" w:hAnsi="Naskh MT for Bosch School" w:cs="Naskh MT for Bosch School"/>
          <w:rtl/>
        </w:rPr>
        <w:t xml:space="preserve"> المتّبعة في تبادل المعرفة والبصائر داخل المجموعة الجغرافيّة على </w:t>
      </w:r>
      <w:r w:rsidRPr="0069712F" w:rsidDel="007A4FF5">
        <w:rPr>
          <w:rFonts w:ascii="Naskh MT for Bosch School" w:hAnsi="Naskh MT for Bosch School" w:cs="Naskh MT for Bosch School"/>
          <w:rtl/>
        </w:rPr>
        <w:t>تلك</w:t>
      </w:r>
      <w:r w:rsidRPr="0069712F">
        <w:rPr>
          <w:rFonts w:ascii="Naskh MT for Bosch School" w:hAnsi="Naskh MT for Bosch School" w:cs="Naskh MT for Bosch School"/>
          <w:rtl/>
        </w:rPr>
        <w:t xml:space="preserve"> المتّبعة في تبادل المعرفة والبصائر بين المجموعات الجغرافيّة.  وقد أضحى توفير الدّعم السّريع وتبادل الخبرات أمرًا ميسورًا بفضل تطوير ترتيبات فعّالة بين مجموعات جغرافيّة متجاورة</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ومع تأسيس المجالس البهائيّة الإقليميّة أو لجنة النّموّ المركزيّة الآن في كلّ بلد، باتت الوسائل المؤسّسيّة متوافرةً في كلّ مكان لدعم تقدّم عمليّة النّموّ على نحوٍ منهجيّ</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وعلى الصّعيد المركزيّ، وحين تقتضي وفرة الأحداث الجارية ذلك، استحدثت المحافل الرّوحانيّة المركزيّة هياكل وفضاءات معيّنة تساعدها على مواكبة ما يتمّ تعلّمه</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 xml:space="preserve">ومن البديهيّ ألا تُستحدث </w:t>
      </w:r>
      <w:r w:rsidRPr="0069712F" w:rsidDel="00F5476C">
        <w:rPr>
          <w:rFonts w:ascii="Naskh MT for Bosch School" w:hAnsi="Naskh MT for Bosch School" w:cs="Naskh MT for Bosch School"/>
          <w:rtl/>
        </w:rPr>
        <w:t xml:space="preserve">ترتيبات </w:t>
      </w:r>
      <w:r w:rsidRPr="0069712F">
        <w:rPr>
          <w:rFonts w:ascii="Naskh MT for Bosch School" w:hAnsi="Naskh MT for Bosch School" w:cs="Naskh MT for Bosch School"/>
          <w:rtl/>
        </w:rPr>
        <w:t>وهياكل</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جديدة إلّا إذا اقتضت متطلّبات النّموّ ذلك.  ومع هذا فإنّنا نعوّل عليكم وعلى معاونيكم أن تكونوا على دراية</w:t>
      </w:r>
      <w:r w:rsidRPr="0069712F" w:rsidDel="00F5476C">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بموعد تطوّر التّرتيبات</w:t>
      </w:r>
      <w:r w:rsidRPr="0069712F" w:rsidDel="00F5476C">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القائمة على أيّ مستوى من مستويات الجامعة لتلبية متطلّبات النّموّ، ثمّ لتشجّعوا في تفاعلاتكم مع المؤسّسات المعنيّة نشوء ترتيبات جديدة</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بالشّكل الملائم.</w:t>
      </w:r>
    </w:p>
    <w:p w14:paraId="08C68215" w14:textId="60632D6A"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ولقد لاحظنا أيضًا كيف أنّ التّرتيبات الإداريّة الّتي تدعم عمل المعهد التّدريبيّ آخذة في التّطوّر على نحوٍ يُسهم في رعاية عمليّة تعلّمٍ حول الانتشار السّريع لبرامج المعهد وتقديمها بالمستوى المنشود من الجودة.  ففي المراحل الأولى، تكون هذه التّرتيبات بسيطةً للغاية، غير أنّه مع تزايد أعداد القائمين على الخدمة في المجموعة الجغرافيّة، من مرشدين ومحرّكين ومعلّمي صفوف الأطفال، تشتدّ الحاجة إلى انخراطهم على نحوٍ هادف في عمليّة تعلّم جماعيّة.  ومن الأهمّيّة بمكان أن يتمكّنوا من الحفاظ على حوارٍ متواصل فيما بينهم، وأن يراجعوا العمل ويقيّموه معًا ضمن مجموعات، وأن يساند بعضهم بعضًا في ميدان العمل</w:t>
      </w:r>
      <w:r w:rsidRPr="0069712F">
        <w:rPr>
          <w:rFonts w:ascii="Naskh MT for Bosch School" w:hAnsi="Naskh MT for Bosch School" w:cs="Naskh MT for Bosch School"/>
          <w:rtl/>
          <w:lang w:val="en-US"/>
        </w:rPr>
        <w:t>.  و</w:t>
      </w:r>
      <w:r w:rsidRPr="0069712F">
        <w:rPr>
          <w:rFonts w:ascii="Naskh MT for Bosch School" w:hAnsi="Naskh MT for Bosch School" w:cs="Naskh MT for Bosch School"/>
          <w:rtl/>
        </w:rPr>
        <w:t>تتطوّر هذه الأنماط من التّفاعل على نحوٍ أيسر حين يحظى المشاركون</w:t>
      </w:r>
      <w:r w:rsidRPr="0069712F" w:rsidDel="00D027E6">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بمرافقة فعّالة من المنسّقين والمتعاونين الّذين يواكبونهم في مساعيهم.  وبالطّب</w:t>
      </w:r>
      <w:r w:rsidR="00A02EF3" w:rsidRPr="0069712F">
        <w:rPr>
          <w:rFonts w:ascii="Naskh MT for Bosch School" w:hAnsi="Naskh MT for Bosch School" w:cs="Naskh MT for Bosch School"/>
          <w:rtl/>
        </w:rPr>
        <w:t>ع</w:t>
      </w:r>
      <w:r w:rsidRPr="0069712F">
        <w:rPr>
          <w:rFonts w:ascii="Naskh MT for Bosch School" w:hAnsi="Naskh MT for Bosch School" w:cs="Naskh MT for Bosch School"/>
          <w:rtl/>
        </w:rPr>
        <w:t xml:space="preserve"> تبرز الحاجة أيضًا إلى إيجاد منسّقين في كلّ مجموعة جغرافيّة وإلى مساعدتهم على تنمية قدراتهم مع مرور الزّمن، وهذه مسؤوليّة تقع في الغالب على عاتق منسّقي المعهد الإقليميّ أو المركزيّ الّذين تتعزّز مساعيهم شيئًا فشيئًا </w:t>
      </w:r>
      <w:r w:rsidRPr="0069712F">
        <w:rPr>
          <w:rFonts w:ascii="Naskh MT for Bosch School" w:hAnsi="Naskh MT for Bosch School" w:cs="Naskh MT for Bosch School"/>
          <w:rtl/>
        </w:rPr>
        <w:lastRenderedPageBreak/>
        <w:t>بانضمام فرق من الأصدقاء لكلّ برنامجٍ تعليميّ.  وخلال السّنوات الأربع الماضية بذلت هذه الفرق جهودًا كبيرة في مؤازرة المنسّقين الإقليميّين والمركزيّين لتنظيم ندوات تتناول محتوى البرامج بعمق، ممّا أتاح تقديم موادّ المعهد إلى أعدادٍ متزايدة من المشاركين بقدرٍ أعظم من الإبداع والمرونة والقدرة على التّكيّف دون المساس بجوهر العناصر الأساسيّة للبرنامج</w:t>
      </w:r>
      <w:r w:rsidRPr="0069712F">
        <w:rPr>
          <w:rFonts w:ascii="Naskh MT for Bosch School" w:hAnsi="Naskh MT for Bosch School" w:cs="Naskh MT for Bosch School"/>
          <w:rtl/>
          <w:lang w:val="en-US"/>
        </w:rPr>
        <w:t>.</w:t>
      </w:r>
    </w:p>
    <w:p w14:paraId="427925B0" w14:textId="25EDCAEA"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وفي غضون ذلك،</w:t>
      </w:r>
      <w:r w:rsidRPr="0069712F" w:rsidDel="000C4142">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فإنّ</w:t>
      </w:r>
      <w:r w:rsidRPr="0069712F" w:rsidDel="000C4142">
        <w:rPr>
          <w:rFonts w:ascii="Naskh MT for Bosch School" w:hAnsi="Naskh MT for Bosch School" w:cs="Naskh MT for Bosch School"/>
          <w:rtl/>
        </w:rPr>
        <w:t xml:space="preserve"> الخبرات والبصائر </w:t>
      </w:r>
      <w:r w:rsidRPr="0069712F">
        <w:rPr>
          <w:rFonts w:ascii="Naskh MT for Bosch School" w:hAnsi="Naskh MT for Bosch School" w:cs="Naskh MT for Bosch School"/>
          <w:rtl/>
        </w:rPr>
        <w:t>النّاشئة عمّا يتعلّمه</w:t>
      </w:r>
      <w:r w:rsidRPr="0069712F" w:rsidDel="000C4142">
        <w:rPr>
          <w:rFonts w:ascii="Naskh MT for Bosch School" w:hAnsi="Naskh MT for Bosch School" w:cs="Naskh MT for Bosch School"/>
          <w:rtl/>
        </w:rPr>
        <w:t xml:space="preserve"> المعهد</w:t>
      </w:r>
      <w:r w:rsidRPr="0069712F">
        <w:rPr>
          <w:rFonts w:ascii="Naskh MT for Bosch School" w:hAnsi="Naskh MT for Bosch School" w:cs="Naskh MT for Bosch School"/>
          <w:rtl/>
        </w:rPr>
        <w:t xml:space="preserve"> يجري جمعها وتحليلها ومشاركتها.  ويستفيد هذا العمل استفادة كبيرة من اللّقاءات التّشاوريّة الّتي يعقدها المعهد دوريًّا، ويشارك فيها أعضاء هيئة المعاونين، وممثلو المجلس البهائيّ الإقليميّ أو لجنة النّموّ المركزيّة، والموارد البشريّة ذات الاختصاص من مواقع التّعلّم، فضلًا عن غيرهم من الأفراد الّذي غدت خبرتهم رصيدًا ثمينًا.  وتُسهم اجتماعات هذا الفريق التّعاونيّ في توثيق صلات المعهد بسائر المؤسّسات والوكالات بما يضمن تكشّف عمليّة تعلّم المعهد ضمن السّياق الأوسع للتّعلّم المتعلّق بعمليّة النّموّ</w:t>
      </w:r>
      <w:r w:rsidRPr="0069712F">
        <w:rPr>
          <w:rFonts w:ascii="Naskh MT for Bosch School" w:hAnsi="Naskh MT for Bosch School" w:cs="Naskh MT for Bosch School"/>
          <w:rtl/>
          <w:lang w:val="en-US"/>
        </w:rPr>
        <w:t xml:space="preserve"> برمّتها.  </w:t>
      </w:r>
      <w:r w:rsidRPr="0069712F">
        <w:rPr>
          <w:rFonts w:ascii="Naskh MT for Bosch School" w:hAnsi="Naskh MT for Bosch School" w:cs="Naskh MT for Bosch School"/>
          <w:rtl/>
        </w:rPr>
        <w:t>تعمل هيئة المعهد أيضًا على تعزيز سائر الجوانب الأخرى للمعهد، بما في ذلك قدرته الإداريّة، ليتمكّن من مواكبة نظامٍ متنامٍ من التّربية الرّوحانيّة يزداد تعقيدًا بشكلٍ تدريجيّ.  وقد جرى تنظيم معظم المعاهد الآن</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ضمن مجموعات لتيسير تدفّق الدّعم العمليّ وتبادل البصائر القيّمة؛ وقد ثبت أنّ تطوير</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 xml:space="preserve">شبكات المعاهد هذه يُعدّ استراتيجيّة مهمّة لدفع المعاهد إلى التّقدّم بوتيرةٍ </w:t>
      </w:r>
      <w:r w:rsidRPr="0069712F">
        <w:rPr>
          <w:rFonts w:ascii="Naskh MT for Bosch School" w:hAnsi="Naskh MT for Bosch School" w:cs="Naskh MT for Bosch School"/>
          <w:rtl/>
          <w:lang w:val="en-US"/>
        </w:rPr>
        <w:t>متسارعة.</w:t>
      </w:r>
    </w:p>
    <w:p w14:paraId="3CA7A468" w14:textId="77777777" w:rsidR="001E08C0" w:rsidRPr="0069712F" w:rsidRDefault="001E08C0" w:rsidP="0069712F">
      <w:pPr>
        <w:pStyle w:val="BWCBodyText"/>
        <w:bidi/>
        <w:spacing w:before="240" w:after="240" w:line="259" w:lineRule="auto"/>
        <w:ind w:firstLine="578"/>
        <w:jc w:val="center"/>
        <w:rPr>
          <w:rFonts w:ascii="Naskh MT for Bosch School" w:hAnsi="Naskh MT for Bosch School" w:cs="Naskh MT for Bosch School"/>
          <w:rtl/>
          <w:lang w:val="en-US"/>
        </w:rPr>
      </w:pPr>
      <w:r w:rsidRPr="0069712F">
        <w:rPr>
          <w:rFonts w:ascii="Naskh MT for Bosch School" w:hAnsi="Naskh MT for Bosch School" w:cs="Naskh MT for Bosch School"/>
          <w:rtl/>
          <w:lang w:val="en-US"/>
        </w:rPr>
        <w:t>*</w:t>
      </w:r>
    </w:p>
    <w:p w14:paraId="065B10F6" w14:textId="20052219"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لقد سرّنا دومًا أن نرى النّفوس المشتعلة, الّتي أشرنا إليها في رسالتنا إلى مؤتمركم لعام 2021، في مجموعة جغرافيّة إثر أخرى وبأعدادٍ متنامية تمضي قُدُمًا في تنفيذ الخطّة بروح من التّفاني والإخلاص، ولا سيّما بما تبديه من التزامٍ راسخ بعمليّة التّعلّم.  ويشكّل هذا أساسًا متينًا للتّقدّم الّذي يتعيّن إحرازه</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في المرحلة الثّانية من الخط</w:t>
      </w:r>
      <w:r w:rsidRPr="0069712F">
        <w:rPr>
          <w:rFonts w:ascii="Naskh MT for Bosch School" w:hAnsi="Naskh MT for Bosch School" w:cs="Naskh MT for Bosch School"/>
          <w:rtl/>
          <w:lang w:val="en-US"/>
        </w:rPr>
        <w:t>ّة.</w:t>
      </w:r>
    </w:p>
    <w:p w14:paraId="6EA66569" w14:textId="5C4ADE81"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Pr>
      </w:pPr>
      <w:r w:rsidRPr="0069712F">
        <w:rPr>
          <w:rFonts w:ascii="Naskh MT for Bosch School" w:hAnsi="Naskh MT for Bosch School" w:cs="Naskh MT for Bosch School"/>
          <w:rtl/>
        </w:rPr>
        <w:t>إنّ العمليّات الّتي تتكشّف ضمن الخطّة تُحدث،بلا ريبٍ، أثرًا عميقًا وتحوّلًا جوهريًّا في حياة الفرد.  وما نشهده هو أصدقاء متشوّقون يتعلّمون كيف يوفّقون مساعيهم على نحوٍ أوثق مع الإرادة الإلهيّة</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ومن خلال الانخراط في إطار العمل الّذي ترسمه الخطّة، يكتشف الأفراد سُبلًا لتحسين الحياة في شتّى جوانبها—لأنفسهم، ولأبنائهم، ولعائلتهم</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الأوسع، ولمجتمعهم</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إنّهم يمتازون بأعلى درجات الوعي الرّوحانيّ</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والّذي يُفضي إلى حياةٍ عامرة بالغاية والمعنى، حياة يكرّسونها لتنمية ما أودعه الله فيهم من قابليّات، ويجهدون للعمل من أجل إصلاح المجتمع.  إنّهم يدركون قيمةَ المعرفة في دفع عجلة التّقدّم، وملتزمون بتوليدها ويشاركونها بسخاءٍ وتواضع</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فالتّعلّم لديهم عادةُ فكرٍ و توجّهٌ في كلّ عمل.  في كلّ انسان ٍ يرون زميلًا ساعيًا إلى الحقيقة.  ويكرّسون أنفسهم كلّيًّا لتقدّم المجتمع</w:t>
      </w:r>
      <w:r w:rsidR="00501E5C" w:rsidRPr="0069712F">
        <w:rPr>
          <w:rFonts w:ascii="Naskh MT for Bosch School" w:hAnsi="Naskh MT for Bosch School" w:cs="Naskh MT for Bosch School"/>
          <w:rtl/>
        </w:rPr>
        <w:t xml:space="preserve"> </w:t>
      </w:r>
      <w:r w:rsidRPr="0069712F">
        <w:rPr>
          <w:rFonts w:ascii="Naskh MT for Bosch School" w:hAnsi="Naskh MT for Bosch School" w:cs="Naskh MT for Bosch School"/>
          <w:rtl/>
        </w:rPr>
        <w:t>روحيًّا وفكريًّا ومادّيًّا.  لا تزعزعهم صوارف الدّنيا المتواصلة عن مسارهم</w:t>
      </w:r>
      <w:r w:rsidRPr="0069712F">
        <w:rPr>
          <w:rFonts w:ascii="Naskh MT for Bosch School" w:hAnsi="Naskh MT for Bosch School" w:cs="Naskh MT for Bosch School"/>
          <w:rtl/>
          <w:lang w:val="en-US"/>
        </w:rPr>
        <w:t xml:space="preserve">.  </w:t>
      </w:r>
      <w:r w:rsidRPr="0069712F">
        <w:rPr>
          <w:rFonts w:ascii="Naskh MT for Bosch School" w:hAnsi="Naskh MT for Bosch School" w:cs="Naskh MT for Bosch School"/>
          <w:rtl/>
        </w:rPr>
        <w:t xml:space="preserve">يمضون ثابتين، صبورين ومثابرين، وقد عقدوا العزم على السّعي الدّؤوب طويل الأمد.  وفي صحبة جمع غفير من النّاس يشيّدون ملاذاتٍ للسّلام.  </w:t>
      </w:r>
    </w:p>
    <w:p w14:paraId="008D6842"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lang w:val="en-US"/>
        </w:rPr>
      </w:pPr>
      <w:r w:rsidRPr="0069712F">
        <w:rPr>
          <w:rFonts w:ascii="Naskh MT for Bosch School" w:hAnsi="Naskh MT for Bosch School" w:cs="Naskh MT for Bosch School"/>
          <w:rtl/>
        </w:rPr>
        <w:lastRenderedPageBreak/>
        <w:t>لقد تبيّن مرارًا وتكرارًا أنّه كلّما ازداد وعي الأفراد بأهمّيّة نمطٍ موسّعٍ من النّشاط في محيطهم، بادروا طواعيةً إلى تسخير أوقاتهم وطاقاتهم الإبداعيّة في سبيل تطويره وتعزيزه على نحوٍ أشمل.  وعلى وجه العموم، يساند المؤمنون جامعتهم أيضًا من خلال التّبرع للصّناديق الأمريّة</w:t>
      </w:r>
      <w:r w:rsidRPr="0069712F">
        <w:rPr>
          <w:rFonts w:ascii="Naskh MT for Bosch School" w:hAnsi="Naskh MT for Bosch School" w:cs="Naskh MT for Bosch School"/>
          <w:lang w:val="en-US"/>
        </w:rPr>
        <w:t xml:space="preserve"> </w:t>
      </w:r>
      <w:r w:rsidRPr="0069712F">
        <w:rPr>
          <w:rFonts w:ascii="Naskh MT for Bosch School" w:hAnsi="Naskh MT for Bosch School" w:cs="Naskh MT for Bosch School"/>
          <w:rtl/>
        </w:rPr>
        <w:t>وتقديم أنواعٍ أخرى من الموارد المادّيّة.  ومع أنّ جميع المؤمنين يقدّمون إسهاماتٍ من هذا القبيل، فإنّ هذا يُعدّ بالنّسبة للمؤمنين ذوي المقدرة المادّيّة، سبيلًا لتقدّم الخطّة هم مؤهّلون بشكلٍ خاصّ للإفادة منه.  وأيًّا كان الشّكل الّذي تتّخذه خدمةُ المرء فإنّها تنبع من التّفاعل الفريد بين احتياجات الأمر المبارك من ناحية، والإمكانيّات الّتي تتيحها ظروف كلّ فردٍ والتّضحيات الّتي يختار أن يقدّمها من ناحية أخرى.</w:t>
      </w:r>
    </w:p>
    <w:p w14:paraId="4BE549DF" w14:textId="77777777" w:rsidR="001E08C0"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rtl/>
        </w:rPr>
        <w:t>يقدّر المؤمنون بشكلٍ متزايد شرف تعريف نفسٍ على رسالة حضرة بهاء الله، بل وفوق ذلك مساعدة أولئك الّذين يقفون على أبواب الإيمان على الولوج إلى رحابه بكلّ محبّة.  وفي عام 2021</w:t>
      </w:r>
      <w:r w:rsidRPr="0069712F">
        <w:rPr>
          <w:rFonts w:ascii="Naskh MT for Bosch School" w:hAnsi="Naskh MT for Bosch School" w:cs="Naskh MT for Bosch School"/>
          <w:lang w:val="en-US"/>
        </w:rPr>
        <w:t xml:space="preserve"> </w:t>
      </w:r>
      <w:r w:rsidRPr="0069712F">
        <w:rPr>
          <w:rFonts w:ascii="Naskh MT for Bosch School" w:hAnsi="Naskh MT for Bosch School" w:cs="Naskh MT for Bosch School"/>
          <w:rtl/>
          <w:lang w:val="en-US"/>
        </w:rPr>
        <w:t>أشرنا</w:t>
      </w:r>
      <w:r w:rsidRPr="0069712F">
        <w:rPr>
          <w:rFonts w:ascii="Naskh MT for Bosch School" w:hAnsi="Naskh MT for Bosch School" w:cs="Naskh MT for Bosch School"/>
          <w:rtl/>
        </w:rPr>
        <w:t xml:space="preserve"> إلى هذه اللّحظة الّتي لا تقدّر بثمن في رحلة الإنسان الرّوحانيّة</w:t>
      </w:r>
      <w:r w:rsidRPr="0069712F">
        <w:rPr>
          <w:rFonts w:ascii="Naskh MT for Bosch School" w:hAnsi="Naskh MT for Bosch School" w:cs="Naskh MT for Bosch School"/>
          <w:rtl/>
          <w:lang w:val="en-US"/>
        </w:rPr>
        <w:t xml:space="preserve">.  لقد لاحظنا باهتمامٍ بالغ أنّه منذ ذلك الحين ركّز الأحبّاء في أماكن شتّى اهتمامهم على كيفيّة التّعرّف على اللّحظة الّتي تُفتح فيها مدائن القلوب، وعلى الأحاديث الّتي تفضي إلى هذه اللّحظة وتلك الّتي تليها.  ولا يزال هناك الكثير ممّا ينبغي تعلّمه في هذا الصّدد، سواء في ما يتعلّق بكيفيّة استشفاف الاستعداد في بيئات مختلفة وكيفيّة الإقرار حين يكون قد بلغ حدّ الإيمان.  </w:t>
      </w:r>
    </w:p>
    <w:p w14:paraId="1E11B122" w14:textId="77777777" w:rsidR="00DE455C" w:rsidRPr="0069712F" w:rsidRDefault="001E08C0" w:rsidP="0069712F">
      <w:pPr>
        <w:pStyle w:val="BWCBodyText"/>
        <w:bidi/>
        <w:spacing w:after="240" w:line="259" w:lineRule="auto"/>
        <w:ind w:firstLine="578"/>
        <w:jc w:val="both"/>
        <w:rPr>
          <w:rFonts w:ascii="Naskh MT for Bosch School" w:hAnsi="Naskh MT for Bosch School" w:cs="Naskh MT for Bosch School"/>
          <w:rtl/>
          <w:lang w:val="en-US"/>
        </w:rPr>
      </w:pPr>
      <w:r w:rsidRPr="0069712F">
        <w:rPr>
          <w:rFonts w:ascii="Naskh MT for Bosch School" w:hAnsi="Naskh MT for Bosch School" w:cs="Naskh MT for Bosch School"/>
          <w:lang w:val="en-US"/>
        </w:rPr>
        <w:t xml:space="preserve"> </w:t>
      </w:r>
      <w:r w:rsidRPr="0069712F">
        <w:rPr>
          <w:rFonts w:ascii="Naskh MT for Bosch School" w:hAnsi="Naskh MT for Bosch School" w:cs="Naskh MT for Bosch School"/>
          <w:rtl/>
          <w:lang w:val="en-US"/>
        </w:rPr>
        <w:t xml:space="preserve">عندما يتفكّر المرء في مسيرة حياته لا يجد بهجةً ولاراحةً أسمى من أن يدرك أنّها انقضت في وعي عميقٍ بالدّرياق الإلهيّ، وأنّه لم يألُ جهدًا في تقديم هذا الدّرياق للنّفوس المستعدّة، وأنّه في سنوات حياته العابرة المليئة بالفرص، وحتّى في غمرة الشّدائد والمحن، اغتنم كلّ سانحةٍ للاستجابة لحاجة البشريّة الملحّة.  نتضرّع إلى حضرة بهاء الله بحرارة الشّوق وصدق الابتهال كلّما تشرفنا بزيارة أعتابه </w:t>
      </w:r>
      <w:r w:rsidRPr="0069712F">
        <w:rPr>
          <w:rFonts w:ascii="Naskh MT for Bosch School" w:hAnsi="Naskh MT for Bosch School" w:cs="Naskh MT for Bosch School"/>
          <w:rtl/>
        </w:rPr>
        <w:t xml:space="preserve">راجين </w:t>
      </w:r>
      <w:r w:rsidRPr="0069712F">
        <w:rPr>
          <w:rFonts w:ascii="Naskh MT for Bosch School" w:hAnsi="Naskh MT for Bosch School" w:cs="Naskh MT for Bosch School"/>
          <w:rtl/>
          <w:lang w:val="en-US"/>
        </w:rPr>
        <w:t xml:space="preserve">أن يكلّل جهود الأحبّاء قاطبةً بالنّجاح والتّوفيق. </w:t>
      </w:r>
    </w:p>
    <w:p w14:paraId="30BA0DE8" w14:textId="7B80E27F" w:rsidR="001E08C0" w:rsidRPr="0069712F" w:rsidRDefault="0069712F" w:rsidP="0069712F">
      <w:pPr>
        <w:bidi/>
        <w:spacing w:after="240" w:line="259" w:lineRule="auto"/>
        <w:ind w:right="1560" w:firstLine="578"/>
        <w:jc w:val="right"/>
        <w:rPr>
          <w:rFonts w:ascii="Naskh MT for Bosch School" w:hAnsi="Naskh MT for Bosch School" w:cs="Naskh MT for Bosch School"/>
          <w:rtl/>
        </w:rPr>
      </w:pPr>
      <w:bookmarkStart w:id="2" w:name="_Hlk91351321"/>
      <w:r w:rsidRPr="0069712F">
        <w:rPr>
          <w:rFonts w:ascii="Naskh MT for Bosch School" w:hAnsi="Naskh MT for Bosch School" w:cs="Naskh MT for Bosch School"/>
          <w:rtl/>
        </w:rPr>
        <w:t xml:space="preserve"> </w:t>
      </w:r>
      <w:r w:rsidR="001E08C0" w:rsidRPr="0069712F">
        <w:rPr>
          <w:rFonts w:ascii="Naskh MT for Bosch School" w:hAnsi="Naskh MT for Bosch School" w:cs="Naskh MT for Bosch School"/>
          <w:rtl/>
        </w:rPr>
        <w:t>[التّوقيع:  بيت العدل الأعظم]</w:t>
      </w:r>
      <w:bookmarkEnd w:id="2"/>
    </w:p>
    <w:p w14:paraId="40CC7E12" w14:textId="77777777" w:rsidR="001E08C0" w:rsidRPr="0069712F" w:rsidRDefault="001E08C0" w:rsidP="0069712F">
      <w:pPr>
        <w:spacing w:after="240" w:line="259" w:lineRule="auto"/>
        <w:ind w:firstLine="578"/>
        <w:rPr>
          <w:rFonts w:ascii="Naskh MT for Bosch School" w:hAnsi="Naskh MT for Bosch School" w:cs="Naskh MT for Bosch School"/>
          <w:lang w:val="en-US"/>
        </w:rPr>
      </w:pPr>
    </w:p>
    <w:sectPr w:rsidR="001E08C0" w:rsidRPr="0069712F" w:rsidSect="0069712F">
      <w:headerReference w:type="default" r:id="rId7"/>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A3412" w14:textId="77777777" w:rsidR="00DC0216" w:rsidRDefault="00DC0216" w:rsidP="001E08C0">
      <w:pPr>
        <w:spacing w:line="240" w:lineRule="auto"/>
      </w:pPr>
      <w:r>
        <w:separator/>
      </w:r>
    </w:p>
  </w:endnote>
  <w:endnote w:type="continuationSeparator" w:id="0">
    <w:p w14:paraId="0CE145E3" w14:textId="77777777" w:rsidR="00DC0216" w:rsidRDefault="00DC0216" w:rsidP="001E0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askh MT for Bosch School">
    <w:panose1 w:val="02020603050405020304"/>
    <w:charset w:val="00"/>
    <w:family w:val="roman"/>
    <w:pitch w:val="variable"/>
    <w:sig w:usb0="8000200F" w:usb1="80000000" w:usb2="00000008" w:usb3="00000000" w:csb0="000000D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73557" w14:textId="77777777" w:rsidR="00DC0216" w:rsidRDefault="00DC0216" w:rsidP="001E08C0">
      <w:pPr>
        <w:spacing w:line="240" w:lineRule="auto"/>
      </w:pPr>
      <w:r>
        <w:separator/>
      </w:r>
    </w:p>
  </w:footnote>
  <w:footnote w:type="continuationSeparator" w:id="0">
    <w:p w14:paraId="3ECDAFB0" w14:textId="77777777" w:rsidR="00DC0216" w:rsidRDefault="00DC0216" w:rsidP="001E0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826"/>
      <w:gridCol w:w="3821"/>
    </w:tblGrid>
    <w:tr w:rsidR="001E08C0" w14:paraId="28F7BB85" w14:textId="77777777" w:rsidTr="001E08C0">
      <w:tc>
        <w:tcPr>
          <w:tcW w:w="4536" w:type="dxa"/>
        </w:tcPr>
        <w:p w14:paraId="4050CA70" w14:textId="17CE21D7" w:rsidR="001E08C0" w:rsidRDefault="001E08C0" w:rsidP="001E08C0">
          <w:pPr>
            <w:pStyle w:val="Header"/>
            <w:tabs>
              <w:tab w:val="left" w:pos="1305"/>
            </w:tabs>
            <w:bidi/>
            <w:rPr>
              <w:rtl/>
              <w:lang w:val="en-US"/>
            </w:rPr>
          </w:pPr>
          <w:r>
            <w:rPr>
              <w:rFonts w:ascii="Naskh MT for Bosch School" w:eastAsia="Naskh MT for Bosch School" w:hAnsi="Naskh MT for Bosch School" w:cs="Naskh MT for Bosch School"/>
              <w:color w:val="000000"/>
              <w:sz w:val="22"/>
              <w:szCs w:val="22"/>
              <w:rtl/>
            </w:rPr>
            <w:t>3</w:t>
          </w:r>
          <w:r>
            <w:rPr>
              <w:rFonts w:ascii="Naskh MT for Bosch School" w:eastAsia="Naskh MT for Bosch School" w:hAnsi="Naskh MT for Bosch School" w:cs="Naskh MT for Bosch School" w:hint="cs"/>
              <w:color w:val="000000"/>
              <w:sz w:val="22"/>
              <w:szCs w:val="22"/>
              <w:rtl/>
            </w:rPr>
            <w:t>1</w:t>
          </w:r>
          <w:r>
            <w:rPr>
              <w:rFonts w:ascii="Naskh MT for Bosch School" w:eastAsia="Naskh MT for Bosch School" w:hAnsi="Naskh MT for Bosch School" w:cs="Naskh MT for Bosch School"/>
              <w:color w:val="000000"/>
              <w:sz w:val="22"/>
              <w:szCs w:val="22"/>
              <w:rtl/>
            </w:rPr>
            <w:t xml:space="preserve"> كانون الأوّل/ديسمبر 202</w:t>
          </w:r>
          <w:r>
            <w:rPr>
              <w:rFonts w:ascii="Naskh MT for Bosch School" w:eastAsia="Naskh MT for Bosch School" w:hAnsi="Naskh MT for Bosch School" w:cs="Naskh MT for Bosch School" w:hint="cs"/>
              <w:color w:val="000000"/>
              <w:sz w:val="22"/>
              <w:szCs w:val="22"/>
              <w:rtl/>
            </w:rPr>
            <w:t>5</w:t>
          </w:r>
        </w:p>
      </w:tc>
      <w:tc>
        <w:tcPr>
          <w:tcW w:w="851" w:type="dxa"/>
        </w:tcPr>
        <w:p w14:paraId="7672F71D" w14:textId="777EB3A0" w:rsidR="001E08C0" w:rsidRDefault="001E08C0" w:rsidP="001E08C0">
          <w:pPr>
            <w:pStyle w:val="Header"/>
            <w:tabs>
              <w:tab w:val="left" w:pos="1305"/>
            </w:tabs>
            <w:bidi/>
            <w:jc w:val="center"/>
            <w:rPr>
              <w:rtl/>
              <w:lang w:val="en-US"/>
            </w:rPr>
          </w:pPr>
          <w:r w:rsidRPr="00B26E19">
            <w:rPr>
              <w:rFonts w:ascii="Naskh MT for Bosch School" w:eastAsia="Naskh MT for Bosch School" w:hAnsi="Naskh MT for Bosch School" w:cs="Naskh MT for Bosch School"/>
              <w:color w:val="000000"/>
              <w:sz w:val="22"/>
              <w:szCs w:val="22"/>
              <w:rtl/>
            </w:rPr>
            <w:fldChar w:fldCharType="begin"/>
          </w:r>
          <w:r w:rsidRPr="00B26E19">
            <w:rPr>
              <w:rFonts w:ascii="Naskh MT for Bosch School" w:eastAsia="Naskh MT for Bosch School" w:hAnsi="Naskh MT for Bosch School" w:cs="Naskh MT for Bosch School"/>
              <w:color w:val="000000"/>
              <w:sz w:val="22"/>
              <w:szCs w:val="22"/>
              <w:rtl/>
            </w:rPr>
            <w:instrText xml:space="preserve"> </w:instrText>
          </w:r>
          <w:r w:rsidRPr="00B26E19">
            <w:rPr>
              <w:rFonts w:ascii="Naskh MT for Bosch School" w:eastAsia="Naskh MT for Bosch School" w:hAnsi="Naskh MT for Bosch School" w:cs="Naskh MT for Bosch School" w:hint="cs"/>
              <w:color w:val="000000"/>
              <w:sz w:val="22"/>
              <w:szCs w:val="22"/>
            </w:rPr>
            <w:instrText>PAGE    \* MERGEFORMAT</w:instrText>
          </w:r>
          <w:r w:rsidRPr="00B26E19">
            <w:rPr>
              <w:rFonts w:ascii="Naskh MT for Bosch School" w:eastAsia="Naskh MT for Bosch School" w:hAnsi="Naskh MT for Bosch School" w:cs="Naskh MT for Bosch School"/>
              <w:color w:val="000000"/>
              <w:sz w:val="22"/>
              <w:szCs w:val="22"/>
              <w:rtl/>
            </w:rPr>
            <w:instrText xml:space="preserve"> </w:instrText>
          </w:r>
          <w:r w:rsidRPr="00B26E19">
            <w:rPr>
              <w:rFonts w:ascii="Naskh MT for Bosch School" w:eastAsia="Naskh MT for Bosch School" w:hAnsi="Naskh MT for Bosch School" w:cs="Naskh MT for Bosch School"/>
              <w:color w:val="000000"/>
              <w:sz w:val="22"/>
              <w:szCs w:val="22"/>
              <w:rtl/>
            </w:rPr>
            <w:fldChar w:fldCharType="separate"/>
          </w:r>
          <w:r w:rsidR="007E0DB7">
            <w:rPr>
              <w:rFonts w:ascii="Naskh MT for Bosch School" w:eastAsia="Naskh MT for Bosch School" w:hAnsi="Naskh MT for Bosch School" w:cs="Naskh MT for Bosch School"/>
              <w:noProof/>
              <w:color w:val="000000"/>
              <w:sz w:val="22"/>
              <w:szCs w:val="22"/>
              <w:rtl/>
            </w:rPr>
            <w:t>5</w:t>
          </w:r>
          <w:r w:rsidRPr="00B26E19">
            <w:rPr>
              <w:rFonts w:ascii="Naskh MT for Bosch School" w:eastAsia="Naskh MT for Bosch School" w:hAnsi="Naskh MT for Bosch School" w:cs="Naskh MT for Bosch School"/>
              <w:color w:val="000000"/>
              <w:sz w:val="22"/>
              <w:szCs w:val="22"/>
              <w:rtl/>
            </w:rPr>
            <w:fldChar w:fldCharType="end"/>
          </w:r>
        </w:p>
      </w:tc>
      <w:tc>
        <w:tcPr>
          <w:tcW w:w="3963" w:type="dxa"/>
        </w:tcPr>
        <w:p w14:paraId="337EF7DE" w14:textId="2340B12A" w:rsidR="001E08C0" w:rsidRDefault="001E08C0" w:rsidP="001E08C0">
          <w:pPr>
            <w:pStyle w:val="Header"/>
            <w:tabs>
              <w:tab w:val="left" w:pos="1305"/>
            </w:tabs>
            <w:bidi/>
            <w:jc w:val="right"/>
            <w:rPr>
              <w:rtl/>
              <w:lang w:val="en-US"/>
            </w:rPr>
          </w:pPr>
          <w:r>
            <w:rPr>
              <w:rFonts w:ascii="Naskh MT for Bosch School" w:eastAsia="Naskh MT for Bosch School" w:hAnsi="Naskh MT for Bosch School" w:cs="Naskh MT for Bosch School"/>
              <w:color w:val="000000"/>
              <w:sz w:val="22"/>
              <w:szCs w:val="22"/>
              <w:rtl/>
            </w:rPr>
            <w:t>إلى مؤتمر هيئات المشاورين القارّيّة</w:t>
          </w:r>
        </w:p>
      </w:tc>
    </w:tr>
  </w:tbl>
  <w:p w14:paraId="65555AD9" w14:textId="52466AB5" w:rsidR="001E08C0" w:rsidRPr="001E08C0" w:rsidRDefault="001E08C0" w:rsidP="001E08C0">
    <w:pPr>
      <w:pStyle w:val="Header"/>
      <w:tabs>
        <w:tab w:val="left" w:pos="1305"/>
      </w:tabs>
      <w:bidi/>
      <w:rPr>
        <w:rtl/>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4894C0DC"/>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0B3D5F38"/>
    <w:multiLevelType w:val="hybridMultilevel"/>
    <w:tmpl w:val="5DAE7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D608B"/>
    <w:multiLevelType w:val="singleLevel"/>
    <w:tmpl w:val="6B2869AE"/>
    <w:lvl w:ilvl="0">
      <w:start w:val="1"/>
      <w:numFmt w:val="decimal"/>
      <w:pStyle w:val="BWCList"/>
      <w:lvlText w:val="%1."/>
      <w:lvlJc w:val="left"/>
      <w:pPr>
        <w:tabs>
          <w:tab w:val="num" w:pos="360"/>
        </w:tabs>
        <w:ind w:left="360" w:hanging="360"/>
      </w:pPr>
    </w:lvl>
  </w:abstractNum>
  <w:abstractNum w:abstractNumId="7"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32C55F4F"/>
    <w:multiLevelType w:val="hybridMultilevel"/>
    <w:tmpl w:val="47168958"/>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9" w15:restartNumberingAfterBreak="0">
    <w:nsid w:val="3A9347ED"/>
    <w:multiLevelType w:val="hybridMultilevel"/>
    <w:tmpl w:val="87FC5724"/>
    <w:lvl w:ilvl="0" w:tplc="3028C10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3B8B0488"/>
    <w:multiLevelType w:val="hybridMultilevel"/>
    <w:tmpl w:val="DDC45988"/>
    <w:lvl w:ilvl="0" w:tplc="FFFFFFFF">
      <w:start w:val="1"/>
      <w:numFmt w:val="decimal"/>
      <w:lvlText w:val="%1."/>
      <w:lvlJc w:val="left"/>
      <w:pPr>
        <w:ind w:left="1438" w:hanging="360"/>
      </w:p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11"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1368EE"/>
    <w:multiLevelType w:val="hybridMultilevel"/>
    <w:tmpl w:val="45505DAE"/>
    <w:lvl w:ilvl="0" w:tplc="286CFDE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5D543002"/>
    <w:multiLevelType w:val="hybridMultilevel"/>
    <w:tmpl w:val="6A64122A"/>
    <w:lvl w:ilvl="0" w:tplc="F7842DA4">
      <w:start w:val="16"/>
      <w:numFmt w:val="decimal"/>
      <w:lvlText w:val="%1."/>
      <w:lvlJc w:val="left"/>
      <w:pPr>
        <w:ind w:left="1438" w:hanging="360"/>
      </w:pPr>
      <w:rPr>
        <w:rFonts w:hint="default"/>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16"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8"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4E7DC7"/>
    <w:multiLevelType w:val="singleLevel"/>
    <w:tmpl w:val="73BA06C4"/>
    <w:lvl w:ilvl="0">
      <w:start w:val="1"/>
      <w:numFmt w:val="decimal"/>
      <w:lvlText w:val="%1."/>
      <w:lvlJc w:val="left"/>
      <w:pPr>
        <w:tabs>
          <w:tab w:val="num" w:pos="360"/>
        </w:tabs>
        <w:ind w:left="360" w:hanging="360"/>
      </w:pPr>
    </w:lvl>
  </w:abstractNum>
  <w:num w:numId="1">
    <w:abstractNumId w:val="19"/>
  </w:num>
  <w:num w:numId="2">
    <w:abstractNumId w:val="7"/>
  </w:num>
  <w:num w:numId="3">
    <w:abstractNumId w:val="11"/>
  </w:num>
  <w:num w:numId="4">
    <w:abstractNumId w:val="4"/>
  </w:num>
  <w:num w:numId="5">
    <w:abstractNumId w:val="20"/>
  </w:num>
  <w:num w:numId="6">
    <w:abstractNumId w:val="0"/>
  </w:num>
  <w:num w:numId="7">
    <w:abstractNumId w:val="1"/>
  </w:num>
  <w:num w:numId="8">
    <w:abstractNumId w:val="12"/>
  </w:num>
  <w:num w:numId="9">
    <w:abstractNumId w:val="3"/>
  </w:num>
  <w:num w:numId="10">
    <w:abstractNumId w:val="17"/>
  </w:num>
  <w:num w:numId="11">
    <w:abstractNumId w:val="13"/>
  </w:num>
  <w:num w:numId="12">
    <w:abstractNumId w:val="18"/>
  </w:num>
  <w:num w:numId="13">
    <w:abstractNumId w:val="16"/>
  </w:num>
  <w:num w:numId="14">
    <w:abstractNumId w:val="2"/>
  </w:num>
  <w:num w:numId="15">
    <w:abstractNumId w:val="6"/>
  </w:num>
  <w:num w:numId="16">
    <w:abstractNumId w:val="9"/>
  </w:num>
  <w:num w:numId="17">
    <w:abstractNumId w:val="14"/>
  </w:num>
  <w:num w:numId="18">
    <w:abstractNumId w:val="5"/>
  </w:num>
  <w:num w:numId="19">
    <w:abstractNumId w:val="8"/>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C0"/>
    <w:rsid w:val="001E08C0"/>
    <w:rsid w:val="002241F8"/>
    <w:rsid w:val="00426163"/>
    <w:rsid w:val="00464974"/>
    <w:rsid w:val="00501E5C"/>
    <w:rsid w:val="0069712F"/>
    <w:rsid w:val="007E0DB7"/>
    <w:rsid w:val="00975A42"/>
    <w:rsid w:val="00A02EF3"/>
    <w:rsid w:val="00DA3C7B"/>
    <w:rsid w:val="00DC0216"/>
    <w:rsid w:val="00DE455C"/>
    <w:rsid w:val="00F45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736E6"/>
  <w15:chartTrackingRefBased/>
  <w15:docId w15:val="{8E1D4A7F-76AE-4106-9D05-A767037D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C0"/>
    <w:pPr>
      <w:spacing w:after="0" w:line="252" w:lineRule="auto"/>
    </w:pPr>
    <w:rPr>
      <w:rFonts w:ascii="Times Ext Roman" w:eastAsia="Times New Roman" w:hAnsi="Times Ext Roman" w:cs="Times Ext Roman"/>
      <w:w w:val="102"/>
      <w:kern w:val="20"/>
      <w:sz w:val="23"/>
      <w:szCs w:val="23"/>
      <w:lang w:val="en-GB"/>
      <w14:ligatures w14:val="none"/>
    </w:rPr>
  </w:style>
  <w:style w:type="paragraph" w:styleId="Heading1">
    <w:name w:val="heading 1"/>
    <w:basedOn w:val="Normal"/>
    <w:next w:val="Normal"/>
    <w:link w:val="Heading1Char"/>
    <w:uiPriority w:val="9"/>
    <w:qFormat/>
    <w:rsid w:val="001E0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8C0"/>
    <w:rPr>
      <w:rFonts w:eastAsiaTheme="majorEastAsia" w:cstheme="majorBidi"/>
      <w:color w:val="272727" w:themeColor="text1" w:themeTint="D8"/>
    </w:rPr>
  </w:style>
  <w:style w:type="paragraph" w:styleId="Title">
    <w:name w:val="Title"/>
    <w:basedOn w:val="Normal"/>
    <w:next w:val="Normal"/>
    <w:link w:val="TitleChar"/>
    <w:uiPriority w:val="10"/>
    <w:qFormat/>
    <w:rsid w:val="001E0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8C0"/>
    <w:pPr>
      <w:spacing w:before="160"/>
      <w:jc w:val="center"/>
    </w:pPr>
    <w:rPr>
      <w:i/>
      <w:iCs/>
      <w:color w:val="404040" w:themeColor="text1" w:themeTint="BF"/>
    </w:rPr>
  </w:style>
  <w:style w:type="character" w:customStyle="1" w:styleId="QuoteChar">
    <w:name w:val="Quote Char"/>
    <w:basedOn w:val="DefaultParagraphFont"/>
    <w:link w:val="Quote"/>
    <w:uiPriority w:val="29"/>
    <w:rsid w:val="001E08C0"/>
    <w:rPr>
      <w:i/>
      <w:iCs/>
      <w:color w:val="404040" w:themeColor="text1" w:themeTint="BF"/>
    </w:rPr>
  </w:style>
  <w:style w:type="paragraph" w:styleId="ListParagraph">
    <w:name w:val="List Paragraph"/>
    <w:basedOn w:val="Normal"/>
    <w:uiPriority w:val="34"/>
    <w:qFormat/>
    <w:rsid w:val="001E08C0"/>
    <w:pPr>
      <w:ind w:left="720"/>
      <w:contextualSpacing/>
    </w:pPr>
  </w:style>
  <w:style w:type="character" w:styleId="IntenseEmphasis">
    <w:name w:val="Intense Emphasis"/>
    <w:basedOn w:val="DefaultParagraphFont"/>
    <w:uiPriority w:val="21"/>
    <w:qFormat/>
    <w:rsid w:val="001E08C0"/>
    <w:rPr>
      <w:i/>
      <w:iCs/>
      <w:color w:val="0F4761" w:themeColor="accent1" w:themeShade="BF"/>
    </w:rPr>
  </w:style>
  <w:style w:type="paragraph" w:styleId="IntenseQuote">
    <w:name w:val="Intense Quote"/>
    <w:basedOn w:val="Normal"/>
    <w:next w:val="Normal"/>
    <w:link w:val="IntenseQuoteChar"/>
    <w:uiPriority w:val="30"/>
    <w:qFormat/>
    <w:rsid w:val="001E0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8C0"/>
    <w:rPr>
      <w:i/>
      <w:iCs/>
      <w:color w:val="0F4761" w:themeColor="accent1" w:themeShade="BF"/>
    </w:rPr>
  </w:style>
  <w:style w:type="character" w:styleId="IntenseReference">
    <w:name w:val="Intense Reference"/>
    <w:basedOn w:val="DefaultParagraphFont"/>
    <w:uiPriority w:val="32"/>
    <w:qFormat/>
    <w:rsid w:val="001E08C0"/>
    <w:rPr>
      <w:b/>
      <w:bCs/>
      <w:smallCaps/>
      <w:color w:val="0F4761" w:themeColor="accent1" w:themeShade="BF"/>
      <w:spacing w:val="5"/>
    </w:rPr>
  </w:style>
  <w:style w:type="paragraph" w:customStyle="1" w:styleId="BWCAddress">
    <w:name w:val="BWC Address"/>
    <w:basedOn w:val="Normal"/>
    <w:qFormat/>
    <w:rsid w:val="001E08C0"/>
    <w:pPr>
      <w:tabs>
        <w:tab w:val="left" w:pos="360"/>
      </w:tabs>
    </w:pPr>
  </w:style>
  <w:style w:type="paragraph" w:customStyle="1" w:styleId="BWCBodyText">
    <w:name w:val="BWC Body Text"/>
    <w:basedOn w:val="Normal"/>
    <w:qFormat/>
    <w:rsid w:val="001E08C0"/>
    <w:pPr>
      <w:ind w:firstLine="576"/>
    </w:pPr>
  </w:style>
  <w:style w:type="paragraph" w:customStyle="1" w:styleId="BWCClosing">
    <w:name w:val="BWC Closing"/>
    <w:basedOn w:val="Normal"/>
    <w:next w:val="Normal"/>
    <w:qFormat/>
    <w:rsid w:val="001E08C0"/>
    <w:pPr>
      <w:spacing w:before="240" w:after="960"/>
      <w:ind w:left="4320"/>
    </w:pPr>
  </w:style>
  <w:style w:type="paragraph" w:customStyle="1" w:styleId="BWCGreeting">
    <w:name w:val="BWC Greeting"/>
    <w:basedOn w:val="Normal"/>
    <w:next w:val="Normal"/>
    <w:qFormat/>
    <w:rsid w:val="001E08C0"/>
    <w:pPr>
      <w:spacing w:before="480" w:after="240"/>
    </w:pPr>
  </w:style>
  <w:style w:type="paragraph" w:customStyle="1" w:styleId="BWCInternalInfo">
    <w:name w:val="BWC Internal Info"/>
    <w:basedOn w:val="Normal"/>
    <w:qFormat/>
    <w:rsid w:val="001E08C0"/>
  </w:style>
  <w:style w:type="paragraph" w:styleId="PlainText">
    <w:name w:val="Plain Text"/>
    <w:basedOn w:val="Normal"/>
    <w:link w:val="PlainTextChar"/>
    <w:rsid w:val="001E08C0"/>
    <w:rPr>
      <w:rFonts w:ascii="Courier New" w:hAnsi="Courier New" w:cs="Courier New"/>
      <w:sz w:val="20"/>
      <w:szCs w:val="20"/>
    </w:rPr>
  </w:style>
  <w:style w:type="character" w:customStyle="1" w:styleId="PlainTextChar">
    <w:name w:val="Plain Text Char"/>
    <w:basedOn w:val="DefaultParagraphFont"/>
    <w:link w:val="PlainText"/>
    <w:rsid w:val="001E08C0"/>
    <w:rPr>
      <w:rFonts w:ascii="Courier New" w:eastAsia="Times New Roman" w:hAnsi="Courier New" w:cs="Courier New"/>
      <w:w w:val="102"/>
      <w:kern w:val="20"/>
      <w:sz w:val="20"/>
      <w:szCs w:val="20"/>
      <w:lang w:val="en-GB"/>
      <w14:ligatures w14:val="none"/>
    </w:rPr>
  </w:style>
  <w:style w:type="paragraph" w:customStyle="1" w:styleId="BWCXBCInfo">
    <w:name w:val="BWC XBC Info"/>
    <w:basedOn w:val="Normal"/>
    <w:qFormat/>
    <w:rsid w:val="001E08C0"/>
  </w:style>
  <w:style w:type="paragraph" w:customStyle="1" w:styleId="BWCFileInfo">
    <w:name w:val="BWC File Info"/>
    <w:basedOn w:val="Normal"/>
    <w:qFormat/>
    <w:rsid w:val="001E08C0"/>
  </w:style>
  <w:style w:type="character" w:customStyle="1" w:styleId="BWCComment">
    <w:name w:val="BWC Comment"/>
    <w:basedOn w:val="DefaultParagraphFont"/>
    <w:qFormat/>
    <w:rsid w:val="001E08C0"/>
    <w:rPr>
      <w:shd w:val="clear" w:color="auto" w:fill="C0C0C0"/>
    </w:rPr>
  </w:style>
  <w:style w:type="paragraph" w:styleId="Header">
    <w:name w:val="header"/>
    <w:basedOn w:val="Normal"/>
    <w:link w:val="HeaderChar"/>
    <w:uiPriority w:val="99"/>
    <w:rsid w:val="001E08C0"/>
    <w:pPr>
      <w:tabs>
        <w:tab w:val="right" w:pos="9000"/>
      </w:tabs>
    </w:pPr>
  </w:style>
  <w:style w:type="character" w:customStyle="1" w:styleId="HeaderChar">
    <w:name w:val="Header Char"/>
    <w:basedOn w:val="DefaultParagraphFont"/>
    <w:link w:val="Header"/>
    <w:uiPriority w:val="99"/>
    <w:rsid w:val="001E08C0"/>
    <w:rPr>
      <w:rFonts w:ascii="Times Ext Roman" w:eastAsia="Times New Roman" w:hAnsi="Times Ext Roman" w:cs="Times Ext Roman"/>
      <w:w w:val="102"/>
      <w:kern w:val="20"/>
      <w:sz w:val="23"/>
      <w:szCs w:val="23"/>
      <w:lang w:val="en-GB"/>
      <w14:ligatures w14:val="none"/>
    </w:rPr>
  </w:style>
  <w:style w:type="paragraph" w:customStyle="1" w:styleId="BWCAttrib">
    <w:name w:val="BWC Attrib"/>
    <w:basedOn w:val="BWCQuote"/>
    <w:next w:val="BWCBodyText"/>
    <w:qFormat/>
    <w:rsid w:val="001E08C0"/>
    <w:pPr>
      <w:tabs>
        <w:tab w:val="right" w:pos="9000"/>
      </w:tabs>
      <w:ind w:left="1238" w:right="216" w:hanging="86"/>
    </w:pPr>
  </w:style>
  <w:style w:type="paragraph" w:customStyle="1" w:styleId="BWCBullet">
    <w:name w:val="BWC Bullet"/>
    <w:basedOn w:val="Normal"/>
    <w:qFormat/>
    <w:rsid w:val="001E08C0"/>
    <w:pPr>
      <w:numPr>
        <w:numId w:val="14"/>
      </w:numPr>
    </w:pPr>
  </w:style>
  <w:style w:type="paragraph" w:customStyle="1" w:styleId="BWCList">
    <w:name w:val="BWC List"/>
    <w:basedOn w:val="BWCBullet"/>
    <w:qFormat/>
    <w:rsid w:val="001E08C0"/>
    <w:pPr>
      <w:numPr>
        <w:numId w:val="15"/>
      </w:numPr>
    </w:pPr>
  </w:style>
  <w:style w:type="paragraph" w:styleId="Footer">
    <w:name w:val="footer"/>
    <w:basedOn w:val="Normal"/>
    <w:link w:val="FooterChar"/>
    <w:uiPriority w:val="99"/>
    <w:rsid w:val="001E08C0"/>
    <w:pPr>
      <w:tabs>
        <w:tab w:val="center" w:pos="4320"/>
        <w:tab w:val="right" w:pos="8640"/>
      </w:tabs>
    </w:pPr>
  </w:style>
  <w:style w:type="character" w:customStyle="1" w:styleId="FooterChar">
    <w:name w:val="Footer Char"/>
    <w:basedOn w:val="DefaultParagraphFont"/>
    <w:link w:val="Footer"/>
    <w:uiPriority w:val="99"/>
    <w:rsid w:val="001E08C0"/>
    <w:rPr>
      <w:rFonts w:ascii="Times Ext Roman" w:eastAsia="Times New Roman" w:hAnsi="Times Ext Roman" w:cs="Times Ext Roman"/>
      <w:w w:val="102"/>
      <w:kern w:val="20"/>
      <w:sz w:val="23"/>
      <w:szCs w:val="23"/>
      <w:lang w:val="en-GB"/>
      <w14:ligatures w14:val="none"/>
    </w:rPr>
  </w:style>
  <w:style w:type="paragraph" w:customStyle="1" w:styleId="BWCDate">
    <w:name w:val="BWC Date"/>
    <w:basedOn w:val="Normal"/>
    <w:qFormat/>
    <w:rsid w:val="001E08C0"/>
    <w:pPr>
      <w:spacing w:after="240"/>
      <w:jc w:val="center"/>
    </w:pPr>
  </w:style>
  <w:style w:type="paragraph" w:customStyle="1" w:styleId="BWCSignature">
    <w:name w:val="BWC Signature"/>
    <w:basedOn w:val="BWCClosing"/>
    <w:next w:val="BWCNormal"/>
    <w:qFormat/>
    <w:rsid w:val="001E08C0"/>
    <w:pPr>
      <w:spacing w:before="0" w:after="480"/>
    </w:pPr>
  </w:style>
  <w:style w:type="paragraph" w:styleId="FootnoteText">
    <w:name w:val="footnote text"/>
    <w:basedOn w:val="Normal"/>
    <w:link w:val="FootnoteTextChar"/>
    <w:semiHidden/>
    <w:rsid w:val="001E08C0"/>
    <w:rPr>
      <w:sz w:val="22"/>
      <w:szCs w:val="22"/>
    </w:rPr>
  </w:style>
  <w:style w:type="character" w:customStyle="1" w:styleId="FootnoteTextChar">
    <w:name w:val="Footnote Text Char"/>
    <w:basedOn w:val="DefaultParagraphFont"/>
    <w:link w:val="FootnoteText"/>
    <w:semiHidden/>
    <w:rsid w:val="001E08C0"/>
    <w:rPr>
      <w:rFonts w:ascii="Times Ext Roman" w:eastAsia="Times New Roman" w:hAnsi="Times Ext Roman" w:cs="Times Ext Roman"/>
      <w:w w:val="102"/>
      <w:kern w:val="20"/>
      <w:sz w:val="22"/>
      <w:szCs w:val="22"/>
      <w:lang w:val="en-GB"/>
      <w14:ligatures w14:val="none"/>
    </w:rPr>
  </w:style>
  <w:style w:type="character" w:styleId="PageNumber">
    <w:name w:val="page number"/>
    <w:basedOn w:val="DefaultParagraphFont"/>
    <w:rsid w:val="001E08C0"/>
  </w:style>
  <w:style w:type="paragraph" w:customStyle="1" w:styleId="BWCQuote">
    <w:name w:val="BWC Quote"/>
    <w:basedOn w:val="Normal"/>
    <w:qFormat/>
    <w:rsid w:val="001E08C0"/>
    <w:pPr>
      <w:ind w:left="576" w:right="576"/>
    </w:pPr>
  </w:style>
  <w:style w:type="paragraph" w:customStyle="1" w:styleId="BWCTitle">
    <w:name w:val="BWC Title"/>
    <w:basedOn w:val="Normal"/>
    <w:next w:val="BWCBodyText"/>
    <w:qFormat/>
    <w:rsid w:val="001E08C0"/>
    <w:pPr>
      <w:spacing w:after="240"/>
      <w:jc w:val="center"/>
    </w:pPr>
    <w:rPr>
      <w:b/>
      <w:sz w:val="24"/>
    </w:rPr>
  </w:style>
  <w:style w:type="paragraph" w:customStyle="1" w:styleId="BWCNormal">
    <w:name w:val="BWC Normal"/>
    <w:basedOn w:val="Normal"/>
    <w:qFormat/>
    <w:rsid w:val="001E08C0"/>
  </w:style>
  <w:style w:type="paragraph" w:customStyle="1" w:styleId="BWCAttrib2">
    <w:name w:val="BWC Attrib 2"/>
    <w:basedOn w:val="BWCAttrib"/>
    <w:next w:val="BWCBodyText"/>
    <w:qFormat/>
    <w:rsid w:val="001E08C0"/>
    <w:pPr>
      <w:tabs>
        <w:tab w:val="clear" w:pos="9000"/>
        <w:tab w:val="right" w:pos="8280"/>
      </w:tabs>
      <w:ind w:left="1814" w:right="576"/>
    </w:pPr>
  </w:style>
  <w:style w:type="paragraph" w:customStyle="1" w:styleId="BWCAttrib3">
    <w:name w:val="BWC Attrib 3"/>
    <w:basedOn w:val="BWCAttrib"/>
    <w:qFormat/>
    <w:rsid w:val="001E08C0"/>
    <w:pPr>
      <w:tabs>
        <w:tab w:val="clear" w:pos="9000"/>
        <w:tab w:val="right" w:pos="8280"/>
      </w:tabs>
      <w:ind w:left="2390" w:right="1152"/>
    </w:pPr>
  </w:style>
  <w:style w:type="paragraph" w:customStyle="1" w:styleId="BWCQuote2">
    <w:name w:val="BWC Quote 2"/>
    <w:basedOn w:val="BWCQuote"/>
    <w:qFormat/>
    <w:rsid w:val="001E08C0"/>
    <w:pPr>
      <w:ind w:left="1152" w:right="1152"/>
    </w:pPr>
  </w:style>
  <w:style w:type="paragraph" w:customStyle="1" w:styleId="BWCAttrib4">
    <w:name w:val="BWC Attrib 4"/>
    <w:basedOn w:val="BWCAttrib"/>
    <w:next w:val="BWCBodyText"/>
    <w:qFormat/>
    <w:rsid w:val="001E08C0"/>
    <w:pPr>
      <w:ind w:left="2678" w:right="1728"/>
    </w:pPr>
  </w:style>
  <w:style w:type="paragraph" w:customStyle="1" w:styleId="BWCQuote3">
    <w:name w:val="BWC Quote 3"/>
    <w:basedOn w:val="BWCQuote"/>
    <w:qFormat/>
    <w:rsid w:val="001E08C0"/>
    <w:pPr>
      <w:ind w:left="1728" w:right="1728"/>
    </w:pPr>
  </w:style>
  <w:style w:type="paragraph" w:customStyle="1" w:styleId="BWCEmailFax">
    <w:name w:val="BWC Email/Fax"/>
    <w:basedOn w:val="Normal"/>
    <w:qFormat/>
    <w:rsid w:val="001E08C0"/>
    <w:pPr>
      <w:tabs>
        <w:tab w:val="left" w:pos="2074"/>
      </w:tabs>
      <w:spacing w:after="240"/>
    </w:pPr>
  </w:style>
  <w:style w:type="table" w:styleId="TableGrid">
    <w:name w:val="Table Grid"/>
    <w:basedOn w:val="TableNormal"/>
    <w:rsid w:val="001E08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1E08C0"/>
  </w:style>
  <w:style w:type="character" w:styleId="CommentReference">
    <w:name w:val="annotation reference"/>
    <w:basedOn w:val="DefaultParagraphFont"/>
    <w:semiHidden/>
    <w:unhideWhenUsed/>
    <w:rsid w:val="001E08C0"/>
    <w:rPr>
      <w:sz w:val="16"/>
      <w:szCs w:val="16"/>
    </w:rPr>
  </w:style>
  <w:style w:type="paragraph" w:styleId="CommentText">
    <w:name w:val="annotation text"/>
    <w:basedOn w:val="Normal"/>
    <w:link w:val="CommentTextChar"/>
    <w:unhideWhenUsed/>
    <w:rsid w:val="001E08C0"/>
    <w:pPr>
      <w:spacing w:line="240" w:lineRule="auto"/>
    </w:pPr>
    <w:rPr>
      <w:sz w:val="20"/>
      <w:szCs w:val="20"/>
    </w:rPr>
  </w:style>
  <w:style w:type="character" w:customStyle="1" w:styleId="CommentTextChar">
    <w:name w:val="Comment Text Char"/>
    <w:basedOn w:val="DefaultParagraphFont"/>
    <w:link w:val="CommentText"/>
    <w:rsid w:val="001E08C0"/>
    <w:rPr>
      <w:rFonts w:ascii="Times Ext Roman" w:eastAsia="Times New Roman" w:hAnsi="Times Ext Roman" w:cs="Times Ext Roman"/>
      <w:w w:val="102"/>
      <w:kern w:val="20"/>
      <w:sz w:val="20"/>
      <w:szCs w:val="20"/>
      <w:lang w:val="en-GB"/>
      <w14:ligatures w14:val="none"/>
    </w:rPr>
  </w:style>
  <w:style w:type="paragraph" w:styleId="CommentSubject">
    <w:name w:val="annotation subject"/>
    <w:basedOn w:val="CommentText"/>
    <w:next w:val="CommentText"/>
    <w:link w:val="CommentSubjectChar"/>
    <w:semiHidden/>
    <w:unhideWhenUsed/>
    <w:rsid w:val="001E08C0"/>
    <w:rPr>
      <w:b/>
      <w:bCs/>
    </w:rPr>
  </w:style>
  <w:style w:type="character" w:customStyle="1" w:styleId="CommentSubjectChar">
    <w:name w:val="Comment Subject Char"/>
    <w:basedOn w:val="CommentTextChar"/>
    <w:link w:val="CommentSubject"/>
    <w:semiHidden/>
    <w:rsid w:val="001E08C0"/>
    <w:rPr>
      <w:rFonts w:ascii="Times Ext Roman" w:eastAsia="Times New Roman" w:hAnsi="Times Ext Roman" w:cs="Times Ext Roman"/>
      <w:b/>
      <w:bCs/>
      <w:w w:val="102"/>
      <w:kern w:val="20"/>
      <w:sz w:val="20"/>
      <w:szCs w:val="20"/>
      <w:lang w:val="en-GB"/>
      <w14:ligatures w14:val="none"/>
    </w:rPr>
  </w:style>
  <w:style w:type="paragraph" w:customStyle="1" w:styleId="ZH1">
    <w:name w:val="ZH1"/>
    <w:rsid w:val="001E08C0"/>
    <w:pPr>
      <w:spacing w:after="0" w:line="240" w:lineRule="auto"/>
      <w:jc w:val="center"/>
    </w:pPr>
    <w:rPr>
      <w:rFonts w:ascii="Book Antiqua" w:eastAsia="Times New Roman" w:hAnsi="Book Antiqua" w:cs="Times New Roman"/>
      <w:color w:val="000000"/>
      <w:kern w:val="0"/>
      <w:sz w:val="22"/>
      <w:szCs w:val="22"/>
      <w:lang w:val="en-GB"/>
      <w14:ligatures w14:val="none"/>
    </w:rPr>
  </w:style>
  <w:style w:type="paragraph" w:customStyle="1" w:styleId="ZF1">
    <w:name w:val="ZF1"/>
    <w:rsid w:val="001E08C0"/>
    <w:pPr>
      <w:spacing w:after="0" w:line="240" w:lineRule="auto"/>
      <w:jc w:val="center"/>
    </w:pPr>
    <w:rPr>
      <w:rFonts w:ascii="Book Antiqua" w:eastAsia="Times New Roman" w:hAnsi="Book Antiqua" w:cs="Times New Roman"/>
      <w:spacing w:val="8"/>
      <w:kern w:val="0"/>
      <w:sz w:val="18"/>
      <w:szCs w:val="18"/>
      <w:lang w:val="en-GB"/>
      <w14:ligatures w14:val="none"/>
    </w:rPr>
  </w:style>
  <w:style w:type="paragraph" w:styleId="BalloonText">
    <w:name w:val="Balloon Text"/>
    <w:basedOn w:val="Normal"/>
    <w:link w:val="BalloonTextChar"/>
    <w:semiHidden/>
    <w:unhideWhenUsed/>
    <w:rsid w:val="001E08C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E08C0"/>
    <w:rPr>
      <w:rFonts w:ascii="Tahoma" w:eastAsia="Times New Roman" w:hAnsi="Tahoma" w:cs="Tahoma"/>
      <w:w w:val="102"/>
      <w:kern w:val="20"/>
      <w:sz w:val="16"/>
      <w:szCs w:val="16"/>
      <w:lang w:val="en-GB"/>
      <w14:ligatures w14:val="none"/>
    </w:rPr>
  </w:style>
  <w:style w:type="paragraph" w:styleId="Revision">
    <w:name w:val="Revision"/>
    <w:hidden/>
    <w:uiPriority w:val="99"/>
    <w:semiHidden/>
    <w:rsid w:val="001E08C0"/>
    <w:pPr>
      <w:spacing w:after="0" w:line="240" w:lineRule="auto"/>
    </w:pPr>
    <w:rPr>
      <w:rFonts w:ascii="Times Ext Roman" w:eastAsia="Times New Roman" w:hAnsi="Times Ext Roman" w:cs="Times Ext Roman"/>
      <w:w w:val="102"/>
      <w:kern w:val="20"/>
      <w:sz w:val="23"/>
      <w:szCs w:val="23"/>
      <w:lang w:val="en-GB"/>
      <w14:ligatures w14:val="none"/>
    </w:rPr>
  </w:style>
  <w:style w:type="character" w:styleId="Strong">
    <w:name w:val="Strong"/>
    <w:basedOn w:val="DefaultParagraphFont"/>
    <w:uiPriority w:val="22"/>
    <w:qFormat/>
    <w:rsid w:val="001E08C0"/>
    <w:rPr>
      <w:b/>
      <w:bCs/>
    </w:rPr>
  </w:style>
  <w:style w:type="paragraph" w:styleId="EndnoteText">
    <w:name w:val="endnote text"/>
    <w:basedOn w:val="Normal"/>
    <w:link w:val="EndnoteTextChar"/>
    <w:uiPriority w:val="99"/>
    <w:semiHidden/>
    <w:unhideWhenUsed/>
    <w:rsid w:val="001E08C0"/>
    <w:pPr>
      <w:spacing w:line="240" w:lineRule="auto"/>
    </w:pPr>
    <w:rPr>
      <w:sz w:val="20"/>
      <w:szCs w:val="20"/>
    </w:rPr>
  </w:style>
  <w:style w:type="character" w:customStyle="1" w:styleId="EndnoteTextChar">
    <w:name w:val="Endnote Text Char"/>
    <w:basedOn w:val="DefaultParagraphFont"/>
    <w:link w:val="EndnoteText"/>
    <w:uiPriority w:val="99"/>
    <w:semiHidden/>
    <w:rsid w:val="001E08C0"/>
    <w:rPr>
      <w:rFonts w:ascii="Times Ext Roman" w:eastAsia="Times New Roman" w:hAnsi="Times Ext Roman" w:cs="Times Ext Roman"/>
      <w:w w:val="102"/>
      <w:kern w:val="20"/>
      <w:sz w:val="20"/>
      <w:szCs w:val="20"/>
      <w:lang w:val="en-GB"/>
      <w14:ligatures w14:val="none"/>
    </w:rPr>
  </w:style>
  <w:style w:type="character" w:styleId="EndnoteReference">
    <w:name w:val="endnote reference"/>
    <w:basedOn w:val="DefaultParagraphFont"/>
    <w:uiPriority w:val="99"/>
    <w:semiHidden/>
    <w:unhideWhenUsed/>
    <w:rsid w:val="001E08C0"/>
    <w:rPr>
      <w:vertAlign w:val="superscript"/>
    </w:rPr>
  </w:style>
  <w:style w:type="paragraph" w:styleId="NormalWeb">
    <w:name w:val="Normal (Web)"/>
    <w:basedOn w:val="Normal"/>
    <w:uiPriority w:val="99"/>
    <w:unhideWhenUsed/>
    <w:rsid w:val="001E08C0"/>
    <w:pPr>
      <w:spacing w:before="100" w:beforeAutospacing="1" w:after="100" w:afterAutospacing="1" w:line="240" w:lineRule="auto"/>
    </w:pPr>
    <w:rPr>
      <w:rFonts w:ascii="Times New Roman" w:hAnsi="Times New Roman" w:cs="Times New Roman"/>
      <w:w w:val="1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Tehrani</dc:creator>
  <cp:keywords/>
  <dc:description/>
  <cp:lastModifiedBy>Neda Behmardi</cp:lastModifiedBy>
  <cp:revision>2</cp:revision>
  <cp:lastPrinted>2025-12-27T11:19:00Z</cp:lastPrinted>
  <dcterms:created xsi:type="dcterms:W3CDTF">2026-01-14T11:26:00Z</dcterms:created>
  <dcterms:modified xsi:type="dcterms:W3CDTF">2026-01-14T11:26:00Z</dcterms:modified>
</cp:coreProperties>
</file>