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AECFBB" w14:textId="77777777" w:rsidR="003F746B" w:rsidRPr="00AF6347" w:rsidRDefault="003F746B" w:rsidP="00AF6347">
      <w:pPr>
        <w:pStyle w:val="Nessunaspaziatura"/>
        <w:spacing w:line="360" w:lineRule="auto"/>
        <w:jc w:val="both"/>
        <w:rPr>
          <w:rFonts w:ascii="Reckless TRIAL Medium" w:hAnsi="Reckless TRIAL Medium"/>
          <w:sz w:val="32"/>
          <w:szCs w:val="32"/>
        </w:rPr>
      </w:pPr>
      <w:r w:rsidRPr="00AF6347">
        <w:rPr>
          <w:rFonts w:ascii="Reckless TRIAL Medium" w:hAnsi="Reckless TRIAL Medium"/>
          <w:sz w:val="32"/>
          <w:szCs w:val="32"/>
        </w:rPr>
        <w:t>Introduzione</w:t>
      </w:r>
    </w:p>
    <w:p w14:paraId="4E78BF70" w14:textId="77777777" w:rsidR="003F746B" w:rsidRPr="00AF6347" w:rsidRDefault="003F746B" w:rsidP="00AF6347">
      <w:pPr>
        <w:pStyle w:val="Nessunaspaziatura"/>
        <w:spacing w:line="360" w:lineRule="auto"/>
        <w:jc w:val="both"/>
        <w:rPr>
          <w:rFonts w:ascii="Reckless TRIAL Medium" w:hAnsi="Reckless TRIAL Medium"/>
          <w:sz w:val="32"/>
          <w:szCs w:val="32"/>
        </w:rPr>
      </w:pPr>
    </w:p>
    <w:p w14:paraId="1B16A63D" w14:textId="03626BA2" w:rsidR="003F746B" w:rsidRPr="00AF6347" w:rsidRDefault="003F746B" w:rsidP="00AF6347">
      <w:pPr>
        <w:pStyle w:val="Nessunaspaziatura"/>
        <w:spacing w:line="360" w:lineRule="auto"/>
        <w:jc w:val="both"/>
        <w:rPr>
          <w:rFonts w:ascii="Reckless TRIAL Medium" w:hAnsi="Reckless TRIAL Medium"/>
          <w:sz w:val="32"/>
          <w:szCs w:val="32"/>
        </w:rPr>
      </w:pPr>
      <w:r w:rsidRPr="00AF6347">
        <w:rPr>
          <w:rFonts w:ascii="Reckless TRIAL Medium" w:hAnsi="Reckless TRIAL Medium"/>
          <w:sz w:val="32"/>
          <w:szCs w:val="32"/>
        </w:rPr>
        <w:t>INNOVARE I TERRITORI, COSTRUIRE IL</w:t>
      </w:r>
      <w:r w:rsidR="00441E35" w:rsidRPr="00AF6347">
        <w:rPr>
          <w:rFonts w:ascii="Reckless TRIAL Medium" w:hAnsi="Reckless TRIAL Medium"/>
          <w:sz w:val="32"/>
          <w:szCs w:val="32"/>
        </w:rPr>
        <w:t xml:space="preserve"> </w:t>
      </w:r>
      <w:r w:rsidRPr="00AF6347">
        <w:rPr>
          <w:rFonts w:ascii="Reckless TRIAL Medium" w:hAnsi="Reckless TRIAL Medium"/>
          <w:sz w:val="32"/>
          <w:szCs w:val="32"/>
        </w:rPr>
        <w:t>FUTURO</w:t>
      </w:r>
    </w:p>
    <w:p w14:paraId="56C27992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</w:p>
    <w:p w14:paraId="3F31C084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Le nuove generazioni vivono in un tempo segnato da trasformazioni rapide. L’intelligenza artificiale, la robotica, le piattaforme digitali e le tecnologie immersive stanno cambiando il modo in cui studiamo, lavoriamo, comunichiamo e partecipiamo alla vita delle comunità. Allo stesso tempo, città e territori sono chiamati ad affrontare sfide sempre più complesse:</w:t>
      </w:r>
    </w:p>
    <w:p w14:paraId="72B3507B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cambiamento climatico, mobilità, accesso ai servizi, qualità dell’aria, consumo delle risorse e disuguaglianze.</w:t>
      </w:r>
    </w:p>
    <w:p w14:paraId="6423784A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Queste trasformazioni non procedono su binari separati. Il modo in cui utilizziamo le</w:t>
      </w:r>
    </w:p>
    <w:p w14:paraId="3FCAA798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 xml:space="preserve">tecnologie </w:t>
      </w:r>
      <w:proofErr w:type="gramStart"/>
      <w:r w:rsidRPr="00AF6347">
        <w:rPr>
          <w:rFonts w:ascii="Saans TRIAL" w:hAnsi="Saans TRIAL"/>
        </w:rPr>
        <w:t>ha</w:t>
      </w:r>
      <w:proofErr w:type="gramEnd"/>
      <w:r w:rsidRPr="00AF6347">
        <w:rPr>
          <w:rFonts w:ascii="Saans TRIAL" w:hAnsi="Saans TRIAL"/>
        </w:rPr>
        <w:t xml:space="preserve"> conseguenze sulla società e sui territori, così come i luoghi in cui viviamo</w:t>
      </w:r>
    </w:p>
    <w:p w14:paraId="5C8C3D98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possono favorire oppure limitare opportunità, relazioni, accesso ai servizi e partecipazione.</w:t>
      </w:r>
    </w:p>
    <w:p w14:paraId="0B23E616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Una piattaforma digitale può rendere più semplice raggiungere un servizio, un nuovo</w:t>
      </w:r>
    </w:p>
    <w:p w14:paraId="7B3E82C0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strumento può facilitare l’apprendimento, una tecnologia può migliorare la mobilità o</w:t>
      </w:r>
    </w:p>
    <w:p w14:paraId="282AF8C3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permettere di utilizzare meglio energia e risorse. Ma perché questo accada è necessario</w:t>
      </w:r>
    </w:p>
    <w:p w14:paraId="139611CE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partire dalle persone e dai loro bisogni.</w:t>
      </w:r>
    </w:p>
    <w:p w14:paraId="7F35D1D1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Sostenere il futuro significa allora mettere in relazione queste due dimensioni: aiutare</w:t>
      </w:r>
    </w:p>
    <w:p w14:paraId="4EBF31CA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i giovani ad acquisire strumenti, competenze e capacità critica e, allo stesso tempo,</w:t>
      </w:r>
    </w:p>
    <w:p w14:paraId="17E5FDC2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creare le condizioni perché quelle conoscenze possano contribuire a costruire</w:t>
      </w:r>
    </w:p>
    <w:p w14:paraId="6D44BA1D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comunità più accessibili, resilienti e sostenibili.</w:t>
      </w:r>
    </w:p>
    <w:p w14:paraId="00A4E50C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Il percorso proposto nasce proprio da questo legame. La prima scheda parte dalle nuove</w:t>
      </w:r>
    </w:p>
    <w:p w14:paraId="50F3B03C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generazioni e dalle trasformazioni che stanno già attraversando la loro vita quotidiana.</w:t>
      </w:r>
    </w:p>
    <w:p w14:paraId="2FBCD473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L’intelligenza artificiale e gli altri strumenti digitali possono offrire nuove possibilità nello</w:t>
      </w:r>
    </w:p>
    <w:p w14:paraId="7A2F1F3C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studio, nella creatività, nell’inclusione e nel lavoro, ma richiedono anche consapevolezza,</w:t>
      </w:r>
    </w:p>
    <w:p w14:paraId="7CCE2A5E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capacità di scelta e attenzione alle conseguenze del loro utilizzo.</w:t>
      </w:r>
    </w:p>
    <w:p w14:paraId="0C3C55CF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Conoscere una tecnologia, infatti, non significa soltanto sapere come funziona. Significa</w:t>
      </w:r>
    </w:p>
    <w:p w14:paraId="01B48AD8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anche imparare a domandarsi a quale problema può rispondere, chi può beneficiarne,</w:t>
      </w:r>
    </w:p>
    <w:p w14:paraId="063F2D21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quali limiti presenta e come possiamo capire se produce davvero un miglioramento.</w:t>
      </w:r>
    </w:p>
    <w:p w14:paraId="40B3085B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La seconda scheda porta queste stesse domande fuori dallo schermo e dentro i luoghi in cui</w:t>
      </w:r>
    </w:p>
    <w:p w14:paraId="2F5472D5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viviamo. Una città, un quartiere o un piccolo centro possono essere osservati con lo stesso</w:t>
      </w:r>
    </w:p>
    <w:p w14:paraId="55C6172A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sguardo progettuale: quali problemi incontrano le persone? Quali servizi mancano? Chi</w:t>
      </w:r>
    </w:p>
    <w:p w14:paraId="2B739288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lastRenderedPageBreak/>
        <w:t>rischia di essere escluso? Come possiamo rendere gli spazi più vivibili, accessibili e capaci</w:t>
      </w:r>
    </w:p>
    <w:p w14:paraId="0BC930F1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di affrontare i cambiamenti climatici e sociali?</w:t>
      </w:r>
    </w:p>
    <w:p w14:paraId="4067569B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Servizi accessibili, mobilità sostenibile, spazi verdi, economia circolare, riduzione degli</w:t>
      </w:r>
    </w:p>
    <w:p w14:paraId="577255F8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sprechi e partecipazione dei cittadini non sono quindi un tema diverso rispetto all’ innovazione.</w:t>
      </w:r>
    </w:p>
    <w:p w14:paraId="5858E6E1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Sono alcuni dei campi nei quali conoscenze, tecnologie e capacità di</w:t>
      </w:r>
    </w:p>
    <w:p w14:paraId="659E3322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progettazione possono trasformarsi in soluzioni concrete.</w:t>
      </w:r>
    </w:p>
    <w:p w14:paraId="011C80B0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Il filo che unisce le due schede è proprio questo passaggio: dall’avere strumenti al saperli</w:t>
      </w:r>
    </w:p>
    <w:p w14:paraId="3D81918A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utilizzare per leggere un bisogno, immaginare una risposta e valutare gli effetti.</w:t>
      </w:r>
    </w:p>
    <w:p w14:paraId="2EB93E6A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Innovare non significa necessariamente inventare qualcosa di nuovo; può significare anche</w:t>
      </w:r>
    </w:p>
    <w:p w14:paraId="139C414D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utilizzare meglio ciò che già esiste, mettere insieme competenze diverse o trovare una</w:t>
      </w:r>
    </w:p>
    <w:p w14:paraId="6C81E3D0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soluzione più semplice, accessibile ed efficace a un problema quotidiano.</w:t>
      </w:r>
    </w:p>
    <w:p w14:paraId="4E0D8F48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Per questo gli studenti saranno invitati non soltanto a conoscere tecnologie, dati e buone</w:t>
      </w:r>
    </w:p>
    <w:p w14:paraId="793EAC92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pratiche, ma a osservare ciò che hanno intorno, formulare domande e progettare possibili</w:t>
      </w:r>
    </w:p>
    <w:p w14:paraId="746F610F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risposte. Nella prima scheda lo faranno partendo dai bisogni della propria generazione; nella</w:t>
      </w:r>
    </w:p>
    <w:p w14:paraId="6FEB7E99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seconda allargheranno lo sguardo alla comunità e al territorio.</w:t>
      </w:r>
    </w:p>
    <w:p w14:paraId="3864A10E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Le attività finali seguono quindi uno stesso percorso: individuare un problema concreto,</w:t>
      </w:r>
    </w:p>
    <w:p w14:paraId="0783581A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immaginare una possibile soluzione, capire chi potrebbe beneficiarne e stabilire quali</w:t>
      </w:r>
    </w:p>
    <w:p w14:paraId="54D791E5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dati potrebbero aiutarci a verificare se l’intervento funziona realmente.</w:t>
      </w:r>
    </w:p>
    <w:p w14:paraId="6D04DDB9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L’obiettivo complessivo è sviluppare una cittadinanza consapevole e attiva. I giovani non</w:t>
      </w:r>
    </w:p>
    <w:p w14:paraId="6EBAF2BF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sono soltanto destinatari delle trasformazioni tecnologiche o delle politiche di sostenibilità.</w:t>
      </w:r>
    </w:p>
    <w:p w14:paraId="14FF82D9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Possono imparare a comprenderle e contribuire a orientarle. In questo senso, costruire il</w:t>
      </w:r>
    </w:p>
    <w:p w14:paraId="294B833E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futuro significa anche imparare a prendersi cura dei luoghi e delle persone con cui quel</w:t>
      </w:r>
    </w:p>
    <w:p w14:paraId="50F6B525" w14:textId="77777777" w:rsidR="00AF6347" w:rsidRPr="00AF6347" w:rsidRDefault="00AF6347" w:rsidP="00AF6347">
      <w:pPr>
        <w:pStyle w:val="Nessunaspaziatura"/>
        <w:spacing w:line="360" w:lineRule="auto"/>
        <w:jc w:val="both"/>
        <w:rPr>
          <w:rFonts w:ascii="Saans TRIAL" w:hAnsi="Saans TRIAL"/>
        </w:rPr>
      </w:pPr>
      <w:r w:rsidRPr="00AF6347">
        <w:rPr>
          <w:rFonts w:ascii="Saans TRIAL" w:hAnsi="Saans TRIAL"/>
        </w:rPr>
        <w:t>futuro sarà condiviso.</w:t>
      </w:r>
    </w:p>
    <w:p w14:paraId="23901B31" w14:textId="77777777" w:rsidR="00AF6347" w:rsidRPr="00AF6347" w:rsidRDefault="00AF6347" w:rsidP="00AF6347">
      <w:pPr>
        <w:spacing w:line="360" w:lineRule="auto"/>
        <w:jc w:val="both"/>
        <w:rPr>
          <w:rFonts w:ascii="Saans TRIAL" w:hAnsi="Saans TRIAL"/>
        </w:rPr>
      </w:pPr>
    </w:p>
    <w:p w14:paraId="416BCD6B" w14:textId="77777777" w:rsidR="00441E35" w:rsidRPr="00AF6347" w:rsidRDefault="00441E35" w:rsidP="00AF6347">
      <w:pPr>
        <w:pStyle w:val="p1"/>
        <w:spacing w:line="360" w:lineRule="auto"/>
        <w:jc w:val="both"/>
        <w:rPr>
          <w:rFonts w:ascii="Saans TRIAL" w:hAnsi="Saans TRIAL"/>
        </w:rPr>
      </w:pPr>
    </w:p>
    <w:sectPr w:rsidR="00441E35" w:rsidRPr="00AF6347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F68375" w14:textId="77777777" w:rsidR="0089169A" w:rsidRDefault="0089169A" w:rsidP="00AF6347">
      <w:pPr>
        <w:spacing w:after="0" w:line="240" w:lineRule="auto"/>
      </w:pPr>
      <w:r>
        <w:separator/>
      </w:r>
    </w:p>
  </w:endnote>
  <w:endnote w:type="continuationSeparator" w:id="0">
    <w:p w14:paraId="7CCB63F5" w14:textId="77777777" w:rsidR="0089169A" w:rsidRDefault="0089169A" w:rsidP="00AF6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eckless TRIAL Medium">
    <w:panose1 w:val="00000000000000000000"/>
    <w:charset w:val="4D"/>
    <w:family w:val="auto"/>
    <w:notTrueType/>
    <w:pitch w:val="variable"/>
    <w:sig w:usb0="A00000EF" w:usb1="0000A47B" w:usb2="00000000" w:usb3="00000000" w:csb0="00000093" w:csb1="00000000"/>
  </w:font>
  <w:font w:name="Saans TRIAL">
    <w:panose1 w:val="020B0504030103020203"/>
    <w:charset w:val="4D"/>
    <w:family w:val="swiss"/>
    <w:notTrueType/>
    <w:pitch w:val="variable"/>
    <w:sig w:usb0="A10000FF" w:usb1="1000A47B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980AAB" w14:textId="77777777" w:rsidR="0089169A" w:rsidRDefault="0089169A" w:rsidP="00AF6347">
      <w:pPr>
        <w:spacing w:after="0" w:line="240" w:lineRule="auto"/>
      </w:pPr>
      <w:r>
        <w:separator/>
      </w:r>
    </w:p>
  </w:footnote>
  <w:footnote w:type="continuationSeparator" w:id="0">
    <w:p w14:paraId="3DB9A471" w14:textId="77777777" w:rsidR="0089169A" w:rsidRDefault="0089169A" w:rsidP="00AF63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161AD2" w14:textId="7DAF1679" w:rsidR="00AF6347" w:rsidRDefault="00AF6347">
    <w:pPr>
      <w:pStyle w:val="Intestazione"/>
    </w:pPr>
    <w:r>
      <w:rPr>
        <w:noProof/>
      </w:rPr>
      <w:drawing>
        <wp:inline distT="0" distB="0" distL="0" distR="0" wp14:anchorId="40FE2DF2" wp14:editId="3E30E37B">
          <wp:extent cx="2987025" cy="597529"/>
          <wp:effectExtent l="0" t="0" r="0" b="0"/>
          <wp:docPr id="120063158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0631586" name="Immagine 12006315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2812" cy="6026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sdt>
      <w:sdtPr>
        <w:id w:val="1704979692"/>
        <w:placeholder>
          <w:docPart w:val="36947B9D8BCECF409A9C9F65E3D22B14"/>
        </w:placeholder>
        <w:temporary/>
        <w:showingPlcHdr/>
        <w15:appearance w15:val="hidden"/>
      </w:sdtPr>
      <w:sdtContent>
        <w:r>
          <w:t>[Digitare qui]</w:t>
        </w:r>
      </w:sdtContent>
    </w:sdt>
    <w:r>
      <w:ptab w:relativeTo="margin" w:alignment="center" w:leader="none"/>
    </w:r>
    <w:sdt>
      <w:sdtPr>
        <w:id w:val="968859947"/>
        <w:placeholder>
          <w:docPart w:val="36947B9D8BCECF409A9C9F65E3D22B14"/>
        </w:placeholder>
        <w:temporary/>
        <w:showingPlcHdr/>
        <w15:appearance w15:val="hidden"/>
      </w:sdtPr>
      <w:sdtContent>
        <w:r>
          <w:t>[Digitare qui]</w:t>
        </w:r>
      </w:sdtContent>
    </w:sdt>
    <w:r>
      <w:ptab w:relativeTo="margin" w:alignment="right" w:leader="none"/>
    </w:r>
    <w:sdt>
      <w:sdtPr>
        <w:id w:val="968859952"/>
        <w:placeholder>
          <w:docPart w:val="36947B9D8BCECF409A9C9F65E3D22B14"/>
        </w:placeholder>
        <w:temporary/>
        <w:showingPlcHdr/>
        <w15:appearance w15:val="hidden"/>
      </w:sdtPr>
      <w:sdtContent>
        <w:r>
          <w:t>[Digitare qui]</w:t>
        </w:r>
      </w:sdtContent>
    </w:sdt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46B"/>
    <w:rsid w:val="0008015C"/>
    <w:rsid w:val="003F746B"/>
    <w:rsid w:val="00441E35"/>
    <w:rsid w:val="0046632E"/>
    <w:rsid w:val="00475BEB"/>
    <w:rsid w:val="00723682"/>
    <w:rsid w:val="0089169A"/>
    <w:rsid w:val="00AF6347"/>
    <w:rsid w:val="00BA2D66"/>
    <w:rsid w:val="00D4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2A5A9D"/>
  <w15:chartTrackingRefBased/>
  <w15:docId w15:val="{F6519B85-4ADF-A14C-BBF8-9634144C5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F74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F74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F74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F74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F74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F74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F74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F74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F74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F74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F74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F74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F746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F746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F746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F746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F746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F746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F74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F74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F74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F74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F74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F746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F746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F746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F74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F746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F746B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e"/>
    <w:rsid w:val="003F746B"/>
    <w:pPr>
      <w:spacing w:after="0" w:line="240" w:lineRule="auto"/>
    </w:pPr>
    <w:rPr>
      <w:rFonts w:ascii="Arial" w:eastAsia="Times New Roman" w:hAnsi="Arial" w:cs="Arial"/>
      <w:color w:val="000000"/>
      <w:kern w:val="0"/>
      <w:sz w:val="35"/>
      <w:szCs w:val="35"/>
      <w14:ligatures w14:val="none"/>
    </w:rPr>
  </w:style>
  <w:style w:type="paragraph" w:customStyle="1" w:styleId="p2">
    <w:name w:val="p2"/>
    <w:basedOn w:val="Normale"/>
    <w:rsid w:val="003F746B"/>
    <w:pPr>
      <w:spacing w:after="0" w:line="240" w:lineRule="auto"/>
    </w:pPr>
    <w:rPr>
      <w:rFonts w:ascii="Arial" w:eastAsia="Times New Roman" w:hAnsi="Arial" w:cs="Arial"/>
      <w:color w:val="000000"/>
      <w:kern w:val="0"/>
      <w:sz w:val="17"/>
      <w:szCs w:val="17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AF63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6347"/>
  </w:style>
  <w:style w:type="paragraph" w:styleId="Pidipagina">
    <w:name w:val="footer"/>
    <w:basedOn w:val="Normale"/>
    <w:link w:val="PidipaginaCarattere"/>
    <w:uiPriority w:val="99"/>
    <w:unhideWhenUsed/>
    <w:rsid w:val="00AF63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6347"/>
  </w:style>
  <w:style w:type="paragraph" w:styleId="Nessunaspaziatura">
    <w:name w:val="No Spacing"/>
    <w:uiPriority w:val="1"/>
    <w:qFormat/>
    <w:rsid w:val="00AF63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36947B9D8BCECF409A9C9F65E3D22B1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C034100-8541-454E-90FD-27766D2265F9}"/>
      </w:docPartPr>
      <w:docPartBody>
        <w:p w:rsidR="00000000" w:rsidRDefault="0077489C" w:rsidP="0077489C">
          <w:pPr>
            <w:pStyle w:val="36947B9D8BCECF409A9C9F65E3D22B14"/>
          </w:pPr>
          <w:r>
            <w:t>[Digitare 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eckless TRIAL Medium">
    <w:panose1 w:val="00000000000000000000"/>
    <w:charset w:val="4D"/>
    <w:family w:val="auto"/>
    <w:notTrueType/>
    <w:pitch w:val="variable"/>
    <w:sig w:usb0="A00000EF" w:usb1="0000A47B" w:usb2="00000000" w:usb3="00000000" w:csb0="00000093" w:csb1="00000000"/>
  </w:font>
  <w:font w:name="Saans TRIAL">
    <w:panose1 w:val="020B0504030103020203"/>
    <w:charset w:val="4D"/>
    <w:family w:val="swiss"/>
    <w:notTrueType/>
    <w:pitch w:val="variable"/>
    <w:sig w:usb0="A10000FF" w:usb1="1000A47B" w:usb2="00000000" w:usb3="00000000" w:csb0="00000193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283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89C"/>
    <w:rsid w:val="00255C33"/>
    <w:rsid w:val="00475BEB"/>
    <w:rsid w:val="00774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36947B9D8BCECF409A9C9F65E3D22B14">
    <w:name w:val="36947B9D8BCECF409A9C9F65E3D22B14"/>
    <w:rsid w:val="007748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Marianantoni</dc:creator>
  <cp:keywords/>
  <dc:description/>
  <cp:lastModifiedBy>Giulia Marianantoni</cp:lastModifiedBy>
  <cp:revision>2</cp:revision>
  <dcterms:created xsi:type="dcterms:W3CDTF">2026-10-01T11:01:00Z</dcterms:created>
  <dcterms:modified xsi:type="dcterms:W3CDTF">2026-10-01T11:01:00Z</dcterms:modified>
</cp:coreProperties>
</file>