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F0A2" w14:textId="0E334699" w:rsidR="00C42720" w:rsidRDefault="00C42720" w:rsidP="000D1983">
      <w:pPr>
        <w:pStyle w:val="Heading1"/>
        <w:rPr>
          <w:b/>
          <w:bCs/>
        </w:rPr>
      </w:pPr>
      <w:r>
        <w:rPr>
          <w:noProof/>
        </w:rPr>
        <w:drawing>
          <wp:inline distT="0" distB="0" distL="0" distR="0" wp14:anchorId="602820BD" wp14:editId="7E7CE599">
            <wp:extent cx="5943600" cy="1543050"/>
            <wp:effectExtent l="0" t="0" r="0" b="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52AA" w14:textId="543047A2" w:rsidR="000D1983" w:rsidRDefault="000D1983" w:rsidP="000D1983">
      <w:pPr>
        <w:pStyle w:val="Heading1"/>
        <w:rPr>
          <w:b/>
          <w:bCs/>
        </w:rPr>
      </w:pPr>
      <w:r>
        <w:rPr>
          <w:b/>
          <w:bCs/>
        </w:rPr>
        <w:t>SHAVE BIOPSY</w:t>
      </w:r>
    </w:p>
    <w:p w14:paraId="7E69198C" w14:textId="77777777" w:rsidR="000D1983" w:rsidRDefault="000D1983" w:rsidP="000D1983">
      <w:pPr>
        <w:pStyle w:val="Heading2"/>
      </w:pPr>
      <w:r>
        <w:t>WOUND CARE INSTRUCTIONS</w:t>
      </w:r>
    </w:p>
    <w:p w14:paraId="21060F3D" w14:textId="77777777" w:rsidR="000D1983" w:rsidRDefault="000D1983" w:rsidP="000D1983">
      <w:pPr>
        <w:jc w:val="both"/>
        <w:rPr>
          <w:sz w:val="28"/>
        </w:rPr>
      </w:pPr>
    </w:p>
    <w:p w14:paraId="008368E9" w14:textId="77777777" w:rsidR="000D1983" w:rsidRPr="00FF517E" w:rsidRDefault="000D1983" w:rsidP="000D1983">
      <w:pPr>
        <w:jc w:val="both"/>
        <w:rPr>
          <w:sz w:val="24"/>
          <w:szCs w:val="24"/>
        </w:rPr>
      </w:pPr>
      <w:r w:rsidRPr="00FF517E">
        <w:rPr>
          <w:sz w:val="24"/>
          <w:szCs w:val="24"/>
        </w:rPr>
        <w:t>You have undergone a</w:t>
      </w:r>
      <w:r w:rsidR="00FF517E" w:rsidRPr="00FF517E">
        <w:rPr>
          <w:sz w:val="24"/>
          <w:szCs w:val="24"/>
        </w:rPr>
        <w:t xml:space="preserve"> shave</w:t>
      </w:r>
      <w:r w:rsidRPr="00FF517E">
        <w:rPr>
          <w:sz w:val="24"/>
          <w:szCs w:val="24"/>
        </w:rPr>
        <w:t xml:space="preserve"> biopsy today. A biopsy is the removal </w:t>
      </w:r>
      <w:r w:rsidR="00A64EA7">
        <w:rPr>
          <w:sz w:val="24"/>
          <w:szCs w:val="24"/>
        </w:rPr>
        <w:t xml:space="preserve">of a small sample of a growth. </w:t>
      </w:r>
      <w:r w:rsidRPr="00FF517E">
        <w:rPr>
          <w:sz w:val="24"/>
          <w:szCs w:val="24"/>
        </w:rPr>
        <w:t xml:space="preserve">The sample is then sent to a pathologist, a doctor who examines the sample under a microscope and renders a diagnosis regarding the type of growth or disease present. Knowing the type of growth or disease helps us to determine the best possible way to treat you. </w:t>
      </w:r>
    </w:p>
    <w:p w14:paraId="4C5C6CA3" w14:textId="77777777" w:rsidR="000D1983" w:rsidRPr="00FF517E" w:rsidRDefault="000D1983" w:rsidP="000D1983">
      <w:pPr>
        <w:jc w:val="both"/>
        <w:rPr>
          <w:sz w:val="24"/>
          <w:szCs w:val="24"/>
        </w:rPr>
      </w:pPr>
      <w:r w:rsidRPr="00FF517E">
        <w:rPr>
          <w:sz w:val="24"/>
          <w:szCs w:val="24"/>
        </w:rPr>
        <w:t>You will need to take care of this biopsy site to prevent infecti</w:t>
      </w:r>
      <w:r w:rsidR="00A64EA7">
        <w:rPr>
          <w:sz w:val="24"/>
          <w:szCs w:val="24"/>
        </w:rPr>
        <w:t xml:space="preserve">on and aid in optimal healing. </w:t>
      </w:r>
      <w:r w:rsidRPr="00FF517E">
        <w:rPr>
          <w:sz w:val="24"/>
          <w:szCs w:val="24"/>
        </w:rPr>
        <w:t>You can purchase any of these items needed for your wound care at any pharmacy.</w:t>
      </w:r>
    </w:p>
    <w:p w14:paraId="10C099B0" w14:textId="77777777" w:rsidR="000D1983" w:rsidRPr="00FF517E" w:rsidRDefault="000D1983" w:rsidP="000D1983">
      <w:pPr>
        <w:jc w:val="both"/>
        <w:rPr>
          <w:sz w:val="24"/>
          <w:szCs w:val="24"/>
        </w:rPr>
      </w:pPr>
    </w:p>
    <w:p w14:paraId="47D4A62A" w14:textId="77777777" w:rsidR="000D1983" w:rsidRPr="00FF517E" w:rsidRDefault="000D1983" w:rsidP="000D198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17E">
        <w:rPr>
          <w:sz w:val="24"/>
          <w:szCs w:val="24"/>
        </w:rPr>
        <w:t>Leave the bandage on for 24 hours.</w:t>
      </w:r>
      <w:r w:rsidR="00A64EA7">
        <w:rPr>
          <w:sz w:val="24"/>
          <w:szCs w:val="24"/>
        </w:rPr>
        <w:t xml:space="preserve"> </w:t>
      </w:r>
      <w:r w:rsidR="00DD1567" w:rsidRPr="00FF517E">
        <w:rPr>
          <w:sz w:val="24"/>
          <w:szCs w:val="24"/>
        </w:rPr>
        <w:t>Do</w:t>
      </w:r>
      <w:r w:rsidRPr="00FF517E">
        <w:rPr>
          <w:sz w:val="24"/>
          <w:szCs w:val="24"/>
        </w:rPr>
        <w:t xml:space="preserve"> not to get the bandage wet or dirty.</w:t>
      </w:r>
    </w:p>
    <w:p w14:paraId="43F7800F" w14:textId="77777777" w:rsidR="000D1983" w:rsidRPr="00FF517E" w:rsidRDefault="000D1983" w:rsidP="000D198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17E">
        <w:rPr>
          <w:sz w:val="24"/>
          <w:szCs w:val="24"/>
        </w:rPr>
        <w:t>After 24 hours,</w:t>
      </w:r>
      <w:r w:rsidR="00DD1567" w:rsidRPr="00FF517E">
        <w:rPr>
          <w:sz w:val="24"/>
          <w:szCs w:val="24"/>
        </w:rPr>
        <w:t xml:space="preserve"> remove the bandage and</w:t>
      </w:r>
      <w:r w:rsidRPr="00FF517E">
        <w:rPr>
          <w:sz w:val="24"/>
          <w:szCs w:val="24"/>
        </w:rPr>
        <w:t xml:space="preserve"> clean the biopsy site twice daily </w:t>
      </w:r>
      <w:r w:rsidR="00DD1567" w:rsidRPr="00FF517E">
        <w:rPr>
          <w:sz w:val="24"/>
          <w:szCs w:val="24"/>
        </w:rPr>
        <w:t>using a</w:t>
      </w:r>
      <w:r w:rsidRPr="00FF517E">
        <w:rPr>
          <w:sz w:val="24"/>
          <w:szCs w:val="24"/>
        </w:rPr>
        <w:t xml:space="preserve"> mild soap and water.</w:t>
      </w:r>
    </w:p>
    <w:p w14:paraId="08F8A162" w14:textId="5187B4EF" w:rsidR="000D1983" w:rsidRPr="00FF517E" w:rsidRDefault="000D1983" w:rsidP="000D198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17E">
        <w:rPr>
          <w:sz w:val="24"/>
          <w:szCs w:val="24"/>
        </w:rPr>
        <w:t>Thoroughly</w:t>
      </w:r>
      <w:r w:rsidR="00DD1567" w:rsidRPr="00FF517E">
        <w:rPr>
          <w:sz w:val="24"/>
          <w:szCs w:val="24"/>
        </w:rPr>
        <w:t xml:space="preserve"> and gently pat </w:t>
      </w:r>
      <w:r w:rsidRPr="00FF517E">
        <w:rPr>
          <w:sz w:val="24"/>
          <w:szCs w:val="24"/>
        </w:rPr>
        <w:t>dry the area and apply a small amount of Vaseline ointme</w:t>
      </w:r>
      <w:r w:rsidR="00FF517E" w:rsidRPr="00FF517E">
        <w:rPr>
          <w:sz w:val="24"/>
          <w:szCs w:val="24"/>
        </w:rPr>
        <w:t>nt</w:t>
      </w:r>
      <w:r w:rsidR="000A55C6">
        <w:rPr>
          <w:sz w:val="24"/>
          <w:szCs w:val="24"/>
        </w:rPr>
        <w:t xml:space="preserve"> dir</w:t>
      </w:r>
      <w:r w:rsidR="00FF517E" w:rsidRPr="00FF517E">
        <w:rPr>
          <w:sz w:val="24"/>
          <w:szCs w:val="24"/>
        </w:rPr>
        <w:t xml:space="preserve">ectly on the biopsy site. </w:t>
      </w:r>
      <w:r w:rsidRPr="00FF517E">
        <w:rPr>
          <w:sz w:val="24"/>
          <w:szCs w:val="24"/>
        </w:rPr>
        <w:t xml:space="preserve">Avoid </w:t>
      </w:r>
      <w:r w:rsidR="000A55C6">
        <w:rPr>
          <w:sz w:val="24"/>
          <w:szCs w:val="24"/>
        </w:rPr>
        <w:t xml:space="preserve">Bacitracin, </w:t>
      </w:r>
      <w:r w:rsidRPr="00FF517E">
        <w:rPr>
          <w:sz w:val="24"/>
          <w:szCs w:val="24"/>
        </w:rPr>
        <w:t>Neosporin or Neomycin.</w:t>
      </w:r>
    </w:p>
    <w:p w14:paraId="4553EF96" w14:textId="77777777" w:rsidR="00FF517E" w:rsidRPr="00FF517E" w:rsidRDefault="000D1983" w:rsidP="00FF51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17E">
        <w:rPr>
          <w:sz w:val="24"/>
          <w:szCs w:val="24"/>
        </w:rPr>
        <w:t>Cover th</w:t>
      </w:r>
      <w:r w:rsidR="00DD1567" w:rsidRPr="00FF517E">
        <w:rPr>
          <w:sz w:val="24"/>
          <w:szCs w:val="24"/>
        </w:rPr>
        <w:t>e biopsy site with a clean bandage</w:t>
      </w:r>
      <w:r w:rsidRPr="00FF517E">
        <w:rPr>
          <w:sz w:val="24"/>
          <w:szCs w:val="24"/>
        </w:rPr>
        <w:t>.</w:t>
      </w:r>
    </w:p>
    <w:p w14:paraId="401B362B" w14:textId="00609E76" w:rsidR="000D1983" w:rsidRPr="00FF517E" w:rsidRDefault="00FF517E" w:rsidP="000D198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17E">
        <w:rPr>
          <w:sz w:val="24"/>
          <w:szCs w:val="24"/>
        </w:rPr>
        <w:t>Repeat daily for</w:t>
      </w:r>
      <w:r w:rsidR="00A64EA7">
        <w:rPr>
          <w:sz w:val="24"/>
          <w:szCs w:val="24"/>
        </w:rPr>
        <w:t xml:space="preserve"> </w:t>
      </w:r>
      <w:r w:rsidR="00A8267E">
        <w:rPr>
          <w:sz w:val="24"/>
          <w:szCs w:val="24"/>
        </w:rPr>
        <w:t>5</w:t>
      </w:r>
      <w:r w:rsidR="00A64EA7">
        <w:rPr>
          <w:sz w:val="24"/>
          <w:szCs w:val="24"/>
        </w:rPr>
        <w:t>-</w:t>
      </w:r>
      <w:r w:rsidR="00A8267E">
        <w:rPr>
          <w:sz w:val="24"/>
          <w:szCs w:val="24"/>
        </w:rPr>
        <w:t>7</w:t>
      </w:r>
      <w:r w:rsidR="00A64EA7">
        <w:rPr>
          <w:sz w:val="24"/>
          <w:szCs w:val="24"/>
        </w:rPr>
        <w:t xml:space="preserve"> days or until healed.</w:t>
      </w:r>
    </w:p>
    <w:p w14:paraId="6EF9DFF1" w14:textId="77777777" w:rsidR="000D1983" w:rsidRPr="00FF517E" w:rsidRDefault="000D1983" w:rsidP="000D1983">
      <w:pPr>
        <w:jc w:val="both"/>
        <w:rPr>
          <w:sz w:val="24"/>
          <w:szCs w:val="24"/>
        </w:rPr>
      </w:pPr>
    </w:p>
    <w:p w14:paraId="031115F8" w14:textId="77777777" w:rsidR="00F65D25" w:rsidRPr="00B911E2" w:rsidRDefault="00F65D25" w:rsidP="00F65D25">
      <w:pPr>
        <w:rPr>
          <w:b/>
        </w:rPr>
      </w:pPr>
      <w:r w:rsidRPr="00B911E2">
        <w:rPr>
          <w:b/>
        </w:rPr>
        <w:t>Please CALL if you develop signs of infection such as:</w:t>
      </w:r>
    </w:p>
    <w:p w14:paraId="4184707C" w14:textId="77777777" w:rsidR="00F65D25" w:rsidRPr="00B911E2" w:rsidRDefault="00F65D25" w:rsidP="00F65D25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Thick, yellow, pus-like drainage that is associated with an odor.</w:t>
      </w:r>
    </w:p>
    <w:p w14:paraId="10DC1108" w14:textId="77777777" w:rsidR="00F65D25" w:rsidRPr="00B911E2" w:rsidRDefault="00F65D25" w:rsidP="00F65D25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Fever over 101° Fahrenheit</w:t>
      </w:r>
    </w:p>
    <w:p w14:paraId="65860B10" w14:textId="77777777" w:rsidR="00F65D25" w:rsidRPr="00B911E2" w:rsidRDefault="00F65D25" w:rsidP="00F65D25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 xml:space="preserve">Redness streaking from </w:t>
      </w:r>
      <w:r>
        <w:t xml:space="preserve">biopsy </w:t>
      </w:r>
      <w:r w:rsidRPr="00B911E2">
        <w:t>site that continues to increase over 24 hours.</w:t>
      </w:r>
    </w:p>
    <w:p w14:paraId="626356A0" w14:textId="77777777" w:rsidR="00F65D25" w:rsidRPr="00B911E2" w:rsidRDefault="00F65D25" w:rsidP="00F65D25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Pain and swelling at the</w:t>
      </w:r>
      <w:r>
        <w:t xml:space="preserve"> biopsy</w:t>
      </w:r>
      <w:r w:rsidRPr="00B911E2">
        <w:t xml:space="preserve"> site.</w:t>
      </w:r>
    </w:p>
    <w:p w14:paraId="17FF34F5" w14:textId="77777777" w:rsidR="00F65D25" w:rsidRDefault="00F65D25" w:rsidP="00F65D25">
      <w:pPr>
        <w:spacing w:after="0" w:line="240" w:lineRule="auto"/>
      </w:pPr>
    </w:p>
    <w:p w14:paraId="349F6602" w14:textId="77777777" w:rsidR="00F65D25" w:rsidRDefault="00F65D25" w:rsidP="00F65D25">
      <w:r>
        <w:t>**Some redness is part of the normal healing process. If you have any questions, don’t hesitate to call.</w:t>
      </w:r>
    </w:p>
    <w:p w14:paraId="62192DBF" w14:textId="77777777" w:rsidR="006B6EE2" w:rsidRDefault="006B6EE2" w:rsidP="006068C0">
      <w:pPr>
        <w:spacing w:after="0"/>
      </w:pPr>
    </w:p>
    <w:sectPr w:rsidR="006B6EE2" w:rsidSect="00D34CB7">
      <w:footerReference w:type="default" r:id="rId8"/>
      <w:pgSz w:w="12240" w:h="15840"/>
      <w:pgMar w:top="720" w:right="720" w:bottom="245" w:left="720" w:header="245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52E9" w14:textId="77777777" w:rsidR="00FF517E" w:rsidRDefault="00FF517E" w:rsidP="006B6EE2">
      <w:pPr>
        <w:spacing w:after="0" w:line="240" w:lineRule="auto"/>
      </w:pPr>
      <w:r>
        <w:separator/>
      </w:r>
    </w:p>
  </w:endnote>
  <w:endnote w:type="continuationSeparator" w:id="0">
    <w:p w14:paraId="3DF238BA" w14:textId="77777777" w:rsidR="00FF517E" w:rsidRDefault="00FF517E" w:rsidP="006B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4"/>
      <w:gridCol w:w="2464"/>
      <w:gridCol w:w="2466"/>
    </w:tblGrid>
    <w:tr w:rsidR="00FF517E" w:rsidRPr="005D3DA9" w14:paraId="3863B542" w14:textId="77777777" w:rsidTr="00FF517E">
      <w:trPr>
        <w:trHeight w:val="287"/>
        <w:jc w:val="center"/>
      </w:trPr>
      <w:tc>
        <w:tcPr>
          <w:tcW w:w="2464" w:type="dxa"/>
        </w:tcPr>
        <w:p w14:paraId="41EC85F0" w14:textId="77777777" w:rsidR="00FF517E" w:rsidRPr="005D3DA9" w:rsidRDefault="00FF517E" w:rsidP="00FF517E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BURNSVILLE</w:t>
          </w:r>
        </w:p>
      </w:tc>
      <w:tc>
        <w:tcPr>
          <w:tcW w:w="2464" w:type="dxa"/>
        </w:tcPr>
        <w:p w14:paraId="29DB2AB8" w14:textId="77777777" w:rsidR="00FF517E" w:rsidRPr="005D3DA9" w:rsidRDefault="00FF517E" w:rsidP="00FF517E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CENTENNIAL LAKES</w:t>
          </w:r>
        </w:p>
      </w:tc>
      <w:tc>
        <w:tcPr>
          <w:tcW w:w="2464" w:type="dxa"/>
        </w:tcPr>
        <w:p w14:paraId="5802A936" w14:textId="77777777" w:rsidR="00FF517E" w:rsidRPr="005D3DA9" w:rsidRDefault="00FF517E" w:rsidP="00FF517E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ORONO</w:t>
          </w:r>
        </w:p>
      </w:tc>
      <w:tc>
        <w:tcPr>
          <w:tcW w:w="2466" w:type="dxa"/>
        </w:tcPr>
        <w:p w14:paraId="79226AAF" w14:textId="77777777" w:rsidR="00FF517E" w:rsidRPr="005D3DA9" w:rsidRDefault="00FF517E" w:rsidP="00FF517E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SARTELL</w:t>
          </w:r>
        </w:p>
      </w:tc>
    </w:tr>
    <w:tr w:rsidR="00FF517E" w:rsidRPr="005D3DA9" w14:paraId="5D183360" w14:textId="77777777" w:rsidTr="00FF517E">
      <w:trPr>
        <w:trHeight w:val="250"/>
        <w:jc w:val="center"/>
      </w:trPr>
      <w:tc>
        <w:tcPr>
          <w:tcW w:w="2464" w:type="dxa"/>
        </w:tcPr>
        <w:p w14:paraId="642D7E37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404FEAA2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54E91CD8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PROFESSIONAL BUILDING</w:t>
          </w:r>
        </w:p>
      </w:tc>
      <w:tc>
        <w:tcPr>
          <w:tcW w:w="2466" w:type="dxa"/>
        </w:tcPr>
        <w:p w14:paraId="0E047C10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OFFICE</w:t>
          </w:r>
        </w:p>
      </w:tc>
    </w:tr>
    <w:tr w:rsidR="00FF517E" w:rsidRPr="005D3DA9" w14:paraId="157E006D" w14:textId="77777777" w:rsidTr="00FF517E">
      <w:trPr>
        <w:trHeight w:val="250"/>
        <w:jc w:val="center"/>
      </w:trPr>
      <w:tc>
        <w:tcPr>
          <w:tcW w:w="2464" w:type="dxa"/>
        </w:tcPr>
        <w:p w14:paraId="0477C13F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14000 Nicollet Ave. So., #304</w:t>
          </w:r>
        </w:p>
      </w:tc>
      <w:tc>
        <w:tcPr>
          <w:tcW w:w="2464" w:type="dxa"/>
        </w:tcPr>
        <w:p w14:paraId="013D396D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7373 France Ave. So., #304</w:t>
          </w:r>
        </w:p>
      </w:tc>
      <w:tc>
        <w:tcPr>
          <w:tcW w:w="2464" w:type="dxa"/>
        </w:tcPr>
        <w:p w14:paraId="24D0AC2B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2765 Kelley Parkway, #100</w:t>
          </w:r>
        </w:p>
      </w:tc>
      <w:tc>
        <w:tcPr>
          <w:tcW w:w="2466" w:type="dxa"/>
        </w:tcPr>
        <w:p w14:paraId="7469AF7B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 xml:space="preserve">1350 </w:t>
          </w:r>
          <w:proofErr w:type="spellStart"/>
          <w:r w:rsidRPr="005D3DA9">
            <w:rPr>
              <w:color w:val="003300"/>
              <w:sz w:val="16"/>
              <w:szCs w:val="16"/>
            </w:rPr>
            <w:t>LeSauk</w:t>
          </w:r>
          <w:proofErr w:type="spellEnd"/>
          <w:r w:rsidRPr="005D3DA9">
            <w:rPr>
              <w:color w:val="003300"/>
              <w:sz w:val="16"/>
              <w:szCs w:val="16"/>
            </w:rPr>
            <w:t xml:space="preserve"> Drive</w:t>
          </w:r>
        </w:p>
      </w:tc>
    </w:tr>
    <w:tr w:rsidR="00FF517E" w:rsidRPr="005D3DA9" w14:paraId="3736BB2B" w14:textId="77777777" w:rsidTr="00FF517E">
      <w:trPr>
        <w:trHeight w:val="250"/>
        <w:jc w:val="center"/>
      </w:trPr>
      <w:tc>
        <w:tcPr>
          <w:tcW w:w="2464" w:type="dxa"/>
        </w:tcPr>
        <w:p w14:paraId="1DE325B3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Burnsville, MN 55337</w:t>
          </w:r>
        </w:p>
      </w:tc>
      <w:tc>
        <w:tcPr>
          <w:tcW w:w="2464" w:type="dxa"/>
        </w:tcPr>
        <w:p w14:paraId="2E29FE2C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Edina, MN 55435</w:t>
          </w:r>
        </w:p>
      </w:tc>
      <w:tc>
        <w:tcPr>
          <w:tcW w:w="2464" w:type="dxa"/>
        </w:tcPr>
        <w:p w14:paraId="1C08B607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Orono, MN 55356</w:t>
          </w:r>
        </w:p>
      </w:tc>
      <w:tc>
        <w:tcPr>
          <w:tcW w:w="2466" w:type="dxa"/>
        </w:tcPr>
        <w:p w14:paraId="153BEE6E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Sartell, MN 56377</w:t>
          </w:r>
        </w:p>
      </w:tc>
    </w:tr>
    <w:tr w:rsidR="00FF517E" w:rsidRPr="005D3DA9" w14:paraId="026928A4" w14:textId="77777777" w:rsidTr="00FF517E">
      <w:trPr>
        <w:trHeight w:val="250"/>
        <w:jc w:val="center"/>
      </w:trPr>
      <w:tc>
        <w:tcPr>
          <w:tcW w:w="2464" w:type="dxa"/>
        </w:tcPr>
        <w:p w14:paraId="49B725DB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898-1600</w:t>
          </w:r>
        </w:p>
      </w:tc>
      <w:tc>
        <w:tcPr>
          <w:tcW w:w="2464" w:type="dxa"/>
        </w:tcPr>
        <w:p w14:paraId="1234161B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224-5712</w:t>
          </w:r>
        </w:p>
      </w:tc>
      <w:tc>
        <w:tcPr>
          <w:tcW w:w="2464" w:type="dxa"/>
        </w:tcPr>
        <w:p w14:paraId="7340D196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345-4222</w:t>
          </w:r>
        </w:p>
      </w:tc>
      <w:tc>
        <w:tcPr>
          <w:tcW w:w="2466" w:type="dxa"/>
        </w:tcPr>
        <w:p w14:paraId="18B56826" w14:textId="77777777" w:rsidR="00FF517E" w:rsidRPr="005D3DA9" w:rsidRDefault="00FF517E" w:rsidP="00FF517E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(320) 252-7546</w:t>
          </w:r>
        </w:p>
      </w:tc>
    </w:tr>
  </w:tbl>
  <w:p w14:paraId="1748BCD9" w14:textId="77777777" w:rsidR="00FF517E" w:rsidRDefault="00FF517E" w:rsidP="00D34C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0821" w14:textId="77777777" w:rsidR="00FF517E" w:rsidRDefault="00FF517E" w:rsidP="006B6EE2">
      <w:pPr>
        <w:spacing w:after="0" w:line="240" w:lineRule="auto"/>
      </w:pPr>
      <w:r>
        <w:separator/>
      </w:r>
    </w:p>
  </w:footnote>
  <w:footnote w:type="continuationSeparator" w:id="0">
    <w:p w14:paraId="5D0D2689" w14:textId="77777777" w:rsidR="00FF517E" w:rsidRDefault="00FF517E" w:rsidP="006B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51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EFB0CC5"/>
    <w:multiLevelType w:val="hybridMultilevel"/>
    <w:tmpl w:val="C1240EDC"/>
    <w:lvl w:ilvl="0" w:tplc="0BDEB8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0ACD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541133">
    <w:abstractNumId w:val="1"/>
  </w:num>
  <w:num w:numId="2" w16cid:durableId="9365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E2"/>
    <w:rsid w:val="000A55C6"/>
    <w:rsid w:val="000D1983"/>
    <w:rsid w:val="000E1267"/>
    <w:rsid w:val="002B182C"/>
    <w:rsid w:val="002C6869"/>
    <w:rsid w:val="00314F9E"/>
    <w:rsid w:val="00361972"/>
    <w:rsid w:val="005D3DA9"/>
    <w:rsid w:val="006068C0"/>
    <w:rsid w:val="006B6EE2"/>
    <w:rsid w:val="009D3CA1"/>
    <w:rsid w:val="00A64EA7"/>
    <w:rsid w:val="00A67848"/>
    <w:rsid w:val="00A8267E"/>
    <w:rsid w:val="00C064AF"/>
    <w:rsid w:val="00C42720"/>
    <w:rsid w:val="00D34CB7"/>
    <w:rsid w:val="00D93A96"/>
    <w:rsid w:val="00DD1567"/>
    <w:rsid w:val="00E15D2F"/>
    <w:rsid w:val="00F07CBB"/>
    <w:rsid w:val="00F65D2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888E6"/>
  <w15:docId w15:val="{2C41C833-84D1-44B8-B1F9-1897273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19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19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E2"/>
  </w:style>
  <w:style w:type="paragraph" w:styleId="Footer">
    <w:name w:val="footer"/>
    <w:basedOn w:val="Normal"/>
    <w:link w:val="Foot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E2"/>
  </w:style>
  <w:style w:type="table" w:styleId="TableGrid">
    <w:name w:val="Table Grid"/>
    <w:basedOn w:val="TableNormal"/>
    <w:uiPriority w:val="59"/>
    <w:rsid w:val="006B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D198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1983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McDonough</dc:creator>
  <cp:lastModifiedBy>Amanda Shults</cp:lastModifiedBy>
  <cp:revision>10</cp:revision>
  <cp:lastPrinted>2021-07-01T13:35:00Z</cp:lastPrinted>
  <dcterms:created xsi:type="dcterms:W3CDTF">2017-05-08T13:59:00Z</dcterms:created>
  <dcterms:modified xsi:type="dcterms:W3CDTF">2023-05-25T19:08:00Z</dcterms:modified>
</cp:coreProperties>
</file>