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748F1" w:rsidRDefault="00494D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MEF University</w:t>
      </w:r>
    </w:p>
    <w:p w14:paraId="00000002" w14:textId="77777777" w:rsidR="006748F1" w:rsidRDefault="00494D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Declaration Form for Ethical Approval in </w:t>
      </w:r>
      <w:proofErr w:type="gramStart"/>
      <w:r>
        <w:rPr>
          <w:b/>
          <w:color w:val="000000"/>
        </w:rPr>
        <w:t>Researches</w:t>
      </w:r>
      <w:proofErr w:type="gramEnd"/>
    </w:p>
    <w:p w14:paraId="00000003" w14:textId="77777777" w:rsidR="006748F1" w:rsidRDefault="00494D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 Involving Child Participant </w:t>
      </w:r>
    </w:p>
    <w:p w14:paraId="00000004" w14:textId="77777777" w:rsidR="006748F1" w:rsidRDefault="00674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00000005" w14:textId="77777777" w:rsidR="006748F1" w:rsidRDefault="00494D95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Regarding research studies that will be carried out with child participants:</w:t>
      </w:r>
    </w:p>
    <w:p w14:paraId="00000006" w14:textId="77777777" w:rsidR="006748F1" w:rsidRDefault="00494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80" w:line="240" w:lineRule="auto"/>
        <w:ind w:left="0" w:hanging="2"/>
        <w:rPr>
          <w:color w:val="000000"/>
        </w:rPr>
      </w:pPr>
      <w:r>
        <w:rPr>
          <w:color w:val="000000"/>
        </w:rPr>
        <w:t xml:space="preserve">In addition to parents’ approval, it should be ensured that the children are volunteered to </w:t>
      </w:r>
      <w:r>
        <w:t>participate in the</w:t>
      </w:r>
      <w:r>
        <w:rPr>
          <w:color w:val="000000"/>
        </w:rPr>
        <w:t xml:space="preserve"> research activity. It should never be insisted to complete the activity if the child wants to withdraw in any phase of the activity. Researchers </w:t>
      </w:r>
      <w:r>
        <w:rPr>
          <w:color w:val="000000"/>
        </w:rPr>
        <w:t xml:space="preserve">and/or </w:t>
      </w:r>
      <w:r>
        <w:t>teachers</w:t>
      </w:r>
      <w:r>
        <w:rPr>
          <w:color w:val="000000"/>
        </w:rPr>
        <w:t xml:space="preserve"> or parents should take initiative to abort the experiment if the children are scared or feel uneasy, </w:t>
      </w:r>
      <w:r>
        <w:t>even if they</w:t>
      </w:r>
      <w:r>
        <w:rPr>
          <w:color w:val="000000"/>
        </w:rPr>
        <w:t xml:space="preserve"> don’t ask to. </w:t>
      </w:r>
    </w:p>
    <w:p w14:paraId="00000007" w14:textId="77777777" w:rsidR="006748F1" w:rsidRDefault="006748F1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</w:rPr>
      </w:pPr>
    </w:p>
    <w:p w14:paraId="00000008" w14:textId="77777777" w:rsidR="006748F1" w:rsidRDefault="00494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During the participation, children should be monitored by their parents or teachers. If needed, </w:t>
      </w:r>
      <w:proofErr w:type="gramStart"/>
      <w:r>
        <w:rPr>
          <w:color w:val="000000"/>
        </w:rPr>
        <w:t>in order to</w:t>
      </w:r>
      <w:proofErr w:type="gramEnd"/>
      <w:r>
        <w:rPr>
          <w:color w:val="000000"/>
        </w:rPr>
        <w:t xml:space="preserve"> carry on the participation effectively, parents or teachers may monitor the children from somewhere they cannot be seen</w:t>
      </w:r>
    </w:p>
    <w:p w14:paraId="00000009" w14:textId="77777777" w:rsidR="006748F1" w:rsidRDefault="006748F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rPr>
          <w:color w:val="000000"/>
        </w:rPr>
      </w:pPr>
    </w:p>
    <w:p w14:paraId="0000000A" w14:textId="77777777" w:rsidR="006748F1" w:rsidRDefault="00494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280" w:line="240" w:lineRule="auto"/>
        <w:ind w:left="0" w:hanging="2"/>
        <w:rPr>
          <w:color w:val="000000"/>
        </w:rPr>
      </w:pPr>
      <w:r>
        <w:rPr>
          <w:color w:val="000000"/>
        </w:rPr>
        <w:t xml:space="preserve">Activities with children should not contain any items that may cause temporary or permanent fear, sadness, </w:t>
      </w:r>
      <w:proofErr w:type="gramStart"/>
      <w:r>
        <w:rPr>
          <w:color w:val="000000"/>
        </w:rPr>
        <w:t>nervousness</w:t>
      </w:r>
      <w:proofErr w:type="gramEnd"/>
      <w:r>
        <w:rPr>
          <w:color w:val="000000"/>
        </w:rPr>
        <w:t xml:space="preserve"> or anxiety, and should not jeopardize them both financially and emotionally </w:t>
      </w:r>
    </w:p>
    <w:p w14:paraId="0000000B" w14:textId="77777777" w:rsidR="006748F1" w:rsidRDefault="006748F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rPr>
          <w:color w:val="000000"/>
        </w:rPr>
      </w:pPr>
    </w:p>
    <w:p w14:paraId="0000000C" w14:textId="77777777" w:rsidR="006748F1" w:rsidRDefault="00494D9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280"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I agree that I will work accordingly as stated ab</w:t>
      </w:r>
      <w:r>
        <w:rPr>
          <w:color w:val="000000"/>
        </w:rPr>
        <w:t xml:space="preserve">ove during my </w:t>
      </w:r>
      <w:r w:rsidRPr="00494D95">
        <w:rPr>
          <w:color w:val="000000"/>
        </w:rPr>
        <w:t xml:space="preserve">research </w:t>
      </w:r>
      <w:r>
        <w:rPr>
          <w:color w:val="000000"/>
          <w:highlight w:val="yellow"/>
          <w:u w:val="single"/>
        </w:rPr>
        <w:t xml:space="preserve">                       </w:t>
      </w:r>
      <w:proofErr w:type="gramStart"/>
      <w:r>
        <w:rPr>
          <w:color w:val="000000"/>
          <w:highlight w:val="yellow"/>
          <w:u w:val="single"/>
        </w:rPr>
        <w:t xml:space="preserve">  .</w:t>
      </w:r>
      <w:proofErr w:type="gramEnd"/>
    </w:p>
    <w:p w14:paraId="0000000D" w14:textId="77777777" w:rsidR="006748F1" w:rsidRDefault="00494D9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280"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14:paraId="0000000E" w14:textId="77777777" w:rsidR="006748F1" w:rsidRDefault="00494D9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280"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 xml:space="preserve"> Research Coordinator: </w:t>
      </w:r>
      <w:r>
        <w:rPr>
          <w:color w:val="000000"/>
          <w:u w:val="single"/>
        </w:rPr>
        <w:t xml:space="preserve">                                                </w:t>
      </w:r>
      <w:proofErr w:type="gramStart"/>
      <w:r>
        <w:rPr>
          <w:color w:val="000000"/>
          <w:u w:val="single"/>
        </w:rPr>
        <w:t xml:space="preserve">  .</w:t>
      </w:r>
      <w:proofErr w:type="gramEnd"/>
    </w:p>
    <w:p w14:paraId="0000000F" w14:textId="77777777" w:rsidR="006748F1" w:rsidRDefault="00494D9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280"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 xml:space="preserve"> Date: </w:t>
      </w:r>
      <w:r>
        <w:rPr>
          <w:color w:val="000000"/>
          <w:u w:val="single"/>
        </w:rPr>
        <w:t xml:space="preserve">                                </w:t>
      </w:r>
      <w:proofErr w:type="gramStart"/>
      <w:r>
        <w:rPr>
          <w:color w:val="000000"/>
          <w:u w:val="single"/>
        </w:rPr>
        <w:t xml:space="preserve">  </w:t>
      </w:r>
      <w:r>
        <w:rPr>
          <w:color w:val="000000"/>
        </w:rPr>
        <w:t>.</w:t>
      </w:r>
      <w:proofErr w:type="gramEnd"/>
    </w:p>
    <w:p w14:paraId="00000010" w14:textId="77777777" w:rsidR="006748F1" w:rsidRDefault="006748F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280" w:line="240" w:lineRule="auto"/>
        <w:ind w:left="0" w:hanging="2"/>
        <w:rPr>
          <w:color w:val="000000"/>
        </w:rPr>
      </w:pPr>
    </w:p>
    <w:p w14:paraId="00000011" w14:textId="77777777" w:rsidR="006748F1" w:rsidRDefault="00674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imbus Mono L" w:eastAsia="Nimbus Mono L" w:hAnsi="Nimbus Mono L" w:cs="Nimbus Mono L"/>
          <w:color w:val="000000"/>
          <w:sz w:val="20"/>
          <w:szCs w:val="20"/>
        </w:rPr>
      </w:pPr>
    </w:p>
    <w:p w14:paraId="00000012" w14:textId="77777777" w:rsidR="006748F1" w:rsidRDefault="00674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imbus Mono L" w:eastAsia="Nimbus Mono L" w:hAnsi="Nimbus Mono L" w:cs="Nimbus Mono L"/>
          <w:color w:val="000000"/>
          <w:sz w:val="20"/>
          <w:szCs w:val="20"/>
        </w:rPr>
      </w:pPr>
    </w:p>
    <w:p w14:paraId="00000013" w14:textId="77777777" w:rsidR="006748F1" w:rsidRDefault="006748F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</w:p>
    <w:sectPr w:rsidR="006748F1">
      <w:pgSz w:w="11905" w:h="16837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 PL ShanHeiSun Un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ቀ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imbus Mono L">
    <w:altName w:val="Courier New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94991"/>
    <w:multiLevelType w:val="multilevel"/>
    <w:tmpl w:val="2D64C7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80F46D2"/>
    <w:multiLevelType w:val="multilevel"/>
    <w:tmpl w:val="5A1C779A"/>
    <w:lvl w:ilvl="0">
      <w:start w:val="1"/>
      <w:numFmt w:val="low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F1"/>
    <w:rsid w:val="00494D95"/>
    <w:rsid w:val="006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2AFF164E-CAD8-9249-B343-27C1370D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2"/>
      </w:numPr>
      <w:spacing w:before="120" w:after="280" w:line="360" w:lineRule="auto"/>
      <w:ind w:left="-1" w:hanging="1"/>
      <w:jc w:val="both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/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Helvetica" w:eastAsia="AR PL ShanHeiSun Uni" w:hAnsi="Helvetica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Times" w:hAnsi="Times"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" w:hAnsi="Times" w:cs="tahoma"/>
    </w:rPr>
  </w:style>
  <w:style w:type="paragraph" w:styleId="BodyTextIndent2">
    <w:name w:val="Body Text Indent 2"/>
    <w:basedOn w:val="Normal"/>
    <w:pPr>
      <w:spacing w:before="280" w:after="280"/>
    </w:pPr>
  </w:style>
  <w:style w:type="paragraph" w:customStyle="1" w:styleId="PreformattedText">
    <w:name w:val="Preformatted Text"/>
    <w:basedOn w:val="Normal"/>
    <w:rPr>
      <w:rFonts w:ascii="Nimbus Mono L" w:eastAsia="Nimbus Mono L" w:hAnsi="Nimbus Mono L" w:cs="Nimbus Mono L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Pw9daC26tzcl23hxBUrNcLM20A==">AMUW2mWbAOx92otLbjwCBFFLTcrBV3zv+iBifbCvztfaLESnPfzrs0R0B/mubXTfofCsCtdzTAA0SAO2HjXzUWK4n1L0fDlAv8h2/+5OBfS5zHhAAFByB4g=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 Yalabık</dc:creator>
  <cp:lastModifiedBy>MÜJDE PEKER BOOTH</cp:lastModifiedBy>
  <cp:revision>2</cp:revision>
  <dcterms:created xsi:type="dcterms:W3CDTF">2021-11-02T10:44:00Z</dcterms:created>
  <dcterms:modified xsi:type="dcterms:W3CDTF">2021-11-03T06:35:00Z</dcterms:modified>
</cp:coreProperties>
</file>